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DE2082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A138B2">
              <w:t>7</w:t>
            </w:r>
            <w:r w:rsidRPr="00C64574">
              <w:t>/</w:t>
            </w:r>
            <w:r w:rsidR="00DE2082">
              <w:t>19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382D865" wp14:editId="4DB4452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DE2082" w:rsidP="00D5792F">
            <w:pPr>
              <w:spacing w:line="240" w:lineRule="exact"/>
            </w:pPr>
            <w:r>
              <w:t>7</w:t>
            </w:r>
            <w:r w:rsidR="007A3BAE">
              <w:t xml:space="preserve"> August 2017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54033E" w:rsidRPr="004B2237" w:rsidRDefault="0054033E" w:rsidP="0054033E">
      <w:pPr>
        <w:rPr>
          <w:b/>
        </w:rPr>
      </w:pPr>
      <w:r w:rsidRPr="004B2237">
        <w:rPr>
          <w:b/>
        </w:rPr>
        <w:t>Seventy-</w:t>
      </w:r>
      <w:r>
        <w:rPr>
          <w:b/>
        </w:rPr>
        <w:t>eighth</w:t>
      </w:r>
      <w:r w:rsidRPr="004B2237">
        <w:rPr>
          <w:b/>
        </w:rPr>
        <w:t xml:space="preserve"> </w:t>
      </w:r>
      <w:proofErr w:type="gramStart"/>
      <w:r w:rsidRPr="004B2237">
        <w:rPr>
          <w:b/>
        </w:rPr>
        <w:t>session</w:t>
      </w:r>
      <w:proofErr w:type="gramEnd"/>
    </w:p>
    <w:p w:rsidR="0054033E" w:rsidRPr="00D315CD" w:rsidRDefault="0054033E" w:rsidP="0054033E">
      <w:pPr>
        <w:rPr>
          <w:bCs/>
        </w:rPr>
      </w:pPr>
      <w:r w:rsidRPr="00D315CD">
        <w:t>Geneva</w:t>
      </w:r>
      <w:r w:rsidRPr="00D315CD">
        <w:rPr>
          <w:bCs/>
        </w:rPr>
        <w:t>, 24–27 October 2017</w:t>
      </w:r>
    </w:p>
    <w:p w:rsidR="00DE2082" w:rsidRPr="00DC35BB" w:rsidRDefault="00DE2082" w:rsidP="00DE2082">
      <w:pPr>
        <w:ind w:right="1134"/>
        <w:rPr>
          <w:bCs/>
        </w:rPr>
      </w:pPr>
      <w:r w:rsidRPr="00DC35BB">
        <w:rPr>
          <w:bCs/>
        </w:rPr>
        <w:t>Item 5 of the provisional agenda</w:t>
      </w:r>
    </w:p>
    <w:p w:rsidR="00DE2082" w:rsidRDefault="00DE2082" w:rsidP="00DE2082">
      <w:pPr>
        <w:ind w:right="1134"/>
        <w:rPr>
          <w:bCs/>
        </w:rPr>
      </w:pPr>
      <w:r w:rsidRPr="00DC35BB">
        <w:rPr>
          <w:b/>
          <w:bCs/>
        </w:rPr>
        <w:t>Regulations Nos. 37 (Filament lamps), 99 (Gas discharge light sources), 128 (Light emitting diodes light sources) and the Consolidated Resolution on the common specification of light source categories</w:t>
      </w:r>
    </w:p>
    <w:p w:rsidR="0054033E" w:rsidRPr="00190E1E" w:rsidRDefault="00DE2082" w:rsidP="0054033E">
      <w:pPr>
        <w:pStyle w:val="HChG"/>
        <w:tabs>
          <w:tab w:val="clear" w:pos="851"/>
        </w:tabs>
        <w:ind w:firstLine="0"/>
        <w:rPr>
          <w:szCs w:val="28"/>
        </w:rPr>
      </w:pPr>
      <w:r w:rsidRPr="00DE2082">
        <w:rPr>
          <w:szCs w:val="28"/>
        </w:rPr>
        <w:t>Proposal for Supplement 46 to the 03 series of amendments to Regulation No. 37 (Filament lamps)</w:t>
      </w:r>
      <w:r>
        <w:rPr>
          <w:szCs w:val="28"/>
        </w:rPr>
        <w:t xml:space="preserve"> </w:t>
      </w:r>
    </w:p>
    <w:p w:rsidR="0054033E" w:rsidRPr="00D315CD" w:rsidRDefault="0054033E" w:rsidP="0054033E">
      <w:pPr>
        <w:pStyle w:val="H1G"/>
        <w:ind w:right="1467" w:firstLine="0"/>
        <w:jc w:val="both"/>
      </w:pPr>
      <w:r w:rsidRPr="00D315CD">
        <w:t>Submitted by the expert from the International Automotive Lighting and Light</w:t>
      </w:r>
      <w:r>
        <w:t>-</w:t>
      </w:r>
      <w:r w:rsidRPr="00D315CD">
        <w:t>Signalling Expert Group (GTB)</w:t>
      </w:r>
      <w:r w:rsidRPr="0054033E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54033E" w:rsidRDefault="00DE2082" w:rsidP="00DE2082">
      <w:pPr>
        <w:spacing w:before="120"/>
        <w:ind w:left="1134" w:right="1134" w:firstLine="567"/>
        <w:jc w:val="both"/>
        <w:rPr>
          <w:b/>
        </w:rPr>
      </w:pPr>
      <w:r w:rsidRPr="00DE2082">
        <w:t>The text reproduced below was prepared by the expert from GTB to correct an error and to align a term with Regulation No. 128. It is bas</w:t>
      </w:r>
      <w:r w:rsidR="00DA2A50">
        <w:t xml:space="preserve">ed on ECE/TRANS/WP.29/2016/76. </w:t>
      </w:r>
      <w:r w:rsidRPr="00DE2082">
        <w:t>The modifications to the existing text of the Regulation are marked in bold for new or strikethrough for deleted characters.</w:t>
      </w:r>
      <w:r w:rsidR="00DA2A50">
        <w:t xml:space="preserve"> </w:t>
      </w:r>
      <w:r>
        <w:t xml:space="preserve"> </w:t>
      </w:r>
    </w:p>
    <w:p w:rsidR="0054033E" w:rsidRDefault="0054033E" w:rsidP="00C96DF2">
      <w:pPr>
        <w:spacing w:before="120"/>
        <w:rPr>
          <w:b/>
        </w:rPr>
      </w:pP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792D92">
      <w:pPr>
        <w:spacing w:before="360" w:after="240" w:line="300" w:lineRule="exact"/>
        <w:ind w:left="1134" w:right="1134" w:hanging="567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DE2082" w:rsidRPr="00DC35BB" w:rsidRDefault="00DE2082" w:rsidP="00DE2082">
      <w:pPr>
        <w:tabs>
          <w:tab w:val="left" w:pos="8505"/>
        </w:tabs>
        <w:spacing w:after="120"/>
        <w:ind w:left="2268" w:right="1467" w:hanging="1134"/>
        <w:jc w:val="both"/>
        <w:rPr>
          <w:bCs/>
          <w:i/>
        </w:rPr>
      </w:pPr>
      <w:r w:rsidRPr="00DC35BB">
        <w:rPr>
          <w:i/>
          <w:lang w:val="en-US"/>
        </w:rPr>
        <w:t>Paragraph 3.6.3.,</w:t>
      </w:r>
      <w:r w:rsidRPr="00DC35BB">
        <w:rPr>
          <w:lang w:val="en-US"/>
        </w:rPr>
        <w:t xml:space="preserve"> amend to read:</w:t>
      </w:r>
    </w:p>
    <w:p w:rsidR="00DE2082" w:rsidRPr="00DC35BB" w:rsidRDefault="00DE2082" w:rsidP="00DE2082">
      <w:pPr>
        <w:pStyle w:val="para"/>
        <w:spacing w:after="100"/>
        <w:ind w:right="1467"/>
        <w:rPr>
          <w:snapToGrid w:val="0"/>
          <w:lang w:val="en-US"/>
        </w:rPr>
      </w:pPr>
      <w:r>
        <w:rPr>
          <w:bCs/>
          <w:lang w:val="en-GB"/>
        </w:rPr>
        <w:t>"</w:t>
      </w:r>
      <w:r w:rsidRPr="00DC35BB">
        <w:rPr>
          <w:snapToGrid w:val="0"/>
          <w:lang w:val="en-US"/>
        </w:rPr>
        <w:t>3.6.3.</w:t>
      </w:r>
      <w:r w:rsidRPr="00DC35BB">
        <w:rPr>
          <w:snapToGrid w:val="0"/>
          <w:lang w:val="en-US"/>
        </w:rPr>
        <w:tab/>
      </w:r>
      <w:proofErr w:type="gramStart"/>
      <w:r w:rsidRPr="00DC35BB">
        <w:rPr>
          <w:snapToGrid w:val="0"/>
          <w:lang w:val="en-US"/>
        </w:rPr>
        <w:t>The</w:t>
      </w:r>
      <w:proofErr w:type="gramEnd"/>
      <w:r w:rsidRPr="00DC35BB">
        <w:rPr>
          <w:snapToGrid w:val="0"/>
          <w:lang w:val="en-US"/>
        </w:rPr>
        <w:t xml:space="preserve"> </w:t>
      </w:r>
      <w:proofErr w:type="spellStart"/>
      <w:r w:rsidRPr="00DC35BB">
        <w:rPr>
          <w:snapToGrid w:val="0"/>
          <w:lang w:val="en-US"/>
        </w:rPr>
        <w:t>colour</w:t>
      </w:r>
      <w:proofErr w:type="spellEnd"/>
      <w:r w:rsidRPr="00DC35BB">
        <w:rPr>
          <w:snapToGrid w:val="0"/>
          <w:lang w:val="en-US"/>
        </w:rPr>
        <w:t xml:space="preserve"> of the light emitted shall be measured by th</w:t>
      </w:r>
      <w:r w:rsidR="00DA2A50">
        <w:rPr>
          <w:snapToGrid w:val="0"/>
          <w:lang w:val="en-US"/>
        </w:rPr>
        <w:t xml:space="preserve">e method specified in Annex 5. </w:t>
      </w:r>
      <w:r w:rsidRPr="00DC35BB">
        <w:rPr>
          <w:snapToGrid w:val="0"/>
          <w:lang w:val="en-US"/>
        </w:rPr>
        <w:t xml:space="preserve">Each measured value shall lie within the required </w:t>
      </w:r>
      <w:r w:rsidRPr="00DC35BB">
        <w:rPr>
          <w:strike/>
          <w:snapToGrid w:val="0"/>
          <w:lang w:val="en-US"/>
        </w:rPr>
        <w:t>tolerance</w:t>
      </w:r>
      <w:r w:rsidRPr="00DC35BB">
        <w:rPr>
          <w:snapToGrid w:val="0"/>
          <w:lang w:val="en-US"/>
        </w:rPr>
        <w:t xml:space="preserve"> </w:t>
      </w:r>
      <w:r w:rsidRPr="00DC35BB">
        <w:rPr>
          <w:b/>
          <w:snapToGrid w:val="0"/>
          <w:lang w:val="en-US"/>
        </w:rPr>
        <w:t xml:space="preserve">chromaticity </w:t>
      </w:r>
      <w:r w:rsidRPr="00DC35BB">
        <w:rPr>
          <w:snapToGrid w:val="0"/>
          <w:lang w:val="en-US"/>
        </w:rPr>
        <w:t>area</w:t>
      </w:r>
      <w:r w:rsidRPr="00DC35BB">
        <w:rPr>
          <w:snapToGrid w:val="0"/>
          <w:vertAlign w:val="superscript"/>
          <w:lang w:val="en-US"/>
        </w:rPr>
        <w:t>5</w:t>
      </w:r>
      <w:r w:rsidRPr="00DC35BB">
        <w:rPr>
          <w:snapToGrid w:val="0"/>
          <w:lang w:val="en-US"/>
        </w:rPr>
        <w:t>.</w:t>
      </w:r>
      <w:r w:rsidR="00DA2A50">
        <w:rPr>
          <w:snapToGrid w:val="0"/>
          <w:lang w:val="en-US"/>
        </w:rPr>
        <w:t xml:space="preserve"> </w:t>
      </w:r>
      <w:r w:rsidRPr="00DC35BB">
        <w:rPr>
          <w:snapToGrid w:val="0"/>
          <w:lang w:val="en-US"/>
        </w:rPr>
        <w:t xml:space="preserve">Moreover, in the case of filament </w:t>
      </w:r>
      <w:r w:rsidRPr="00DC35BB">
        <w:rPr>
          <w:snapToGrid w:val="0"/>
          <w:lang w:val="en-GB"/>
        </w:rPr>
        <w:t>light sources</w:t>
      </w:r>
      <w:r w:rsidRPr="00DC35BB">
        <w:rPr>
          <w:bCs/>
          <w:snapToGrid w:val="0"/>
          <w:lang w:val="en-US"/>
        </w:rPr>
        <w:t xml:space="preserve"> </w:t>
      </w:r>
      <w:r w:rsidRPr="00DC35BB">
        <w:rPr>
          <w:snapToGrid w:val="0"/>
          <w:lang w:val="en-US"/>
        </w:rPr>
        <w:t xml:space="preserve">emitting white light, the measured values shall not deviate more than 0.020 unit in the x and/or y direction from a point of choice on the </w:t>
      </w:r>
      <w:proofErr w:type="spellStart"/>
      <w:r w:rsidRPr="00DC35BB">
        <w:rPr>
          <w:snapToGrid w:val="0"/>
          <w:lang w:val="en-US"/>
        </w:rPr>
        <w:t>Planckian</w:t>
      </w:r>
      <w:proofErr w:type="spellEnd"/>
      <w:r w:rsidRPr="00DC35BB">
        <w:rPr>
          <w:snapToGrid w:val="0"/>
          <w:lang w:val="en-US"/>
        </w:rPr>
        <w:t xml:space="preserve"> locus (CIE </w:t>
      </w:r>
      <w:r w:rsidR="00E177E4">
        <w:fldChar w:fldCharType="begin"/>
      </w:r>
      <w:r w:rsidR="00E177E4" w:rsidRPr="00E177E4">
        <w:rPr>
          <w:lang w:val="en-GB"/>
        </w:rPr>
        <w:instrText xml:space="preserve"> HYPERLINK "http://www.cie.co.at/index.php/Publications/index.php?i_ca_id=304" \t "_self" </w:instrText>
      </w:r>
      <w:r w:rsidR="00E177E4">
        <w:fldChar w:fldCharType="separate"/>
      </w:r>
      <w:r w:rsidRPr="00DC35BB">
        <w:rPr>
          <w:snapToGrid w:val="0"/>
          <w:lang w:val="en-US"/>
        </w:rPr>
        <w:t>015:2004</w:t>
      </w:r>
      <w:r w:rsidR="00E177E4">
        <w:rPr>
          <w:snapToGrid w:val="0"/>
          <w:lang w:val="en-US"/>
        </w:rPr>
        <w:fldChar w:fldCharType="end"/>
      </w:r>
      <w:r w:rsidRPr="00DC35BB">
        <w:rPr>
          <w:snapToGrid w:val="0"/>
          <w:lang w:val="en-US"/>
        </w:rPr>
        <w:t>, 3rd edition).</w:t>
      </w:r>
      <w:r w:rsidR="00DA2A50">
        <w:rPr>
          <w:snapToGrid w:val="0"/>
          <w:lang w:val="en-US"/>
        </w:rPr>
        <w:t xml:space="preserve"> </w:t>
      </w:r>
      <w:r w:rsidRPr="00DC35BB">
        <w:rPr>
          <w:snapToGrid w:val="0"/>
          <w:lang w:val="en-US"/>
        </w:rPr>
        <w:t xml:space="preserve">Filament </w:t>
      </w:r>
      <w:r w:rsidRPr="00DC35BB">
        <w:rPr>
          <w:snapToGrid w:val="0"/>
          <w:lang w:val="en-GB"/>
        </w:rPr>
        <w:t>light sources</w:t>
      </w:r>
      <w:r w:rsidRPr="00DC35BB">
        <w:rPr>
          <w:bCs/>
          <w:snapToGrid w:val="0"/>
          <w:lang w:val="en-US"/>
        </w:rPr>
        <w:t xml:space="preserve"> </w:t>
      </w:r>
      <w:r w:rsidRPr="00DC35BB">
        <w:rPr>
          <w:snapToGrid w:val="0"/>
          <w:lang w:val="en-US"/>
        </w:rPr>
        <w:t xml:space="preserve">for use in light </w:t>
      </w:r>
      <w:proofErr w:type="spellStart"/>
      <w:r w:rsidRPr="00DC35BB">
        <w:rPr>
          <w:snapToGrid w:val="0"/>
          <w:lang w:val="en-US"/>
        </w:rPr>
        <w:t>signalling</w:t>
      </w:r>
      <w:proofErr w:type="spellEnd"/>
      <w:r w:rsidRPr="00DC35BB">
        <w:rPr>
          <w:snapToGrid w:val="0"/>
          <w:lang w:val="en-US"/>
        </w:rPr>
        <w:t xml:space="preserve"> devices shall meet the requirements as specified in paragraph</w:t>
      </w:r>
      <w:r w:rsidRPr="00DC35BB">
        <w:rPr>
          <w:snapToGrid w:val="0"/>
          <w:lang w:val="en-GB"/>
        </w:rPr>
        <w:t> </w:t>
      </w:r>
      <w:r w:rsidRPr="00DC35BB">
        <w:rPr>
          <w:strike/>
          <w:snapToGrid w:val="0"/>
          <w:lang w:val="en-US"/>
        </w:rPr>
        <w:t>2.4.2</w:t>
      </w:r>
      <w:r w:rsidRPr="00DC35BB">
        <w:rPr>
          <w:snapToGrid w:val="0"/>
          <w:lang w:val="en-US"/>
        </w:rPr>
        <w:t xml:space="preserve">. </w:t>
      </w:r>
      <w:r w:rsidRPr="00DC35BB">
        <w:rPr>
          <w:b/>
          <w:snapToGrid w:val="0"/>
          <w:lang w:val="en-US"/>
        </w:rPr>
        <w:t>4.4.2.</w:t>
      </w:r>
      <w:r w:rsidRPr="00DC35BB">
        <w:rPr>
          <w:snapToGrid w:val="0"/>
          <w:lang w:val="en-US"/>
        </w:rPr>
        <w:t xml:space="preserve"> </w:t>
      </w:r>
      <w:proofErr w:type="gramStart"/>
      <w:r w:rsidRPr="00DC35BB">
        <w:rPr>
          <w:snapToGrid w:val="0"/>
          <w:lang w:val="en-US"/>
        </w:rPr>
        <w:t>of</w:t>
      </w:r>
      <w:proofErr w:type="gramEnd"/>
      <w:r w:rsidRPr="00DC35BB">
        <w:rPr>
          <w:snapToGrid w:val="0"/>
          <w:lang w:val="en-US"/>
        </w:rPr>
        <w:t xml:space="preserve"> IEC Public</w:t>
      </w:r>
      <w:r w:rsidR="00DA2A50">
        <w:rPr>
          <w:snapToGrid w:val="0"/>
          <w:lang w:val="en-US"/>
        </w:rPr>
        <w:t>ation 60809, Edition 3.</w:t>
      </w:r>
      <w:r w:rsidR="00DA2A50">
        <w:rPr>
          <w:bCs/>
          <w:lang w:val="en-GB"/>
        </w:rPr>
        <w:t>"</w:t>
      </w:r>
    </w:p>
    <w:p w:rsidR="00DE2082" w:rsidRPr="00DC35BB" w:rsidRDefault="00DE2082" w:rsidP="00DE2082">
      <w:pPr>
        <w:widowControl w:val="0"/>
        <w:tabs>
          <w:tab w:val="right" w:pos="1020"/>
          <w:tab w:val="left" w:pos="8505"/>
        </w:tabs>
        <w:spacing w:line="220" w:lineRule="exact"/>
        <w:ind w:left="2552" w:right="1134" w:hanging="284"/>
        <w:rPr>
          <w:noProof/>
          <w:vertAlign w:val="superscript"/>
          <w:lang w:val="en-US"/>
        </w:rPr>
      </w:pPr>
    </w:p>
    <w:p w:rsidR="001405F0" w:rsidRPr="005A467E" w:rsidRDefault="00DA2A50" w:rsidP="00DE2082">
      <w:pPr>
        <w:widowControl w:val="0"/>
        <w:spacing w:line="220" w:lineRule="exact"/>
        <w:ind w:left="2552" w:right="1467" w:hanging="284"/>
        <w:jc w:val="both"/>
        <w:rPr>
          <w:i/>
        </w:rPr>
      </w:pPr>
      <w:r w:rsidRPr="00DA2A50">
        <w:rPr>
          <w:bCs/>
        </w:rPr>
        <w:t>"</w:t>
      </w:r>
      <w:r w:rsidR="00DE2082" w:rsidRPr="00DC35BB">
        <w:rPr>
          <w:noProof/>
          <w:vertAlign w:val="superscript"/>
          <w:lang w:val="en-US"/>
        </w:rPr>
        <w:t>5</w:t>
      </w:r>
      <w:r w:rsidR="00DE2082" w:rsidRPr="00DC35BB">
        <w:rPr>
          <w:noProof/>
          <w:vertAlign w:val="superscript"/>
          <w:lang w:val="en-US"/>
        </w:rPr>
        <w:tab/>
      </w:r>
      <w:r w:rsidR="00DE2082" w:rsidRPr="00DC35BB">
        <w:rPr>
          <w:noProof/>
          <w:lang w:val="en-US"/>
        </w:rPr>
        <w:t xml:space="preserve">For conformity of production purposes of amber and red colour only, at least 80 per cent of the measuring results shall lie within the required </w:t>
      </w:r>
      <w:r w:rsidR="00DE2082" w:rsidRPr="00DC35BB">
        <w:rPr>
          <w:strike/>
          <w:noProof/>
          <w:lang w:val="en-US"/>
        </w:rPr>
        <w:t>tolerance</w:t>
      </w:r>
      <w:r w:rsidR="00DE2082" w:rsidRPr="00DC35BB">
        <w:rPr>
          <w:noProof/>
          <w:lang w:val="en-US"/>
        </w:rPr>
        <w:t xml:space="preserve"> </w:t>
      </w:r>
      <w:r w:rsidR="00DE2082" w:rsidRPr="00DC35BB">
        <w:rPr>
          <w:b/>
          <w:noProof/>
          <w:lang w:val="en-US"/>
        </w:rPr>
        <w:t xml:space="preserve">chromaticity </w:t>
      </w:r>
      <w:r w:rsidR="00DE2082" w:rsidRPr="00DC35BB">
        <w:rPr>
          <w:noProof/>
          <w:lang w:val="en-US"/>
        </w:rPr>
        <w:t>area.</w:t>
      </w:r>
      <w:r w:rsidR="00DE2082">
        <w:rPr>
          <w:noProof/>
          <w:lang w:val="en-US"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DE2082" w:rsidRPr="00DE2082" w:rsidRDefault="0054033E" w:rsidP="00DE208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DE2082" w:rsidRPr="00DE2082">
        <w:rPr>
          <w:lang w:val="en-US"/>
        </w:rPr>
        <w:t xml:space="preserve">The paragraph numbering of standard IEC 60809 was changed and this was overlooked </w:t>
      </w:r>
      <w:r w:rsidR="00DE2082">
        <w:rPr>
          <w:lang w:val="en-US"/>
        </w:rPr>
        <w:t>in S</w:t>
      </w:r>
      <w:r w:rsidR="00DE2082" w:rsidRPr="00DE2082">
        <w:rPr>
          <w:lang w:val="en-US"/>
        </w:rPr>
        <w:t>upplement 45 to Regulation No. 37.</w:t>
      </w:r>
      <w:r w:rsidR="00DA2A50">
        <w:rPr>
          <w:lang w:val="en-US"/>
        </w:rPr>
        <w:t xml:space="preserve"> </w:t>
      </w:r>
    </w:p>
    <w:p w:rsidR="00DE2082" w:rsidRPr="00DE2082" w:rsidRDefault="00DE2082" w:rsidP="00DE208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DA2A50">
        <w:rPr>
          <w:lang w:val="en-US"/>
        </w:rPr>
        <w:t xml:space="preserve">The wording </w:t>
      </w:r>
      <w:r w:rsidR="00DA2A50">
        <w:rPr>
          <w:bCs/>
        </w:rPr>
        <w:t>"</w:t>
      </w:r>
      <w:r w:rsidR="00DA2A50">
        <w:rPr>
          <w:lang w:val="en-US"/>
        </w:rPr>
        <w:t>required tolerance area</w:t>
      </w:r>
      <w:r w:rsidR="00DA2A50">
        <w:rPr>
          <w:bCs/>
        </w:rPr>
        <w:t>"</w:t>
      </w:r>
      <w:r w:rsidRPr="00DE2082">
        <w:rPr>
          <w:lang w:val="en-US"/>
        </w:rPr>
        <w:t xml:space="preserve"> in case of </w:t>
      </w:r>
      <w:proofErr w:type="spellStart"/>
      <w:r w:rsidRPr="00DE2082">
        <w:rPr>
          <w:lang w:val="en-US"/>
        </w:rPr>
        <w:t>colour</w:t>
      </w:r>
      <w:proofErr w:type="spellEnd"/>
      <w:r w:rsidRPr="00DE2082">
        <w:rPr>
          <w:lang w:val="en-US"/>
        </w:rPr>
        <w:t xml:space="preserve"> is changed</w:t>
      </w:r>
      <w:r w:rsidR="00DA2A50">
        <w:rPr>
          <w:lang w:val="en-US"/>
        </w:rPr>
        <w:t xml:space="preserve"> to </w:t>
      </w:r>
      <w:r w:rsidR="00DA2A50">
        <w:rPr>
          <w:bCs/>
        </w:rPr>
        <w:t>"</w:t>
      </w:r>
      <w:r w:rsidR="00DA2A50">
        <w:rPr>
          <w:lang w:val="en-US"/>
        </w:rPr>
        <w:t>required chromaticity area</w:t>
      </w:r>
      <w:r w:rsidR="00DA2A50">
        <w:rPr>
          <w:bCs/>
        </w:rPr>
        <w:t>"</w:t>
      </w:r>
      <w:r w:rsidRPr="00DE2082">
        <w:rPr>
          <w:lang w:val="en-US"/>
        </w:rPr>
        <w:t xml:space="preserve"> to align with Regulation No. 48.</w:t>
      </w:r>
      <w:r w:rsidR="00DA2A50">
        <w:rPr>
          <w:lang w:val="en-US"/>
        </w:rPr>
        <w:t xml:space="preserve"> </w:t>
      </w:r>
      <w:r w:rsidRPr="00DE2082">
        <w:rPr>
          <w:lang w:val="en-US"/>
        </w:rPr>
        <w:t>This proposal was initiated by a proposal to amend Regulation No. 128 to avoid misunderstanding with other tolerance areas.</w:t>
      </w:r>
      <w:r w:rsidR="00DA2A50">
        <w:rPr>
          <w:lang w:val="en-US"/>
        </w:rPr>
        <w:t xml:space="preserve"> </w:t>
      </w:r>
    </w:p>
    <w:p w:rsidR="00DE2082" w:rsidRDefault="00DE2082" w:rsidP="00DE208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DE2082">
        <w:rPr>
          <w:lang w:val="en-US"/>
        </w:rPr>
        <w:t>Th</w:t>
      </w:r>
      <w:r>
        <w:rPr>
          <w:lang w:val="en-US"/>
        </w:rPr>
        <w:t xml:space="preserve">e </w:t>
      </w:r>
      <w:r w:rsidR="00DA2A50">
        <w:rPr>
          <w:lang w:val="en-US"/>
        </w:rPr>
        <w:t xml:space="preserve">wording </w:t>
      </w:r>
      <w:r w:rsidR="00DA2A50">
        <w:rPr>
          <w:bCs/>
        </w:rPr>
        <w:t>"</w:t>
      </w:r>
      <w:r w:rsidR="00DA2A50">
        <w:rPr>
          <w:lang w:val="en-US"/>
        </w:rPr>
        <w:t>tolerance area</w:t>
      </w:r>
      <w:r w:rsidR="00DA2A50">
        <w:rPr>
          <w:bCs/>
        </w:rPr>
        <w:t>"</w:t>
      </w:r>
      <w:r w:rsidRPr="00DE2082">
        <w:rPr>
          <w:lang w:val="en-US"/>
        </w:rPr>
        <w:t xml:space="preserve"> does not appear in Regulation No. 99 but it does appear in the</w:t>
      </w:r>
      <w:r>
        <w:rPr>
          <w:lang w:val="en-US"/>
        </w:rPr>
        <w:t xml:space="preserve"> Consolidated </w:t>
      </w:r>
      <w:r w:rsidRPr="00DE2082">
        <w:rPr>
          <w:lang w:val="en-US"/>
        </w:rPr>
        <w:t>Resolution</w:t>
      </w:r>
      <w:r>
        <w:rPr>
          <w:lang w:val="en-US"/>
        </w:rPr>
        <w:t xml:space="preserve"> (R.E.5)</w:t>
      </w:r>
      <w:r w:rsidRPr="00DE2082">
        <w:rPr>
          <w:lang w:val="en-US"/>
        </w:rPr>
        <w:t xml:space="preserve">, sheets H20/3, </w:t>
      </w:r>
      <w:proofErr w:type="spellStart"/>
      <w:r w:rsidRPr="00DE2082">
        <w:rPr>
          <w:lang w:val="en-US"/>
        </w:rPr>
        <w:t>DxR</w:t>
      </w:r>
      <w:proofErr w:type="spellEnd"/>
      <w:r w:rsidRPr="00DE2082">
        <w:rPr>
          <w:lang w:val="en-US"/>
        </w:rPr>
        <w:t xml:space="preserve">/4, </w:t>
      </w:r>
      <w:proofErr w:type="spellStart"/>
      <w:r w:rsidRPr="00DE2082">
        <w:rPr>
          <w:lang w:val="en-US"/>
        </w:rPr>
        <w:t>DxS</w:t>
      </w:r>
      <w:proofErr w:type="spellEnd"/>
      <w:r w:rsidRPr="00DE2082">
        <w:rPr>
          <w:lang w:val="en-US"/>
        </w:rPr>
        <w:t xml:space="preserve">/4, D5S/3, D6S/3, D8R/3, D8S/3 and D9S/3, where an objective value and a tolerance area for the chromaticity coordinates </w:t>
      </w:r>
      <w:r>
        <w:rPr>
          <w:lang w:val="en-US"/>
        </w:rPr>
        <w:t xml:space="preserve">are </w:t>
      </w:r>
      <w:r w:rsidRPr="00DE2082">
        <w:rPr>
          <w:lang w:val="en-US"/>
        </w:rPr>
        <w:t>specified.</w:t>
      </w:r>
      <w:r w:rsidR="00DA2A50">
        <w:rPr>
          <w:lang w:val="en-US"/>
        </w:rPr>
        <w:t xml:space="preserve"> </w:t>
      </w:r>
      <w:r w:rsidRPr="00DE2082">
        <w:rPr>
          <w:lang w:val="en-US"/>
        </w:rPr>
        <w:t>Those sheets do not need to be changed.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92D9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36" w:rsidRDefault="00B06136"/>
  </w:endnote>
  <w:endnote w:type="continuationSeparator" w:id="0">
    <w:p w:rsidR="00B06136" w:rsidRDefault="00B06136"/>
  </w:endnote>
  <w:endnote w:type="continuationNotice" w:id="1">
    <w:p w:rsidR="00B06136" w:rsidRDefault="00B06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177E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4033E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39" w:rsidRDefault="007B6739" w:rsidP="007B6739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DC0DCFA" wp14:editId="3AEA2309">
          <wp:simplePos x="0" y="0"/>
          <wp:positionH relativeFrom="margin">
            <wp:posOffset>5445760</wp:posOffset>
          </wp:positionH>
          <wp:positionV relativeFrom="margin">
            <wp:posOffset>7928610</wp:posOffset>
          </wp:positionV>
          <wp:extent cx="641350" cy="641350"/>
          <wp:effectExtent l="0" t="0" r="6350" b="6350"/>
          <wp:wrapNone/>
          <wp:docPr id="2" name="Picture 1" descr="https://undocs.org/m2/QRCode.ashx?DS=ECE/TRANS/WP.29/GRE/2017/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0757EEB" wp14:editId="4692EDFD">
          <wp:simplePos x="0" y="0"/>
          <wp:positionH relativeFrom="margin">
            <wp:posOffset>4380230</wp:posOffset>
          </wp:positionH>
          <wp:positionV relativeFrom="margin">
            <wp:posOffset>8258175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739" w:rsidRDefault="007B6739" w:rsidP="007B6739">
    <w:pPr>
      <w:pStyle w:val="Footer"/>
      <w:ind w:right="1134"/>
      <w:rPr>
        <w:sz w:val="20"/>
      </w:rPr>
    </w:pPr>
    <w:r>
      <w:rPr>
        <w:sz w:val="20"/>
      </w:rPr>
      <w:t>GE.17-13486(E)</w:t>
    </w:r>
  </w:p>
  <w:p w:rsidR="007B6739" w:rsidRPr="007B6739" w:rsidRDefault="007B6739" w:rsidP="007B673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36" w:rsidRPr="000B175B" w:rsidRDefault="00B061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6136" w:rsidRPr="00FC68B7" w:rsidRDefault="00B061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6136" w:rsidRDefault="00B06136"/>
  </w:footnote>
  <w:footnote w:id="2">
    <w:p w:rsidR="0054033E" w:rsidRPr="00B14735" w:rsidRDefault="0054033E" w:rsidP="0054033E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138B2"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</w:t>
      </w:r>
      <w:r w:rsidR="00DA2A50">
        <w:t>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A138B2">
      <w:t>7</w:t>
    </w:r>
    <w:r w:rsidRPr="00DF418A">
      <w:t>/</w:t>
    </w:r>
    <w:r w:rsidR="00DE2082"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</w:t>
    </w:r>
    <w:r w:rsidR="008927C5">
      <w:t>4</w:t>
    </w:r>
    <w:r w:rsidR="00F2422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0D9B"/>
    <w:rsid w:val="000A525F"/>
    <w:rsid w:val="000A5649"/>
    <w:rsid w:val="000A6AA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1F7781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42DD"/>
    <w:rsid w:val="002A4687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E62DB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5763"/>
    <w:rsid w:val="00371178"/>
    <w:rsid w:val="00377817"/>
    <w:rsid w:val="003800C8"/>
    <w:rsid w:val="0038196E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B5DF0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2136D"/>
    <w:rsid w:val="00527001"/>
    <w:rsid w:val="0052775E"/>
    <w:rsid w:val="00535965"/>
    <w:rsid w:val="0054033E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B6739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767"/>
    <w:rsid w:val="00847CEC"/>
    <w:rsid w:val="00851184"/>
    <w:rsid w:val="00854043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2887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2D7A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2786"/>
    <w:rsid w:val="00A138B2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17761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4A0D"/>
    <w:rsid w:val="00D95303"/>
    <w:rsid w:val="00D95D10"/>
    <w:rsid w:val="00D978C6"/>
    <w:rsid w:val="00DA2A50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2082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2AA1"/>
    <w:rsid w:val="00E1356F"/>
    <w:rsid w:val="00E177E4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341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5DC0"/>
    <w:rsid w:val="00F20293"/>
    <w:rsid w:val="00F211B8"/>
    <w:rsid w:val="00F2422D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848F2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DE2082"/>
    <w:pPr>
      <w:ind w:left="2268" w:hanging="1134"/>
    </w:pPr>
    <w:rPr>
      <w:rFonts w:eastAsia="Times New Roman"/>
      <w:lang w:val="fr-CH"/>
    </w:rPr>
  </w:style>
  <w:style w:type="character" w:customStyle="1" w:styleId="paraChar">
    <w:name w:val="para Char"/>
    <w:link w:val="para"/>
    <w:rsid w:val="00DE2082"/>
    <w:rPr>
      <w:rFonts w:eastAsia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DE2082"/>
    <w:pPr>
      <w:ind w:left="2268" w:hanging="1134"/>
    </w:pPr>
    <w:rPr>
      <w:rFonts w:eastAsia="Times New Roman"/>
      <w:lang w:val="fr-CH"/>
    </w:rPr>
  </w:style>
  <w:style w:type="character" w:customStyle="1" w:styleId="paraChar">
    <w:name w:val="para Char"/>
    <w:link w:val="para"/>
    <w:rsid w:val="00DE2082"/>
    <w:rPr>
      <w:rFonts w:eastAsia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0A9C-7F25-4545-99FA-A368A007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1713486</vt:lpstr>
      <vt:lpstr>United Nations</vt:lpstr>
      <vt:lpstr>United Nations</vt:lpstr>
    </vt:vector>
  </TitlesOfParts>
  <Company>CSD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1713486</dc:title>
  <dc:subject>ECE/TRANS/WP.29/GRE/2017/19</dc:subject>
  <dc:creator>Romain HUBERT</dc:creator>
  <cp:lastModifiedBy>Benedicte Boudol</cp:lastModifiedBy>
  <cp:revision>2</cp:revision>
  <cp:lastPrinted>2017-08-07T10:13:00Z</cp:lastPrinted>
  <dcterms:created xsi:type="dcterms:W3CDTF">2017-09-05T15:17:00Z</dcterms:created>
  <dcterms:modified xsi:type="dcterms:W3CDTF">2017-09-05T15:17:00Z</dcterms:modified>
</cp:coreProperties>
</file>