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EA6E51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FE2B53">
              <w:t>7</w:t>
            </w:r>
            <w:r w:rsidR="001F20EF">
              <w:t>/</w:t>
            </w:r>
            <w:r w:rsidR="00EA6E51">
              <w:t>7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350763" w:rsidP="00D5792F">
            <w:pPr>
              <w:spacing w:line="240" w:lineRule="exact"/>
            </w:pPr>
            <w:r>
              <w:t>1</w:t>
            </w:r>
            <w:r w:rsidR="009A1E55">
              <w:t xml:space="preserve"> </w:t>
            </w:r>
            <w:r>
              <w:t>Febr</w:t>
            </w:r>
            <w:r w:rsidR="00FE2B53">
              <w:t>uar</w:t>
            </w:r>
            <w:r w:rsidR="009A1E55">
              <w:t>y</w:t>
            </w:r>
            <w:r w:rsidR="002B47CA">
              <w:t xml:space="preserve"> 201</w:t>
            </w:r>
            <w:r w:rsidR="00FE2B53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bookmarkStart w:id="0" w:name="_GoBack"/>
      <w:proofErr w:type="gramStart"/>
      <w:r w:rsidRPr="00C64574">
        <w:rPr>
          <w:b/>
        </w:rPr>
        <w:t>1</w:t>
      </w:r>
      <w:bookmarkEnd w:id="0"/>
      <w:r w:rsidR="002A7DBF">
        <w:rPr>
          <w:b/>
        </w:rPr>
        <w:t>1</w:t>
      </w:r>
      <w:r w:rsidR="00FE2B53">
        <w:rPr>
          <w:b/>
        </w:rPr>
        <w:t>2</w:t>
      </w:r>
      <w:r w:rsidR="0003564D" w:rsidRPr="000761BC">
        <w:rPr>
          <w:b/>
        </w:rPr>
        <w:t>th</w:t>
      </w:r>
      <w:proofErr w:type="gramEnd"/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FE2B53">
        <w:t>24</w:t>
      </w:r>
      <w:r w:rsidR="00DD20EE">
        <w:t>-</w:t>
      </w:r>
      <w:r w:rsidR="00FE2B53">
        <w:t>28</w:t>
      </w:r>
      <w:r w:rsidR="00967ACA">
        <w:t xml:space="preserve"> </w:t>
      </w:r>
      <w:r w:rsidR="00FE2B53">
        <w:t>April</w:t>
      </w:r>
      <w:r w:rsidR="00B53C21" w:rsidRPr="00C64574">
        <w:t xml:space="preserve"> </w:t>
      </w:r>
      <w:r w:rsidR="00856FAA" w:rsidRPr="00C64574">
        <w:t>201</w:t>
      </w:r>
      <w:r w:rsidR="00FE2B53">
        <w:t>7</w:t>
      </w:r>
    </w:p>
    <w:p w:rsidR="00B53C21" w:rsidRPr="00DF418A" w:rsidRDefault="00915EF6" w:rsidP="00C96DF2">
      <w:r w:rsidRPr="00DF418A">
        <w:t xml:space="preserve">Item </w:t>
      </w:r>
      <w:r w:rsidR="00DE089C">
        <w:t>15</w:t>
      </w:r>
      <w:r w:rsidRPr="00DF418A">
        <w:t xml:space="preserve"> of the provisional agenda</w:t>
      </w:r>
    </w:p>
    <w:p w:rsidR="00915EF6" w:rsidRPr="001F20EF" w:rsidRDefault="00F37A12" w:rsidP="00C96DF2">
      <w:pPr>
        <w:rPr>
          <w:b/>
          <w:lang w:val="en-US"/>
        </w:rPr>
      </w:pPr>
      <w:r>
        <w:rPr>
          <w:b/>
        </w:rPr>
        <w:t xml:space="preserve">Global Technical </w:t>
      </w:r>
      <w:r w:rsidR="00C64574" w:rsidRPr="00DF418A">
        <w:rPr>
          <w:b/>
        </w:rPr>
        <w:t xml:space="preserve">Regulation No. </w:t>
      </w:r>
      <w:r w:rsidR="00FE2B53">
        <w:rPr>
          <w:b/>
        </w:rPr>
        <w:t>6</w:t>
      </w:r>
      <w:r w:rsidR="00C64574" w:rsidRPr="00DF418A">
        <w:rPr>
          <w:b/>
        </w:rPr>
        <w:t xml:space="preserve"> (</w:t>
      </w:r>
      <w:r w:rsidR="00DC7BCA">
        <w:rPr>
          <w:b/>
        </w:rPr>
        <w:t>Safety glazin</w:t>
      </w:r>
      <w:r>
        <w:rPr>
          <w:b/>
        </w:rPr>
        <w:t>g</w:t>
      </w:r>
      <w:r w:rsidR="00C64574" w:rsidRPr="00DF418A">
        <w:rPr>
          <w:b/>
        </w:rPr>
        <w:t>)</w:t>
      </w:r>
    </w:p>
    <w:p w:rsidR="00DF418A" w:rsidRPr="00133E6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F37A12">
        <w:rPr>
          <w:sz w:val="26"/>
          <w:szCs w:val="26"/>
        </w:rPr>
        <w:t>Corrigendum 2</w:t>
      </w:r>
      <w:r w:rsidR="00557459">
        <w:rPr>
          <w:sz w:val="26"/>
          <w:szCs w:val="26"/>
        </w:rPr>
        <w:t xml:space="preserve"> to </w:t>
      </w:r>
      <w:r w:rsidR="00F37A12">
        <w:rPr>
          <w:sz w:val="26"/>
          <w:szCs w:val="26"/>
        </w:rPr>
        <w:t xml:space="preserve">Global Technical Regulation No. </w:t>
      </w:r>
      <w:r w:rsidR="00FE2B53">
        <w:rPr>
          <w:sz w:val="26"/>
          <w:szCs w:val="26"/>
        </w:rPr>
        <w:t>6</w:t>
      </w:r>
      <w:r w:rsidR="00557459" w:rsidRPr="0060541E">
        <w:rPr>
          <w:sz w:val="26"/>
          <w:szCs w:val="26"/>
        </w:rPr>
        <w:t xml:space="preserve"> (</w:t>
      </w:r>
      <w:r w:rsidR="00F37A12">
        <w:rPr>
          <w:sz w:val="26"/>
          <w:szCs w:val="26"/>
        </w:rPr>
        <w:t>Safety glazing</w:t>
      </w:r>
      <w:r w:rsidR="00557459" w:rsidRPr="0060541E">
        <w:rPr>
          <w:sz w:val="26"/>
          <w:szCs w:val="26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B253FC">
        <w:t xml:space="preserve">from </w:t>
      </w:r>
      <w:r w:rsidR="00007048">
        <w:t>the Republic of Korea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0E2AC1" w:rsidRDefault="0050261A" w:rsidP="00704CB6">
      <w:pPr>
        <w:ind w:left="1134" w:right="1134" w:firstLine="567"/>
        <w:jc w:val="both"/>
      </w:pPr>
      <w:r w:rsidRPr="00C44286">
        <w:t>The text reproduced below was prepared by the expert</w:t>
      </w:r>
      <w:r>
        <w:t xml:space="preserve"> from </w:t>
      </w:r>
      <w:r w:rsidR="00627442">
        <w:t xml:space="preserve">the </w:t>
      </w:r>
      <w:r w:rsidR="00007048">
        <w:t xml:space="preserve">Republic of Korea, </w:t>
      </w:r>
      <w:r w:rsidR="00F3244F">
        <w:t>on behalf of</w:t>
      </w:r>
      <w:r w:rsidR="00007048">
        <w:t xml:space="preserve"> the Informal Working Group</w:t>
      </w:r>
      <w:r w:rsidR="00F3244F">
        <w:t xml:space="preserve"> (IWG)</w:t>
      </w:r>
      <w:r w:rsidR="00007048">
        <w:t xml:space="preserve"> on Panoramic Sunroof Glazing (PSG), </w:t>
      </w:r>
      <w:r w:rsidR="00557459">
        <w:t>to</w:t>
      </w:r>
      <w:r w:rsidR="00007048">
        <w:t xml:space="preserve"> correct an error in the scope and to clarify the technical rationale of the UN </w:t>
      </w:r>
      <w:r w:rsidR="00007048" w:rsidRPr="00007048">
        <w:t>Global Technical Regulation</w:t>
      </w:r>
      <w:r w:rsidR="00007048">
        <w:t xml:space="preserve"> (GTR)</w:t>
      </w:r>
      <w:r w:rsidR="00007048" w:rsidRPr="00007048">
        <w:t xml:space="preserve"> No. 6 </w:t>
      </w:r>
      <w:r w:rsidR="00007048">
        <w:t>on s</w:t>
      </w:r>
      <w:r w:rsidR="00007048" w:rsidRPr="00007048">
        <w:t>afety glazing</w:t>
      </w:r>
      <w:r>
        <w:t xml:space="preserve">. </w:t>
      </w:r>
      <w:r w:rsidR="006B1297" w:rsidRPr="00C44286">
        <w:t xml:space="preserve">It </w:t>
      </w:r>
      <w:proofErr w:type="gramStart"/>
      <w:r w:rsidR="006B1297" w:rsidRPr="00C44286">
        <w:t>is based</w:t>
      </w:r>
      <w:proofErr w:type="gramEnd"/>
      <w:r w:rsidR="006B1297" w:rsidRPr="00C44286">
        <w:t xml:space="preserve"> </w:t>
      </w:r>
      <w:r w:rsidR="006B1297">
        <w:t xml:space="preserve">on </w:t>
      </w:r>
      <w:r w:rsidR="006B1297" w:rsidRPr="00C44286">
        <w:t>informal document GRSG-1</w:t>
      </w:r>
      <w:r w:rsidR="006B1297">
        <w:t>11</w:t>
      </w:r>
      <w:r w:rsidR="006B1297" w:rsidRPr="00C44286">
        <w:t>-</w:t>
      </w:r>
      <w:r w:rsidR="00007048">
        <w:t>34</w:t>
      </w:r>
      <w:r w:rsidR="006B1297">
        <w:t xml:space="preserve"> </w:t>
      </w:r>
      <w:r w:rsidR="006B1297" w:rsidRPr="00C44286">
        <w:t>distributed during the 1</w:t>
      </w:r>
      <w:r w:rsidR="006B1297">
        <w:t>11</w:t>
      </w:r>
      <w:r w:rsidR="006B1297" w:rsidRPr="00DD20EE">
        <w:t>th</w:t>
      </w:r>
      <w:r w:rsidR="006B1297" w:rsidRPr="00C44286">
        <w:t xml:space="preserve"> session of the Working Party on General Safety Provisions (GRSG) (see report ECE/TRANS/WP.29/GRSG/</w:t>
      </w:r>
      <w:r w:rsidR="006B1297">
        <w:t>90</w:t>
      </w:r>
      <w:r w:rsidR="006B1297" w:rsidRPr="00C44286">
        <w:t xml:space="preserve">, para. </w:t>
      </w:r>
      <w:r w:rsidR="00007048">
        <w:t>56</w:t>
      </w:r>
      <w:r w:rsidR="006B1297" w:rsidRPr="00C44286">
        <w:t xml:space="preserve">). </w:t>
      </w:r>
      <w:r w:rsidRPr="00C44286">
        <w:t xml:space="preserve">The modifications to the current text </w:t>
      </w:r>
      <w:r>
        <w:t>o</w:t>
      </w:r>
      <w:r w:rsidR="00557459">
        <w:t>f</w:t>
      </w:r>
      <w:r>
        <w:t xml:space="preserve"> UN </w:t>
      </w:r>
      <w:r w:rsidR="00007048">
        <w:t xml:space="preserve">GTR </w:t>
      </w:r>
      <w:r w:rsidRPr="00C44286">
        <w:t xml:space="preserve">No. </w:t>
      </w:r>
      <w:r w:rsidR="00043B2C">
        <w:t>6</w:t>
      </w:r>
      <w:r w:rsidRPr="00B33A3C">
        <w:t xml:space="preserve"> </w:t>
      </w:r>
      <w:r w:rsidRPr="00C44286">
        <w:t>are marked in bold characters</w:t>
      </w:r>
      <w:r>
        <w:t xml:space="preserve"> </w:t>
      </w:r>
      <w:r w:rsidR="00704CB6">
        <w:t xml:space="preserve">for new </w:t>
      </w:r>
      <w:r>
        <w:t>and strikethrough for deleted characters</w:t>
      </w:r>
      <w:r w:rsidR="005D6B0A" w:rsidRPr="000E2AC1">
        <w:rPr>
          <w:lang w:val="en-US"/>
        </w:rPr>
        <w:t>.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F37A12" w:rsidRPr="00F37A12" w:rsidRDefault="00F37A12" w:rsidP="00F37A12">
      <w:pPr>
        <w:spacing w:after="120"/>
        <w:ind w:left="1134" w:right="1134"/>
        <w:jc w:val="both"/>
        <w:rPr>
          <w:rFonts w:eastAsia="Malgun Gothic"/>
        </w:rPr>
      </w:pPr>
      <w:r w:rsidRPr="00F37A12">
        <w:rPr>
          <w:rFonts w:eastAsia="Malgun Gothic"/>
          <w:i/>
        </w:rPr>
        <w:t xml:space="preserve">Part B, paragraph </w:t>
      </w:r>
      <w:proofErr w:type="gramStart"/>
      <w:r w:rsidRPr="00F37A12">
        <w:rPr>
          <w:rFonts w:eastAsia="Malgun Gothic"/>
          <w:i/>
        </w:rPr>
        <w:t>2.,</w:t>
      </w:r>
      <w:proofErr w:type="gramEnd"/>
      <w:r w:rsidRPr="00F37A12">
        <w:rPr>
          <w:rFonts w:eastAsia="Malgun Gothic"/>
          <w:i/>
        </w:rPr>
        <w:t xml:space="preserve"> Application/Scope</w:t>
      </w:r>
      <w:r w:rsidRPr="00F37A12">
        <w:rPr>
          <w:rFonts w:eastAsia="Malgun Gothic"/>
        </w:rPr>
        <w:t xml:space="preserve">, </w:t>
      </w:r>
      <w:r w:rsidR="00F3244F">
        <w:rPr>
          <w:rFonts w:eastAsia="Malgun Gothic"/>
        </w:rPr>
        <w:t>correct</w:t>
      </w:r>
      <w:r w:rsidRPr="00F37A12">
        <w:rPr>
          <w:rFonts w:eastAsia="Malgun Gothic"/>
        </w:rPr>
        <w:t xml:space="preserve"> to read:</w:t>
      </w:r>
    </w:p>
    <w:p w:rsidR="00F37A12" w:rsidRPr="00F37A12" w:rsidRDefault="00F37A12" w:rsidP="00F37A12">
      <w:pPr>
        <w:spacing w:after="120" w:line="240" w:lineRule="auto"/>
        <w:ind w:left="2268" w:right="992" w:hanging="1134"/>
        <w:jc w:val="both"/>
        <w:rPr>
          <w:rFonts w:eastAsia="Malgun Gothic"/>
          <w:iCs/>
          <w:lang w:val="en-US"/>
        </w:rPr>
      </w:pPr>
      <w:proofErr w:type="gramStart"/>
      <w:r w:rsidRPr="00F37A12">
        <w:rPr>
          <w:rFonts w:eastAsia="Malgun Gothic"/>
          <w:iCs/>
          <w:lang w:val="en-US"/>
        </w:rPr>
        <w:t>"2.</w:t>
      </w:r>
      <w:r w:rsidRPr="00F37A12">
        <w:rPr>
          <w:rFonts w:eastAsia="Malgun Gothic"/>
          <w:iCs/>
          <w:lang w:val="en-US"/>
        </w:rPr>
        <w:tab/>
        <w:t xml:space="preserve">This regulation applies to safety glazing intended for installation as windscreens or </w:t>
      </w:r>
      <w:r w:rsidRPr="00F37A12">
        <w:rPr>
          <w:rFonts w:eastAsia="Malgun Gothic"/>
          <w:b/>
          <w:iCs/>
          <w:lang w:val="en-US"/>
        </w:rPr>
        <w:t xml:space="preserve">panes or as partitioning, </w:t>
      </w:r>
      <w:r w:rsidRPr="00F37A12">
        <w:rPr>
          <w:rFonts w:eastAsia="Malgun Gothic"/>
          <w:iCs/>
          <w:strike/>
          <w:lang w:val="en-US"/>
        </w:rPr>
        <w:t>use of double windows panes, each pane is considered a separate item of glazing panes</w:t>
      </w:r>
      <w:r w:rsidRPr="00F37A12">
        <w:rPr>
          <w:rFonts w:eastAsia="Malgun Gothic"/>
          <w:iCs/>
          <w:lang w:val="en-US"/>
        </w:rPr>
        <w:t xml:space="preserve"> on Category 1 and 2 vehicles as defined in Special Resolution No. 1 (S.R.1) concerning the Common Definitions of Vehicle Categories, Masses and Dimensions, to the exclusion however of glazing for lighting and light-</w:t>
      </w:r>
      <w:proofErr w:type="spellStart"/>
      <w:r w:rsidRPr="00F37A12">
        <w:rPr>
          <w:rFonts w:eastAsia="Malgun Gothic"/>
          <w:iCs/>
          <w:lang w:val="en-US"/>
        </w:rPr>
        <w:t>signalling</w:t>
      </w:r>
      <w:proofErr w:type="spellEnd"/>
      <w:r w:rsidRPr="00F37A12">
        <w:rPr>
          <w:rFonts w:eastAsia="Malgun Gothic"/>
          <w:iCs/>
          <w:lang w:val="en-US"/>
        </w:rPr>
        <w:t xml:space="preserve"> devices and instrument panels, a</w:t>
      </w:r>
      <w:r w:rsidR="00DE089C">
        <w:rPr>
          <w:rFonts w:eastAsia="Malgun Gothic"/>
          <w:iCs/>
          <w:lang w:val="en-US"/>
        </w:rPr>
        <w:t>nd of bullet resistant glazing.</w:t>
      </w:r>
      <w:proofErr w:type="gramEnd"/>
      <w:r w:rsidRPr="00F37A12">
        <w:rPr>
          <w:rFonts w:eastAsia="Malgun Gothic"/>
          <w:iCs/>
          <w:lang w:val="en-US"/>
        </w:rPr>
        <w:t xml:space="preserve"> In the case of double windows, each pane is considered a separate item of glazing."</w:t>
      </w:r>
    </w:p>
    <w:p w:rsidR="00F37A12" w:rsidRPr="00F37A12" w:rsidRDefault="00F37A12" w:rsidP="00F37A12">
      <w:pPr>
        <w:spacing w:after="120"/>
        <w:ind w:left="1134" w:right="1134"/>
        <w:jc w:val="both"/>
        <w:rPr>
          <w:rFonts w:eastAsia="Malgun Gothic"/>
        </w:rPr>
      </w:pPr>
      <w:r w:rsidRPr="00F37A12">
        <w:rPr>
          <w:rFonts w:eastAsia="Malgun Gothic"/>
          <w:i/>
        </w:rPr>
        <w:t>Part B, paragraph 6.3.2.3.</w:t>
      </w:r>
      <w:r w:rsidRPr="00F37A12">
        <w:rPr>
          <w:rFonts w:eastAsia="Malgun Gothic"/>
        </w:rPr>
        <w:t xml:space="preserve">, </w:t>
      </w:r>
      <w:r w:rsidR="00F3244F">
        <w:rPr>
          <w:rFonts w:eastAsia="Malgun Gothic"/>
        </w:rPr>
        <w:t>correct</w:t>
      </w:r>
      <w:r w:rsidRPr="00F37A12">
        <w:rPr>
          <w:rFonts w:eastAsia="Malgun Gothic"/>
        </w:rPr>
        <w:t xml:space="preserve"> to read: </w:t>
      </w:r>
    </w:p>
    <w:p w:rsidR="00043B2C" w:rsidRPr="00007048" w:rsidRDefault="00F37A12" w:rsidP="00007048">
      <w:pPr>
        <w:spacing w:line="240" w:lineRule="auto"/>
        <w:ind w:left="2268" w:right="993" w:hanging="1134"/>
        <w:jc w:val="both"/>
        <w:rPr>
          <w:rFonts w:eastAsia="MS Mincho"/>
          <w:bCs/>
          <w:spacing w:val="-2"/>
          <w:lang w:val="en-US" w:eastAsia="ja-JP"/>
        </w:rPr>
      </w:pPr>
      <w:r w:rsidRPr="00F37A12">
        <w:rPr>
          <w:rFonts w:eastAsia="Malgun Gothic"/>
          <w:iCs/>
          <w:lang w:val="en-US"/>
        </w:rPr>
        <w:t>"6.3.2.3.</w:t>
      </w:r>
      <w:r w:rsidRPr="00F37A12">
        <w:rPr>
          <w:rFonts w:eastAsia="Malgun Gothic"/>
          <w:iCs/>
          <w:lang w:val="en-US"/>
        </w:rPr>
        <w:tab/>
        <w:t xml:space="preserve">The point of impact shall be within 25 mm of the </w:t>
      </w:r>
      <w:r w:rsidRPr="00F37A12">
        <w:rPr>
          <w:rFonts w:eastAsia="Malgun Gothic"/>
          <w:b/>
          <w:lang w:val="en-US"/>
        </w:rPr>
        <w:t>geometric</w:t>
      </w:r>
      <w:r w:rsidRPr="00F37A12">
        <w:rPr>
          <w:rFonts w:eastAsia="Malgun Gothic"/>
          <w:iCs/>
          <w:lang w:val="en-US"/>
        </w:rPr>
        <w:t xml:space="preserve"> </w:t>
      </w:r>
      <w:proofErr w:type="spellStart"/>
      <w:r w:rsidRPr="00F37A12">
        <w:rPr>
          <w:rFonts w:eastAsia="Malgun Gothic"/>
          <w:iCs/>
          <w:lang w:val="en-US"/>
        </w:rPr>
        <w:t>centre</w:t>
      </w:r>
      <w:proofErr w:type="spellEnd"/>
      <w:r w:rsidRPr="00F37A12">
        <w:rPr>
          <w:rFonts w:eastAsia="Malgun Gothic"/>
          <w:iCs/>
          <w:lang w:val="en-US"/>
        </w:rPr>
        <w:t xml:space="preserve"> of the </w:t>
      </w:r>
      <w:r w:rsidRPr="00F37A12">
        <w:rPr>
          <w:rFonts w:eastAsia="Malgun Gothic"/>
          <w:b/>
          <w:lang w:val="en-US"/>
        </w:rPr>
        <w:t>test</w:t>
      </w:r>
      <w:r w:rsidRPr="00F37A12">
        <w:rPr>
          <w:rFonts w:eastAsia="Malgun Gothic"/>
          <w:lang w:val="en-US"/>
        </w:rPr>
        <w:t xml:space="preserve"> </w:t>
      </w:r>
      <w:r w:rsidRPr="00F37A12">
        <w:rPr>
          <w:rFonts w:eastAsia="Malgun Gothic"/>
          <w:b/>
          <w:lang w:val="en-US"/>
        </w:rPr>
        <w:t>piece</w:t>
      </w:r>
      <w:r w:rsidRPr="00F37A12">
        <w:rPr>
          <w:rFonts w:eastAsia="Malgun Gothic"/>
          <w:lang w:val="en-US"/>
        </w:rPr>
        <w:t xml:space="preserve"> </w:t>
      </w:r>
      <w:r w:rsidRPr="00F37A12">
        <w:rPr>
          <w:rFonts w:eastAsia="Malgun Gothic"/>
          <w:iCs/>
          <w:strike/>
          <w:lang w:val="en-US"/>
        </w:rPr>
        <w:t>supported area</w:t>
      </w:r>
      <w:r w:rsidRPr="00F37A12">
        <w:rPr>
          <w:rFonts w:eastAsia="Malgun Gothic"/>
          <w:iCs/>
          <w:lang w:val="en-US"/>
        </w:rPr>
        <w:t xml:space="preserve"> for a drop height less than or equal to 6 m, and within 50 mm of the </w:t>
      </w:r>
      <w:proofErr w:type="spellStart"/>
      <w:r w:rsidRPr="00F37A12">
        <w:rPr>
          <w:rFonts w:eastAsia="Malgun Gothic"/>
          <w:iCs/>
          <w:lang w:val="en-US"/>
        </w:rPr>
        <w:t>centre</w:t>
      </w:r>
      <w:proofErr w:type="spellEnd"/>
      <w:r w:rsidRPr="00F37A12">
        <w:rPr>
          <w:rFonts w:eastAsia="Malgun Gothic"/>
          <w:iCs/>
          <w:lang w:val="en-US"/>
        </w:rPr>
        <w:t xml:space="preserve"> of the </w:t>
      </w:r>
      <w:r w:rsidRPr="00F37A12">
        <w:rPr>
          <w:rFonts w:eastAsia="Malgun Gothic"/>
          <w:iCs/>
          <w:strike/>
          <w:lang w:val="en-US"/>
        </w:rPr>
        <w:t xml:space="preserve">supported </w:t>
      </w:r>
      <w:r w:rsidRPr="00F37A12">
        <w:rPr>
          <w:rFonts w:eastAsia="Malgun Gothic"/>
          <w:b/>
          <w:iCs/>
          <w:strike/>
          <w:lang w:val="en-US"/>
        </w:rPr>
        <w:t>area</w:t>
      </w:r>
      <w:r w:rsidRPr="00F37A12">
        <w:rPr>
          <w:rFonts w:eastAsia="Malgun Gothic"/>
          <w:b/>
          <w:iCs/>
          <w:lang w:val="en-US"/>
        </w:rPr>
        <w:t xml:space="preserve"> </w:t>
      </w:r>
      <w:r w:rsidRPr="00F37A12">
        <w:rPr>
          <w:rFonts w:eastAsia="Malgun Gothic"/>
          <w:b/>
          <w:lang w:val="en-US"/>
        </w:rPr>
        <w:t>test piece</w:t>
      </w:r>
      <w:r w:rsidRPr="00F37A12">
        <w:rPr>
          <w:rFonts w:eastAsia="Malgun Gothic"/>
          <w:iCs/>
          <w:lang w:val="en-US"/>
        </w:rPr>
        <w:t xml:space="preserve"> for a drop height greater than 6 m."</w:t>
      </w:r>
    </w:p>
    <w:p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:rsidR="00F37A12" w:rsidRDefault="00F3244F" w:rsidP="00F37A12">
      <w:pPr>
        <w:pStyle w:val="SingleTxtG"/>
      </w:pPr>
      <w:r>
        <w:t>1.</w:t>
      </w:r>
      <w:r>
        <w:tab/>
        <w:t xml:space="preserve">The IWG on PSG is of the opinion that </w:t>
      </w:r>
      <w:r w:rsidR="00F37A12">
        <w:t xml:space="preserve">there is an obvious mistake in the scope. When reading part A of </w:t>
      </w:r>
      <w:r w:rsidR="00627442">
        <w:t xml:space="preserve">UN </w:t>
      </w:r>
      <w:r>
        <w:t>GTR</w:t>
      </w:r>
      <w:r w:rsidR="00627442">
        <w:t xml:space="preserve"> No. 6</w:t>
      </w:r>
      <w:r w:rsidR="00F37A12">
        <w:t xml:space="preserve">, one understands the intention is not to apply the </w:t>
      </w:r>
      <w:r w:rsidR="00DE089C">
        <w:t>GTR</w:t>
      </w:r>
      <w:r w:rsidR="00F37A12">
        <w:t xml:space="preserve"> only to windscreens and double </w:t>
      </w:r>
      <w:proofErr w:type="gramStart"/>
      <w:r w:rsidR="00F37A12">
        <w:t>window panes</w:t>
      </w:r>
      <w:proofErr w:type="gramEnd"/>
      <w:r w:rsidR="00F37A12">
        <w:t>. Also scopes of UN Regulation No. 43 and other regional/</w:t>
      </w:r>
      <w:proofErr w:type="gramStart"/>
      <w:r w:rsidR="00F37A12">
        <w:t>national  regulations</w:t>
      </w:r>
      <w:proofErr w:type="gramEnd"/>
      <w:r w:rsidR="00F37A12">
        <w:t xml:space="preserve"> used as </w:t>
      </w:r>
      <w:r w:rsidR="00627442">
        <w:t xml:space="preserve">a </w:t>
      </w:r>
      <w:r w:rsidR="00F37A12">
        <w:t xml:space="preserve">basis for the </w:t>
      </w:r>
      <w:r>
        <w:t>GTR</w:t>
      </w:r>
      <w:r w:rsidR="00F37A12">
        <w:t xml:space="preserve"> are </w:t>
      </w:r>
      <w:r w:rsidR="00627442">
        <w:t>broader</w:t>
      </w:r>
      <w:r w:rsidR="00F37A12">
        <w:t>.</w:t>
      </w:r>
    </w:p>
    <w:p w:rsidR="00557459" w:rsidRDefault="00F3244F" w:rsidP="00F37A12">
      <w:pPr>
        <w:pStyle w:val="SingleTxtG"/>
      </w:pPr>
      <w:r>
        <w:t>2.</w:t>
      </w:r>
      <w:r>
        <w:tab/>
      </w:r>
      <w:r w:rsidR="00F37A12">
        <w:t>For paragraph 6.3.2.3.</w:t>
      </w:r>
      <w:r>
        <w:t>, t</w:t>
      </w:r>
      <w:r w:rsidRPr="00F3244F">
        <w:t xml:space="preserve">he IWG on PSG </w:t>
      </w:r>
      <w:r>
        <w:t xml:space="preserve">agreed to submit a </w:t>
      </w:r>
      <w:r w:rsidR="00F37A12">
        <w:t xml:space="preserve">Corrigendum </w:t>
      </w:r>
      <w:r>
        <w:t>t</w:t>
      </w:r>
      <w:r w:rsidR="00F37A12">
        <w:t xml:space="preserve">o the </w:t>
      </w:r>
      <w:r>
        <w:t>GTR</w:t>
      </w:r>
      <w:r w:rsidR="00F37A12">
        <w:t xml:space="preserve"> </w:t>
      </w:r>
      <w:r>
        <w:t>to correct the</w:t>
      </w:r>
      <w:r w:rsidR="00F37A12">
        <w:t xml:space="preserve"> technical rationale </w:t>
      </w:r>
      <w:r>
        <w:t xml:space="preserve">(the </w:t>
      </w:r>
      <w:r w:rsidR="00F37A12">
        <w:t xml:space="preserve">impact test procedure </w:t>
      </w:r>
      <w:r>
        <w:t xml:space="preserve">shall be the </w:t>
      </w:r>
      <w:r w:rsidR="00F37A12">
        <w:t xml:space="preserve">same as </w:t>
      </w:r>
      <w:r>
        <w:t xml:space="preserve">in </w:t>
      </w:r>
      <w:r w:rsidR="00627442">
        <w:t xml:space="preserve">UN Regulation No. 43 or in standard </w:t>
      </w:r>
      <w:r w:rsidR="00F37A12">
        <w:t>ISO 3537</w:t>
      </w:r>
      <w:r>
        <w:t xml:space="preserve"> </w:t>
      </w:r>
      <w:r w:rsidR="00627442">
        <w:t>of the</w:t>
      </w:r>
      <w:r w:rsidR="00627442" w:rsidRPr="0002191E">
        <w:t xml:space="preserve"> International Organization for Standardization (ISO)</w:t>
      </w:r>
      <w:r w:rsidR="00F37A12">
        <w:t>)</w:t>
      </w:r>
      <w:r w:rsidR="00557459"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7A" w:rsidRDefault="008A5F7A"/>
  </w:endnote>
  <w:endnote w:type="continuationSeparator" w:id="0">
    <w:p w:rsidR="008A5F7A" w:rsidRDefault="008A5F7A"/>
  </w:endnote>
  <w:endnote w:type="continuationNotice" w:id="1">
    <w:p w:rsidR="008A5F7A" w:rsidRDefault="008A5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0" w:rsidRPr="00803BF8" w:rsidRDefault="00EC5980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24A86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0" w:rsidRPr="00803BF8" w:rsidRDefault="00EC5980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43B2C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86" w:rsidRDefault="00A24A86" w:rsidP="00A24A86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1CC65957" wp14:editId="005E2C03">
          <wp:simplePos x="0" y="0"/>
          <wp:positionH relativeFrom="column">
            <wp:posOffset>5461635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2" descr="http://undocs.org/m2/QRCode.ashx?DS=ECE/TRANS/WP.29/GRSG/2017/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ndocs.org/m2/QRCode.ashx?DS=ECE/TRANS/WP.29/GRSG/2017/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2996442B" wp14:editId="04C1E04B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4A86" w:rsidRDefault="00A24A86" w:rsidP="00A24A86">
    <w:pPr>
      <w:pStyle w:val="Footer"/>
      <w:ind w:right="1134"/>
      <w:rPr>
        <w:sz w:val="20"/>
      </w:rPr>
    </w:pPr>
    <w:r>
      <w:rPr>
        <w:sz w:val="20"/>
      </w:rPr>
      <w:t>GE.17-01510(E)</w:t>
    </w:r>
  </w:p>
  <w:p w:rsidR="00A24A86" w:rsidRPr="00A24A86" w:rsidRDefault="00A24A86" w:rsidP="00A24A8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7A" w:rsidRPr="000B175B" w:rsidRDefault="008A5F7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5F7A" w:rsidRPr="00FC68B7" w:rsidRDefault="008A5F7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A5F7A" w:rsidRDefault="008A5F7A"/>
  </w:footnote>
  <w:footnote w:id="2">
    <w:p w:rsidR="00EC5980" w:rsidRPr="00B14735" w:rsidRDefault="00EC5980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0" w:rsidRPr="00803BF8" w:rsidRDefault="00EC5980">
    <w:pPr>
      <w:pStyle w:val="Header"/>
    </w:pPr>
    <w:r>
      <w:t>ECE/TRANS/WP.29/GRSG/</w:t>
    </w:r>
    <w:r w:rsidRPr="00DF418A">
      <w:t>201</w:t>
    </w:r>
    <w:r w:rsidR="00FE2B53">
      <w:t>7</w:t>
    </w:r>
    <w:r>
      <w:t>/</w:t>
    </w:r>
    <w:r w:rsidR="00EA6E51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0" w:rsidRPr="00803BF8" w:rsidRDefault="00EC5980" w:rsidP="00803BF8">
    <w:pPr>
      <w:pStyle w:val="Header"/>
      <w:jc w:val="right"/>
    </w:pPr>
    <w:r>
      <w:t>ECE/TRANS/WP.29/GRSG/2016/21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2"/>
  </w:num>
  <w:num w:numId="16">
    <w:abstractNumId w:val="10"/>
  </w:num>
  <w:num w:numId="17">
    <w:abstractNumId w:val="14"/>
  </w:num>
  <w:num w:numId="18">
    <w:abstractNumId w:val="21"/>
  </w:num>
  <w:num w:numId="19">
    <w:abstractNumId w:val="12"/>
  </w:num>
  <w:num w:numId="20">
    <w:abstractNumId w:val="18"/>
  </w:num>
  <w:num w:numId="21">
    <w:abstractNumId w:val="2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7048"/>
    <w:rsid w:val="00013D2A"/>
    <w:rsid w:val="00014605"/>
    <w:rsid w:val="00015434"/>
    <w:rsid w:val="00015799"/>
    <w:rsid w:val="00031ABF"/>
    <w:rsid w:val="000333D4"/>
    <w:rsid w:val="00034C7C"/>
    <w:rsid w:val="0003564D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761BC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254C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2229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11A6"/>
    <w:rsid w:val="003327D5"/>
    <w:rsid w:val="00336789"/>
    <w:rsid w:val="003406CC"/>
    <w:rsid w:val="0034070E"/>
    <w:rsid w:val="0034168B"/>
    <w:rsid w:val="00341F69"/>
    <w:rsid w:val="003450DD"/>
    <w:rsid w:val="003451F4"/>
    <w:rsid w:val="00350763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C17CC"/>
    <w:rsid w:val="003C2CC4"/>
    <w:rsid w:val="003C46E4"/>
    <w:rsid w:val="003C472E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27442"/>
    <w:rsid w:val="0063070C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1297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63CE"/>
    <w:rsid w:val="008679D9"/>
    <w:rsid w:val="00872EA9"/>
    <w:rsid w:val="00873BB6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176C9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4A86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AF6B6C"/>
    <w:rsid w:val="00B048EE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7053"/>
    <w:rsid w:val="00B4767E"/>
    <w:rsid w:val="00B50BFB"/>
    <w:rsid w:val="00B50D1A"/>
    <w:rsid w:val="00B52507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22E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0653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C7BCA"/>
    <w:rsid w:val="00DD13A2"/>
    <w:rsid w:val="00DD19F5"/>
    <w:rsid w:val="00DD20EE"/>
    <w:rsid w:val="00DD455F"/>
    <w:rsid w:val="00DD640F"/>
    <w:rsid w:val="00DE089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E80"/>
    <w:rsid w:val="00E466D9"/>
    <w:rsid w:val="00E502E6"/>
    <w:rsid w:val="00E5085F"/>
    <w:rsid w:val="00E525B6"/>
    <w:rsid w:val="00E55173"/>
    <w:rsid w:val="00E560CA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A6E51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EF6DC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3244F"/>
    <w:rsid w:val="00F37A12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2B53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FA40-2F53-4E6F-AC90-16578876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447</Words>
  <Characters>2287</Characters>
  <Application>Microsoft Office Word</Application>
  <DocSecurity>0</DocSecurity>
  <Lines>55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1701510</dc:title>
  <dc:subject>ECE/TRANS/WP.29/GRSG/2017/7</dc:subject>
  <dc:creator>Romain HUBERT</dc:creator>
  <cp:keywords/>
  <dc:description/>
  <cp:lastModifiedBy>PDF ENG</cp:lastModifiedBy>
  <cp:revision>2</cp:revision>
  <cp:lastPrinted>2017-01-31T14:15:00Z</cp:lastPrinted>
  <dcterms:created xsi:type="dcterms:W3CDTF">2017-02-02T10:39:00Z</dcterms:created>
  <dcterms:modified xsi:type="dcterms:W3CDTF">2017-02-02T10:39:00Z</dcterms:modified>
</cp:coreProperties>
</file>