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F701DF" w:rsidP="004E59A8">
            <w:pPr>
              <w:jc w:val="right"/>
              <w:rPr>
                <w:b/>
                <w:sz w:val="40"/>
                <w:szCs w:val="40"/>
              </w:rPr>
            </w:pPr>
            <w:r>
              <w:rPr>
                <w:rFonts w:eastAsia="MS Mincho"/>
              </w:rPr>
              <w:tab/>
            </w:r>
            <w:r>
              <w:rPr>
                <w:rFonts w:eastAsia="MS Mincho"/>
              </w:rPr>
              <w:tab/>
            </w:r>
            <w:r>
              <w:rPr>
                <w:rFonts w:eastAsia="MS Mincho"/>
              </w:rPr>
              <w:tab/>
            </w:r>
            <w:r>
              <w:rPr>
                <w:rFonts w:eastAsia="MS Mincho"/>
              </w:rPr>
              <w:tab/>
            </w:r>
            <w:r>
              <w:rPr>
                <w:rFonts w:eastAsia="MS Mincho"/>
              </w:rPr>
              <w:tab/>
            </w:r>
            <w:r w:rsidR="0099001C" w:rsidRPr="0099001C">
              <w:rPr>
                <w:b/>
                <w:sz w:val="40"/>
                <w:szCs w:val="40"/>
              </w:rPr>
              <w:t>UN/SCEGHS/</w:t>
            </w:r>
            <w:r w:rsidR="00714938">
              <w:rPr>
                <w:b/>
                <w:sz w:val="40"/>
                <w:szCs w:val="40"/>
              </w:rPr>
              <w:t>35</w:t>
            </w:r>
            <w:r w:rsidR="0099001C" w:rsidRPr="0099001C">
              <w:rPr>
                <w:b/>
                <w:sz w:val="40"/>
                <w:szCs w:val="40"/>
              </w:rPr>
              <w:t>/INF.</w:t>
            </w:r>
            <w:r w:rsidR="00E81804">
              <w:rPr>
                <w:b/>
                <w:sz w:val="40"/>
                <w:szCs w:val="40"/>
              </w:rPr>
              <w:t>24</w:t>
            </w:r>
          </w:p>
        </w:tc>
      </w:tr>
      <w:tr w:rsidR="0099001C" w:rsidTr="008B6E26">
        <w:trPr>
          <w:cantSplit/>
          <w:trHeight w:hRule="exact" w:val="3114"/>
        </w:trPr>
        <w:tc>
          <w:tcPr>
            <w:tcW w:w="9639" w:type="dxa"/>
            <w:tcBorders>
              <w:top w:val="single" w:sz="4" w:space="0" w:color="auto"/>
            </w:tcBorders>
          </w:tcPr>
          <w:p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rsidR="00965932" w:rsidRPr="00765969" w:rsidRDefault="00965932" w:rsidP="00A820CB">
            <w:pPr>
              <w:tabs>
                <w:tab w:val="left" w:pos="5529"/>
                <w:tab w:val="right" w:pos="9300"/>
              </w:tabs>
              <w:spacing w:before="120"/>
              <w:rPr>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1B06A5">
              <w:rPr>
                <w:b/>
                <w:lang w:val="en-US"/>
              </w:rPr>
              <w:tab/>
            </w:r>
            <w:r w:rsidR="00F12803">
              <w:rPr>
                <w:b/>
                <w:lang w:val="en-US"/>
              </w:rPr>
              <w:t>25</w:t>
            </w:r>
            <w:bookmarkStart w:id="0" w:name="_GoBack"/>
            <w:bookmarkEnd w:id="0"/>
            <w:r w:rsidR="006B75C5">
              <w:rPr>
                <w:b/>
                <w:color w:val="FF0000"/>
                <w:lang w:val="en-US"/>
              </w:rPr>
              <w:t xml:space="preserve"> </w:t>
            </w:r>
            <w:r w:rsidR="008206EF" w:rsidRPr="006B75C5">
              <w:rPr>
                <w:b/>
                <w:lang w:val="en-US"/>
              </w:rPr>
              <w:t>June</w:t>
            </w:r>
            <w:r w:rsidR="00714938" w:rsidRPr="006B75C5">
              <w:rPr>
                <w:b/>
                <w:lang w:val="en-US"/>
              </w:rPr>
              <w:t xml:space="preserve"> 2018</w:t>
            </w:r>
            <w:r w:rsidR="000B093B" w:rsidRPr="006B75C5">
              <w:rPr>
                <w:b/>
                <w:lang w:val="en-US"/>
              </w:rPr>
              <w:t xml:space="preserve"> </w:t>
            </w:r>
          </w:p>
          <w:p w:rsidR="00965932" w:rsidRPr="001B03EA" w:rsidRDefault="00965932" w:rsidP="00965932">
            <w:pPr>
              <w:jc w:val="both"/>
              <w:rPr>
                <w:b/>
              </w:rPr>
            </w:pPr>
          </w:p>
          <w:p w:rsidR="00965932" w:rsidRPr="001B03EA" w:rsidRDefault="00965932" w:rsidP="00965932">
            <w:pPr>
              <w:jc w:val="both"/>
            </w:pPr>
            <w:r w:rsidRPr="001B03EA">
              <w:rPr>
                <w:b/>
              </w:rPr>
              <w:t>Thirty-</w:t>
            </w:r>
            <w:r w:rsidR="006C5E27">
              <w:rPr>
                <w:b/>
              </w:rPr>
              <w:t>fifth</w:t>
            </w:r>
            <w:r w:rsidR="006C5E27" w:rsidRPr="001B03EA">
              <w:rPr>
                <w:b/>
              </w:rPr>
              <w:t xml:space="preserve"> </w:t>
            </w:r>
            <w:r w:rsidRPr="001B03EA">
              <w:rPr>
                <w:b/>
              </w:rPr>
              <w:t>session</w:t>
            </w:r>
            <w:r w:rsidRPr="001B03EA">
              <w:t xml:space="preserve"> </w:t>
            </w:r>
          </w:p>
          <w:p w:rsidR="001B06A5" w:rsidRPr="000B4919" w:rsidRDefault="001B06A5" w:rsidP="001B06A5">
            <w:pPr>
              <w:jc w:val="both"/>
            </w:pPr>
            <w:r w:rsidRPr="00283442">
              <w:t xml:space="preserve">Geneva, </w:t>
            </w:r>
            <w:r w:rsidR="00714938">
              <w:t>4-6 July 2018</w:t>
            </w:r>
          </w:p>
          <w:p w:rsidR="001B06A5" w:rsidRPr="006B75C5" w:rsidRDefault="001B06A5" w:rsidP="001B06A5">
            <w:pPr>
              <w:spacing w:before="40"/>
            </w:pPr>
            <w:r w:rsidRPr="006B75C5">
              <w:t xml:space="preserve">Item </w:t>
            </w:r>
            <w:r w:rsidR="00F12803">
              <w:t>6</w:t>
            </w:r>
            <w:r w:rsidRPr="004E59A8">
              <w:rPr>
                <w:color w:val="FF0000"/>
              </w:rPr>
              <w:t xml:space="preserve"> </w:t>
            </w:r>
            <w:r w:rsidRPr="006B75C5">
              <w:t>of the provisional agenda</w:t>
            </w:r>
          </w:p>
          <w:p w:rsidR="00906A87" w:rsidRPr="00F12803" w:rsidRDefault="00F12803" w:rsidP="00906A87">
            <w:pPr>
              <w:spacing w:line="240" w:lineRule="exact"/>
              <w:rPr>
                <w:b/>
                <w:bCs/>
              </w:rPr>
            </w:pPr>
            <w:r w:rsidRPr="00F12803">
              <w:rPr>
                <w:b/>
                <w:bCs/>
              </w:rPr>
              <w:t>D</w:t>
            </w:r>
            <w:r w:rsidRPr="00F12803">
              <w:rPr>
                <w:b/>
                <w:bCs/>
              </w:rPr>
              <w:t>evelopment of guidance on the application of GHS criteria</w:t>
            </w:r>
          </w:p>
        </w:tc>
      </w:tr>
    </w:tbl>
    <w:p w:rsidR="00906A87" w:rsidRDefault="004E59A8" w:rsidP="00906A87">
      <w:pPr>
        <w:pStyle w:val="HChG"/>
        <w:ind w:left="1138" w:right="1138" w:hanging="1138"/>
        <w:rPr>
          <w:szCs w:val="28"/>
        </w:rPr>
      </w:pPr>
      <w:r>
        <w:rPr>
          <w:rFonts w:eastAsia="MS Mincho"/>
          <w:lang w:val="en-US" w:eastAsia="ja-JP"/>
        </w:rPr>
        <w:tab/>
      </w:r>
      <w:r>
        <w:rPr>
          <w:rFonts w:eastAsia="MS Mincho"/>
          <w:lang w:val="en-US" w:eastAsia="ja-JP"/>
        </w:rPr>
        <w:tab/>
        <w:t xml:space="preserve">Update </w:t>
      </w:r>
      <w:r w:rsidRPr="004E59A8">
        <w:rPr>
          <w:szCs w:val="28"/>
        </w:rPr>
        <w:t xml:space="preserve">of </w:t>
      </w:r>
      <w:r w:rsidR="009B4F06">
        <w:rPr>
          <w:szCs w:val="28"/>
        </w:rPr>
        <w:t xml:space="preserve">the </w:t>
      </w:r>
      <w:r w:rsidR="0016152C">
        <w:rPr>
          <w:szCs w:val="28"/>
        </w:rPr>
        <w:t xml:space="preserve">IPIECA </w:t>
      </w:r>
      <w:r w:rsidR="0016152C" w:rsidRPr="0016152C">
        <w:rPr>
          <w:szCs w:val="28"/>
        </w:rPr>
        <w:t>Guidance on the Application of Globally Harmonized System (GHS) Criteria to Petroleum Substances</w:t>
      </w:r>
    </w:p>
    <w:p w:rsidR="00906A87" w:rsidRDefault="00906A87" w:rsidP="00E81804">
      <w:pPr>
        <w:pStyle w:val="H1G"/>
        <w:rPr>
          <w:lang w:eastAsia="de-DE"/>
        </w:rPr>
      </w:pPr>
      <w:r w:rsidRPr="00137DCE">
        <w:rPr>
          <w:rFonts w:eastAsia="MS Mincho"/>
        </w:rPr>
        <w:tab/>
      </w:r>
      <w:r w:rsidRPr="00137DCE">
        <w:rPr>
          <w:rFonts w:eastAsia="MS Mincho"/>
        </w:rPr>
        <w:tab/>
      </w:r>
      <w:r w:rsidR="004E59A8" w:rsidRPr="004E59A8">
        <w:rPr>
          <w:lang w:eastAsia="de-DE"/>
        </w:rPr>
        <w:t xml:space="preserve">Transmitted by the </w:t>
      </w:r>
      <w:r w:rsidR="004E59A8" w:rsidRPr="00E81804">
        <w:t>International</w:t>
      </w:r>
      <w:r w:rsidR="004E59A8" w:rsidRPr="004E59A8">
        <w:rPr>
          <w:lang w:eastAsia="de-DE"/>
        </w:rPr>
        <w:t xml:space="preserve"> Petroleum Industry Environmental Conservation Association (IPIECA)</w:t>
      </w:r>
    </w:p>
    <w:p w:rsidR="00906A87" w:rsidRDefault="00906A87" w:rsidP="00906A87">
      <w:pPr>
        <w:pStyle w:val="HChG"/>
      </w:pPr>
      <w:r>
        <w:tab/>
      </w:r>
      <w:r>
        <w:tab/>
      </w:r>
      <w:r w:rsidR="00CF4136" w:rsidRPr="00CF4136">
        <w:t>Background</w:t>
      </w:r>
    </w:p>
    <w:p w:rsidR="00CF4136" w:rsidRDefault="00CF4136" w:rsidP="00CF4136">
      <w:pPr>
        <w:pStyle w:val="SingleTxtG"/>
        <w:numPr>
          <w:ilvl w:val="0"/>
          <w:numId w:val="10"/>
        </w:numPr>
        <w:ind w:left="1134" w:firstLine="0"/>
      </w:pPr>
      <w:r w:rsidRPr="00CF4136">
        <w:t xml:space="preserve">Various industry sectors are working to ensure their members are familiar with the GHS framework.  Outreach efforts have occurred in areas such as the metals and mining, petroleum, and chemicals industries. These industries aim to ensure awareness </w:t>
      </w:r>
      <w:r w:rsidR="00317C5E">
        <w:t xml:space="preserve">of </w:t>
      </w:r>
      <w:r w:rsidRPr="00CF4136">
        <w:t xml:space="preserve">members and provide guidance and interpretation relevant to substances and mixtures specific to their industries.  </w:t>
      </w:r>
    </w:p>
    <w:p w:rsidR="002430E2" w:rsidRDefault="002430E2" w:rsidP="002430E2">
      <w:pPr>
        <w:pStyle w:val="SingleTxtG"/>
        <w:numPr>
          <w:ilvl w:val="0"/>
          <w:numId w:val="10"/>
        </w:numPr>
        <w:ind w:left="1134" w:firstLine="0"/>
      </w:pPr>
      <w:r w:rsidRPr="009D533D">
        <w:t>The concept of sector guidance is consistent with the aims of the UN Strategic Approach to International Chemicals Management (SAICM).  SAICM goals include promoting industry participation and responsibility; establishing a clearing house for information on chemical safety to optimize the use of resources; strengthening the exchange of technical information among the academic, industrial, governmental, and intergovernmental sectors; and other goals r</w:t>
      </w:r>
      <w:r>
        <w:t>elated to chemicals management</w:t>
      </w:r>
      <w:r w:rsidRPr="009D533D">
        <w:t>.</w:t>
      </w:r>
    </w:p>
    <w:p w:rsidR="00CF4136" w:rsidRDefault="002430E2" w:rsidP="00CF4136">
      <w:pPr>
        <w:pStyle w:val="SingleTxtG"/>
        <w:numPr>
          <w:ilvl w:val="0"/>
          <w:numId w:val="10"/>
        </w:numPr>
        <w:ind w:left="1134" w:firstLine="0"/>
      </w:pPr>
      <w:r w:rsidRPr="00795809">
        <w:t xml:space="preserve">IPIECA published the </w:t>
      </w:r>
      <w:r w:rsidRPr="00AC2C15">
        <w:rPr>
          <w:i/>
        </w:rPr>
        <w:t>Guidance on the Application of Globally Harmonized System (GHS) Criteria to Petroleum Substances</w:t>
      </w:r>
      <w:r>
        <w:t xml:space="preserve"> in 2010.  </w:t>
      </w:r>
      <w:r w:rsidR="00CF4136" w:rsidRPr="00CF4136">
        <w:t>It has been IPIECA’s experience that, while the GHS principles are robust, there are complexities and idiosyncrasies associated with their application to specific materials such as petroleum substances.  The IPIECA GHS guidance suggests arranging petroleum substances logically in groups of “similar” substances (product groups), which facilitates read-across for purposes of consistent classification and minimizes unnecessary testing.  The IPIECA guidance also informs the user that there are certain hazardous constituents, which should be considered in classification decisions when there is limited data on the complete substance.  Without this relevant information, the uninformed might view all petroleum substances as conventional mixtures and base all classification decisions solely on c</w:t>
      </w:r>
      <w:r w:rsidR="0094251F">
        <w:t>onstituent</w:t>
      </w:r>
      <w:r w:rsidR="00CF4136" w:rsidRPr="00CF4136">
        <w:t xml:space="preserve"> information.</w:t>
      </w:r>
    </w:p>
    <w:p w:rsidR="002C19A4" w:rsidRDefault="00E81804" w:rsidP="00E81804">
      <w:pPr>
        <w:pStyle w:val="HChG"/>
      </w:pPr>
      <w:r>
        <w:lastRenderedPageBreak/>
        <w:tab/>
      </w:r>
      <w:r>
        <w:tab/>
      </w:r>
      <w:r w:rsidR="002C19A4">
        <w:t xml:space="preserve">Benefits of the </w:t>
      </w:r>
      <w:r w:rsidR="002C19A4" w:rsidRPr="00E81804">
        <w:t>guidance</w:t>
      </w:r>
    </w:p>
    <w:p w:rsidR="002C19A4" w:rsidRPr="0094251F" w:rsidRDefault="002C19A4" w:rsidP="002C19A4">
      <w:pPr>
        <w:pStyle w:val="SingleTxtG"/>
        <w:numPr>
          <w:ilvl w:val="0"/>
          <w:numId w:val="10"/>
        </w:numPr>
        <w:ind w:left="1134" w:firstLine="0"/>
        <w:rPr>
          <w:color w:val="000000" w:themeColor="text1"/>
        </w:rPr>
      </w:pPr>
      <w:r>
        <w:t xml:space="preserve">IPIECA believes that utilization of the guidance will result in global harmonization of hazard </w:t>
      </w:r>
      <w:r w:rsidRPr="0094251F">
        <w:rPr>
          <w:color w:val="000000" w:themeColor="text1"/>
        </w:rPr>
        <w:t xml:space="preserve">classification of petroleum substances broadly traded in international commerce. Additional benefits of the guidance are: </w:t>
      </w:r>
    </w:p>
    <w:p w:rsidR="002C19A4" w:rsidRPr="0094251F" w:rsidRDefault="002C19A4" w:rsidP="00E81804">
      <w:pPr>
        <w:pStyle w:val="SingleTxtG"/>
        <w:ind w:left="2268" w:hanging="567"/>
        <w:rPr>
          <w:color w:val="000000" w:themeColor="text1"/>
        </w:rPr>
      </w:pPr>
      <w:r w:rsidRPr="0094251F">
        <w:rPr>
          <w:color w:val="000000" w:themeColor="text1"/>
        </w:rPr>
        <w:t>(a)</w:t>
      </w:r>
      <w:r w:rsidRPr="0094251F">
        <w:rPr>
          <w:color w:val="000000" w:themeColor="text1"/>
        </w:rPr>
        <w:tab/>
        <w:t>Application of the “grouping” or “category” concept, resulting in a full use of available data</w:t>
      </w:r>
      <w:r w:rsidR="00FF11EF">
        <w:rPr>
          <w:color w:val="000000" w:themeColor="text1"/>
        </w:rPr>
        <w:t>,</w:t>
      </w:r>
      <w:r w:rsidRPr="0094251F">
        <w:rPr>
          <w:color w:val="000000" w:themeColor="text1"/>
        </w:rPr>
        <w:t xml:space="preserve"> thereby minimizing the need for animal testing; </w:t>
      </w:r>
    </w:p>
    <w:p w:rsidR="002C19A4" w:rsidRPr="0094251F" w:rsidRDefault="002C19A4" w:rsidP="00E81804">
      <w:pPr>
        <w:pStyle w:val="SingleTxtG"/>
        <w:ind w:left="2268" w:hanging="567"/>
        <w:rPr>
          <w:color w:val="000000" w:themeColor="text1"/>
        </w:rPr>
      </w:pPr>
      <w:r w:rsidRPr="0094251F">
        <w:rPr>
          <w:color w:val="000000" w:themeColor="text1"/>
        </w:rPr>
        <w:t>(b)</w:t>
      </w:r>
      <w:r w:rsidRPr="0094251F">
        <w:rPr>
          <w:color w:val="000000" w:themeColor="text1"/>
        </w:rPr>
        <w:tab/>
        <w:t xml:space="preserve">Transparent use of GHS principles for the classification of </w:t>
      </w:r>
      <w:r w:rsidR="0094251F">
        <w:rPr>
          <w:color w:val="000000" w:themeColor="text1"/>
        </w:rPr>
        <w:t>petroleum</w:t>
      </w:r>
      <w:r w:rsidRPr="0094251F">
        <w:rPr>
          <w:color w:val="000000" w:themeColor="text1"/>
        </w:rPr>
        <w:t xml:space="preserve"> substances</w:t>
      </w:r>
      <w:r w:rsidR="0094251F">
        <w:rPr>
          <w:color w:val="000000" w:themeColor="text1"/>
        </w:rPr>
        <w:t>, a type of</w:t>
      </w:r>
      <w:r w:rsidR="0094251F" w:rsidRPr="0094251F">
        <w:rPr>
          <w:color w:val="000000" w:themeColor="text1"/>
        </w:rPr>
        <w:t xml:space="preserve"> </w:t>
      </w:r>
      <w:r w:rsidR="0094251F" w:rsidRPr="0094251F">
        <w:rPr>
          <w:color w:val="000000" w:themeColor="text1"/>
          <w:lang w:val="en"/>
        </w:rPr>
        <w:t xml:space="preserve">Unknown or Variable Composition, Complex Reaction Products </w:t>
      </w:r>
      <w:r w:rsidR="0094251F">
        <w:rPr>
          <w:color w:val="000000" w:themeColor="text1"/>
          <w:lang w:val="en"/>
        </w:rPr>
        <w:t>or</w:t>
      </w:r>
      <w:r w:rsidR="0094251F" w:rsidRPr="0094251F">
        <w:rPr>
          <w:color w:val="000000" w:themeColor="text1"/>
          <w:lang w:val="en"/>
        </w:rPr>
        <w:t xml:space="preserve"> Biological Materials</w:t>
      </w:r>
      <w:r w:rsidR="0094251F">
        <w:rPr>
          <w:color w:val="000000" w:themeColor="text1"/>
          <w:lang w:val="en"/>
        </w:rPr>
        <w:t xml:space="preserve"> (UVCBs)</w:t>
      </w:r>
      <w:r w:rsidRPr="0094251F">
        <w:rPr>
          <w:color w:val="000000" w:themeColor="text1"/>
        </w:rPr>
        <w:t>;</w:t>
      </w:r>
    </w:p>
    <w:p w:rsidR="002C19A4" w:rsidRPr="0094251F" w:rsidRDefault="002C19A4" w:rsidP="00E81804">
      <w:pPr>
        <w:pStyle w:val="SingleTxtG"/>
        <w:ind w:left="2268" w:hanging="567"/>
        <w:rPr>
          <w:color w:val="000000" w:themeColor="text1"/>
        </w:rPr>
      </w:pPr>
      <w:r w:rsidRPr="0094251F">
        <w:rPr>
          <w:color w:val="000000" w:themeColor="text1"/>
        </w:rPr>
        <w:t>(c)</w:t>
      </w:r>
      <w:r w:rsidRPr="0094251F">
        <w:rPr>
          <w:color w:val="000000" w:themeColor="text1"/>
        </w:rPr>
        <w:tab/>
        <w:t>Consistent and reliable classification of petroleum substances, resulting in appropriate hazard communication aiming to reduce the risks arising from the storage and handling of petroleum substances; and</w:t>
      </w:r>
    </w:p>
    <w:p w:rsidR="002C19A4" w:rsidRPr="0094251F" w:rsidRDefault="002C19A4" w:rsidP="00E81804">
      <w:pPr>
        <w:pStyle w:val="SingleTxtG"/>
        <w:ind w:firstLine="567"/>
        <w:rPr>
          <w:color w:val="000000" w:themeColor="text1"/>
        </w:rPr>
      </w:pPr>
      <w:r w:rsidRPr="0094251F">
        <w:rPr>
          <w:color w:val="000000" w:themeColor="text1"/>
        </w:rPr>
        <w:t>(d)</w:t>
      </w:r>
      <w:r w:rsidRPr="0094251F">
        <w:rPr>
          <w:color w:val="000000" w:themeColor="text1"/>
        </w:rPr>
        <w:tab/>
        <w:t>Consistent classification reduces costs for industry and countries.</w:t>
      </w:r>
    </w:p>
    <w:p w:rsidR="002C19A4" w:rsidRPr="0094251F" w:rsidRDefault="002C19A4" w:rsidP="002C19A4">
      <w:pPr>
        <w:pStyle w:val="SingleTxtG"/>
        <w:numPr>
          <w:ilvl w:val="0"/>
          <w:numId w:val="10"/>
        </w:numPr>
        <w:ind w:left="1134" w:firstLine="0"/>
        <w:rPr>
          <w:color w:val="000000" w:themeColor="text1"/>
        </w:rPr>
      </w:pPr>
      <w:r w:rsidRPr="0094251F">
        <w:rPr>
          <w:color w:val="000000" w:themeColor="text1"/>
        </w:rPr>
        <w:t xml:space="preserve">IPIECA encourages countries and industry to fully utilize this guidance in the application of the GHS criteria to petroleum substances.  By providing relevant sector-specific guidance, the hazard classification </w:t>
      </w:r>
      <w:r w:rsidR="0094251F">
        <w:rPr>
          <w:color w:val="000000" w:themeColor="text1"/>
        </w:rPr>
        <w:t xml:space="preserve">results </w:t>
      </w:r>
      <w:r w:rsidRPr="0094251F">
        <w:rPr>
          <w:color w:val="000000" w:themeColor="text1"/>
        </w:rPr>
        <w:t>of petroleum substances should be globally consistent regardless of regional differences in the implementation of GHS or classification of individual petroleum substance constituents.</w:t>
      </w:r>
    </w:p>
    <w:p w:rsidR="00A87EE0" w:rsidRPr="00555C42" w:rsidRDefault="00407AAE" w:rsidP="00A87EE0">
      <w:pPr>
        <w:pStyle w:val="HChG"/>
        <w:ind w:left="2268"/>
      </w:pPr>
      <w:r w:rsidRPr="00555C42">
        <w:t xml:space="preserve">Status </w:t>
      </w:r>
      <w:r w:rsidR="00A87EE0" w:rsidRPr="00555C42">
        <w:t xml:space="preserve">of the guidance </w:t>
      </w:r>
    </w:p>
    <w:p w:rsidR="00A87EE0" w:rsidRDefault="007C22F2" w:rsidP="00AC2C15">
      <w:pPr>
        <w:pStyle w:val="SingleTxtG"/>
        <w:numPr>
          <w:ilvl w:val="0"/>
          <w:numId w:val="10"/>
        </w:numPr>
        <w:ind w:left="1134" w:firstLine="0"/>
      </w:pPr>
      <w:r w:rsidRPr="00AC2C15">
        <w:t>There is a link to the</w:t>
      </w:r>
      <w:r w:rsidR="006234D5">
        <w:t xml:space="preserve"> 2010 </w:t>
      </w:r>
      <w:r w:rsidRPr="00AC2C15">
        <w:t xml:space="preserve">IPIECA </w:t>
      </w:r>
      <w:r w:rsidR="002430E2">
        <w:t xml:space="preserve">GHS </w:t>
      </w:r>
      <w:r w:rsidRPr="00AC2C15">
        <w:t xml:space="preserve">guidance on the UN GHS website under GHS </w:t>
      </w:r>
      <w:r w:rsidR="00F009B0" w:rsidRPr="00AC2C15">
        <w:t>guidance</w:t>
      </w:r>
      <w:r w:rsidRPr="00AC2C15">
        <w:t>, Section 2: Sector-specific guidance at:</w:t>
      </w:r>
    </w:p>
    <w:p w:rsidR="00A87EE0" w:rsidRPr="00555C42" w:rsidRDefault="003903B9" w:rsidP="00E81804">
      <w:pPr>
        <w:pStyle w:val="SingleTxtG"/>
        <w:ind w:left="1701"/>
      </w:pPr>
      <w:r w:rsidRPr="003903B9">
        <w:t>http://www.ipieca.org/resources/good-practice/guidance-on-the-application-of-globally-harmonized-system-ghs-criteria-to-petroleum-substances/</w:t>
      </w:r>
    </w:p>
    <w:p w:rsidR="00CF4136" w:rsidRDefault="00D10CFE" w:rsidP="00D10CFE">
      <w:pPr>
        <w:pStyle w:val="SingleTxtG"/>
        <w:numPr>
          <w:ilvl w:val="0"/>
          <w:numId w:val="10"/>
        </w:numPr>
        <w:ind w:left="1134" w:firstLine="0"/>
      </w:pPr>
      <w:r w:rsidRPr="00D10CFE">
        <w:t xml:space="preserve">IPIECA </w:t>
      </w:r>
      <w:r>
        <w:t>is now working on a revision of</w:t>
      </w:r>
      <w:r w:rsidRPr="00D10CFE">
        <w:t xml:space="preserve"> the guidance to ensure the guidance reflects current research and scientific developments</w:t>
      </w:r>
      <w:r>
        <w:t xml:space="preserve"> and</w:t>
      </w:r>
      <w:r w:rsidRPr="00D10CFE">
        <w:t xml:space="preserve"> is consistent with updated versions of the </w:t>
      </w:r>
      <w:r>
        <w:t>GHS</w:t>
      </w:r>
      <w:r w:rsidR="002241A5">
        <w:t>.</w:t>
      </w:r>
    </w:p>
    <w:p w:rsidR="0009019B" w:rsidRPr="00137DCE" w:rsidRDefault="0009019B" w:rsidP="0009019B">
      <w:pPr>
        <w:pStyle w:val="HChG"/>
      </w:pPr>
      <w:r>
        <w:tab/>
      </w:r>
      <w:r>
        <w:tab/>
      </w:r>
      <w:r w:rsidRPr="00137DCE">
        <w:t>Action requested</w:t>
      </w:r>
    </w:p>
    <w:p w:rsidR="00A30EED" w:rsidRDefault="0009019B" w:rsidP="00A30EED">
      <w:pPr>
        <w:pStyle w:val="SingleTxtG"/>
        <w:numPr>
          <w:ilvl w:val="0"/>
          <w:numId w:val="10"/>
        </w:numPr>
        <w:ind w:left="1134" w:firstLine="0"/>
      </w:pPr>
      <w:r w:rsidRPr="00137DCE">
        <w:t xml:space="preserve">The Sub-Committee is invited to </w:t>
      </w:r>
      <w:r w:rsidR="00A30EED">
        <w:t xml:space="preserve">submit </w:t>
      </w:r>
      <w:r w:rsidRPr="00137DCE">
        <w:t>comment</w:t>
      </w:r>
      <w:r w:rsidR="00FF11EF">
        <w:t>s</w:t>
      </w:r>
      <w:r>
        <w:t xml:space="preserve"> </w:t>
      </w:r>
      <w:r w:rsidR="00EA3B0D">
        <w:t xml:space="preserve">for </w:t>
      </w:r>
      <w:r w:rsidRPr="00137DCE">
        <w:t xml:space="preserve">the </w:t>
      </w:r>
      <w:r w:rsidR="00057F3E">
        <w:t>revision of the</w:t>
      </w:r>
      <w:r w:rsidR="00FF11EF">
        <w:t xml:space="preserve"> 2010 </w:t>
      </w:r>
      <w:r w:rsidR="00A30EED">
        <w:t xml:space="preserve">IPIECA GHS Guidance. </w:t>
      </w:r>
      <w:r w:rsidR="00A30EED" w:rsidRPr="00407AAE">
        <w:t>Comments on th</w:t>
      </w:r>
      <w:r w:rsidR="00E31B86">
        <w:t>e</w:t>
      </w:r>
      <w:r w:rsidR="00A30EED" w:rsidRPr="00407AAE">
        <w:t xml:space="preserve"> guidance should be sent to </w:t>
      </w:r>
      <w:r w:rsidR="00A30EED">
        <w:t xml:space="preserve">Derek Swick </w:t>
      </w:r>
      <w:r w:rsidR="00A30EED" w:rsidRPr="00407AAE">
        <w:t xml:space="preserve">at </w:t>
      </w:r>
      <w:r w:rsidR="00A30EED">
        <w:t>swickd@api.org.</w:t>
      </w:r>
    </w:p>
    <w:p w:rsidR="00A30EED" w:rsidRPr="00E81804" w:rsidRDefault="00E81804" w:rsidP="00E81804">
      <w:pPr>
        <w:pStyle w:val="SingleTxtG"/>
        <w:spacing w:before="240" w:after="0"/>
        <w:jc w:val="center"/>
        <w:rPr>
          <w:color w:val="000000"/>
          <w:u w:val="single"/>
        </w:rPr>
      </w:pPr>
      <w:r>
        <w:rPr>
          <w:color w:val="000000"/>
          <w:u w:val="single"/>
        </w:rPr>
        <w:tab/>
      </w:r>
      <w:r>
        <w:rPr>
          <w:color w:val="000000"/>
          <w:u w:val="single"/>
        </w:rPr>
        <w:tab/>
      </w:r>
      <w:r>
        <w:rPr>
          <w:color w:val="000000"/>
          <w:u w:val="single"/>
        </w:rPr>
        <w:tab/>
      </w:r>
    </w:p>
    <w:p w:rsidR="00A30EED" w:rsidRPr="00A30EED" w:rsidRDefault="00A30EED" w:rsidP="00A30EED">
      <w:pPr>
        <w:pStyle w:val="SingleTxtG"/>
        <w:ind w:left="0"/>
        <w:rPr>
          <w:color w:val="000000"/>
        </w:rPr>
      </w:pPr>
    </w:p>
    <w:p w:rsidR="00A30EED" w:rsidRPr="00A30EED" w:rsidRDefault="00A30EED" w:rsidP="00A30EED">
      <w:pPr>
        <w:pStyle w:val="SingleTxtG"/>
        <w:ind w:left="0"/>
        <w:rPr>
          <w:color w:val="000000"/>
        </w:rPr>
      </w:pPr>
    </w:p>
    <w:sectPr w:rsidR="00A30EED" w:rsidRPr="00A30EED" w:rsidSect="00857CFB">
      <w:headerReference w:type="even" r:id="rId8"/>
      <w:headerReference w:type="default" r:id="rId9"/>
      <w:footerReference w:type="even" r:id="rId1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88C" w:rsidRDefault="00B1188C"/>
  </w:endnote>
  <w:endnote w:type="continuationSeparator" w:id="0">
    <w:p w:rsidR="00B1188C" w:rsidRDefault="00B1188C"/>
  </w:endnote>
  <w:endnote w:type="continuationNotice" w:id="1">
    <w:p w:rsidR="00B1188C" w:rsidRDefault="00B11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B3A" w:rsidRPr="00AC2B3A" w:rsidRDefault="00467E5D" w:rsidP="00AC2B3A">
    <w:pPr>
      <w:pStyle w:val="Footer"/>
    </w:pPr>
    <w:r>
      <w:rPr>
        <w:noProof/>
        <w:lang w:val="en-US"/>
      </w:rPr>
      <mc:AlternateContent>
        <mc:Choice Requires="wps">
          <w:drawing>
            <wp:anchor distT="0" distB="0" distL="114300" distR="114300" simplePos="0" relativeHeight="251662336" behindDoc="0" locked="0" layoutInCell="1" allowOverlap="1" wp14:anchorId="346D50BD" wp14:editId="4ADAD26D">
              <wp:simplePos x="0" y="0"/>
              <wp:positionH relativeFrom="margin">
                <wp:posOffset>-1050925</wp:posOffset>
              </wp:positionH>
              <wp:positionV relativeFrom="margin">
                <wp:posOffset>4445</wp:posOffset>
              </wp:positionV>
              <wp:extent cx="222885" cy="6120130"/>
              <wp:effectExtent l="0" t="0" r="5715"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rsidR="00AC2B3A" w:rsidRPr="0099001C" w:rsidRDefault="00AC2B3A" w:rsidP="00AC2B3A">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F12803">
                            <w:rPr>
                              <w:b/>
                              <w:noProof/>
                              <w:sz w:val="18"/>
                            </w:rPr>
                            <w:t>2</w:t>
                          </w:r>
                          <w:r w:rsidRPr="0099001C">
                            <w:rPr>
                              <w:b/>
                              <w:sz w:val="18"/>
                            </w:rPr>
                            <w:fldChar w:fldCharType="end"/>
                          </w:r>
                          <w:r>
                            <w:rPr>
                              <w:sz w:val="18"/>
                            </w:rPr>
                            <w:tab/>
                          </w:r>
                        </w:p>
                        <w:p w:rsidR="00AC2B3A" w:rsidRDefault="00AC2B3A" w:rsidP="00AC2B3A">
                          <w:pPr>
                            <w:tabs>
                              <w:tab w:val="right" w:pos="9638"/>
                            </w:tabs>
                          </w:pPr>
                        </w:p>
                        <w:p w:rsidR="00AC2B3A" w:rsidRDefault="00AC2B3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46D50BD" id="_x0000_t202" coordsize="21600,21600" o:spt="202" path="m,l,21600r21600,l21600,xe">
              <v:stroke joinstyle="miter"/>
              <v:path gradientshapeok="t" o:connecttype="rect"/>
            </v:shapetype>
            <v:shape id="Text Box 37" o:spid="_x0000_s1029" type="#_x0000_t202" style="position:absolute;margin-left:-82.75pt;margin-top:.35pt;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" fillcolor="white [3212]" stroked="f">
              <v:stroke joinstyle="round"/>
              <v:textbox style="layout-flow:vertical" inset="0,0,0,0">
                <w:txbxContent>
                  <w:p w:rsidR="00AC2B3A" w:rsidRPr="0099001C" w:rsidRDefault="00AC2B3A" w:rsidP="00AC2B3A">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F12803">
                      <w:rPr>
                        <w:b/>
                        <w:noProof/>
                        <w:sz w:val="18"/>
                      </w:rPr>
                      <w:t>2</w:t>
                    </w:r>
                    <w:r w:rsidRPr="0099001C">
                      <w:rPr>
                        <w:b/>
                        <w:sz w:val="18"/>
                      </w:rPr>
                      <w:fldChar w:fldCharType="end"/>
                    </w:r>
                    <w:r>
                      <w:rPr>
                        <w:sz w:val="18"/>
                      </w:rPr>
                      <w:tab/>
                    </w:r>
                  </w:p>
                  <w:p w:rsidR="00AC2B3A" w:rsidRDefault="00AC2B3A" w:rsidP="00AC2B3A">
                    <w:pPr>
                      <w:tabs>
                        <w:tab w:val="right" w:pos="9638"/>
                      </w:tabs>
                    </w:pPr>
                  </w:p>
                  <w:p w:rsidR="00AC2B3A" w:rsidRDefault="00AC2B3A"/>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88C" w:rsidRPr="000B175B" w:rsidRDefault="00B1188C" w:rsidP="000B175B">
      <w:pPr>
        <w:tabs>
          <w:tab w:val="right" w:pos="2155"/>
        </w:tabs>
        <w:spacing w:after="80"/>
        <w:ind w:left="680"/>
        <w:rPr>
          <w:u w:val="single"/>
        </w:rPr>
      </w:pPr>
      <w:r>
        <w:rPr>
          <w:u w:val="single"/>
        </w:rPr>
        <w:tab/>
      </w:r>
    </w:p>
  </w:footnote>
  <w:footnote w:type="continuationSeparator" w:id="0">
    <w:p w:rsidR="00B1188C" w:rsidRPr="00FC68B7" w:rsidRDefault="00B1188C" w:rsidP="00FC68B7">
      <w:pPr>
        <w:tabs>
          <w:tab w:val="left" w:pos="2155"/>
        </w:tabs>
        <w:spacing w:after="80"/>
        <w:ind w:left="680"/>
        <w:rPr>
          <w:u w:val="single"/>
        </w:rPr>
      </w:pPr>
      <w:r>
        <w:rPr>
          <w:u w:val="single"/>
        </w:rPr>
        <w:tab/>
      </w:r>
    </w:p>
  </w:footnote>
  <w:footnote w:type="continuationNotice" w:id="1">
    <w:p w:rsidR="00B1188C" w:rsidRDefault="00B118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B3A" w:rsidRPr="00E81804" w:rsidRDefault="00AC2B3A" w:rsidP="00E81804">
    <w:pPr>
      <w:pBdr>
        <w:bottom w:val="single" w:sz="4" w:space="1" w:color="auto"/>
      </w:pBdr>
      <w:rPr>
        <w:b/>
        <w:bCs/>
      </w:rPr>
    </w:pPr>
    <w:r w:rsidRPr="00E81804">
      <w:rPr>
        <w:b/>
        <w:bCs/>
        <w:noProof/>
        <w:lang w:val="en-US"/>
      </w:rPr>
      <mc:AlternateContent>
        <mc:Choice Requires="wps">
          <w:drawing>
            <wp:anchor distT="0" distB="0" distL="114300" distR="114300" simplePos="0" relativeHeight="251661312" behindDoc="0" locked="0" layoutInCell="1" allowOverlap="1" wp14:anchorId="71CDA12A" wp14:editId="49668AB5">
              <wp:simplePos x="0" y="0"/>
              <wp:positionH relativeFrom="page">
                <wp:posOffset>9791700</wp:posOffset>
              </wp:positionH>
              <wp:positionV relativeFrom="margin">
                <wp:posOffset>0</wp:posOffset>
              </wp:positionV>
              <wp:extent cx="215900" cy="612013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wps:spPr>
                    <wps:txbx>
                      <w:txbxContent>
                        <w:p w:rsidR="00AC2B3A" w:rsidRDefault="008B7B58" w:rsidP="00AC2B3A">
                          <w:pPr>
                            <w:pStyle w:val="Header"/>
                          </w:pPr>
                          <w:r>
                            <w:t>UN/SCEGHS/35</w:t>
                          </w:r>
                          <w:r w:rsidR="00467E5D">
                            <w:t>/INF.12</w:t>
                          </w:r>
                        </w:p>
                        <w:p w:rsidR="00AC2B3A" w:rsidRDefault="00AC2B3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1CDA12A" id="_x0000_t202" coordsize="21600,21600" o:spt="202" path="m,l,21600r21600,l21600,xe">
              <v:stroke joinstyle="miter"/>
              <v:path gradientshapeok="t" o:connecttype="rect"/>
            </v:shapetype>
            <v:shape id="Text Box 36" o:spid="_x0000_s1026" type="#_x0000_t202" style="position:absolute;margin-left:771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" fillcolor="white [3212]" stroked="f">
              <v:stroke joinstyle="round"/>
              <v:textbox style="layout-flow:vertical" inset="0,0,0,0">
                <w:txbxContent>
                  <w:p w:rsidR="00AC2B3A" w:rsidRDefault="008B7B58" w:rsidP="00AC2B3A">
                    <w:pPr>
                      <w:pStyle w:val="Header"/>
                    </w:pPr>
                    <w:r>
                      <w:t>UN/SCEGHS/35</w:t>
                    </w:r>
                    <w:r w:rsidR="00467E5D">
                      <w:t>/INF.12</w:t>
                    </w:r>
                  </w:p>
                  <w:p w:rsidR="00AC2B3A" w:rsidRDefault="00AC2B3A"/>
                </w:txbxContent>
              </v:textbox>
              <w10:wrap anchorx="page" anchory="margin"/>
            </v:shape>
          </w:pict>
        </mc:Fallback>
      </mc:AlternateContent>
    </w:r>
    <w:r w:rsidR="00E81804" w:rsidRPr="00E81804">
      <w:rPr>
        <w:b/>
        <w:bCs/>
      </w:rPr>
      <w:t>UN/SCEGHS/35/INF.24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90B" w:rsidRPr="0008790B" w:rsidRDefault="00467E5D" w:rsidP="0008790B">
    <w:r>
      <w:rPr>
        <w:noProof/>
        <w:lang w:val="en-US"/>
      </w:rPr>
      <mc:AlternateContent>
        <mc:Choice Requires="wps">
          <w:drawing>
            <wp:anchor distT="0" distB="0" distL="114300" distR="114300" simplePos="0" relativeHeight="251660288" behindDoc="0" locked="0" layoutInCell="1" allowOverlap="1" wp14:anchorId="65A66D37" wp14:editId="484166AE">
              <wp:simplePos x="0" y="0"/>
              <wp:positionH relativeFrom="margin">
                <wp:posOffset>-1060450</wp:posOffset>
              </wp:positionH>
              <wp:positionV relativeFrom="margin">
                <wp:posOffset>93980</wp:posOffset>
              </wp:positionV>
              <wp:extent cx="222885" cy="6120130"/>
              <wp:effectExtent l="0" t="0" r="571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rsidR="0008790B" w:rsidRPr="0099001C" w:rsidRDefault="0008790B" w:rsidP="0008790B">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2C19A4">
                            <w:rPr>
                              <w:b/>
                              <w:noProof/>
                              <w:sz w:val="18"/>
                            </w:rPr>
                            <w:t>3</w:t>
                          </w:r>
                          <w:r w:rsidRPr="0099001C">
                            <w:rPr>
                              <w:b/>
                              <w:sz w:val="18"/>
                            </w:rPr>
                            <w:fldChar w:fldCharType="end"/>
                          </w:r>
                        </w:p>
                        <w:p w:rsidR="0008790B" w:rsidRDefault="0008790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5A66D37" id="_x0000_t202" coordsize="21600,21600" o:spt="202" path="m,l,21600r21600,l21600,xe">
              <v:stroke joinstyle="miter"/>
              <v:path gradientshapeok="t" o:connecttype="rect"/>
            </v:shapetype>
            <v:shape id="Text Box 13" o:spid="_x0000_s1027" type="#_x0000_t202" style="position:absolute;margin-left:-83.5pt;margin-top:7.4pt;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" fillcolor="white [3212]" stroked="f">
              <v:stroke joinstyle="round"/>
              <v:textbox style="layout-flow:vertical" inset="0,0,0,0">
                <w:txbxContent>
                  <w:p w:rsidR="0008790B" w:rsidRPr="0099001C" w:rsidRDefault="0008790B" w:rsidP="0008790B">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2C19A4">
                      <w:rPr>
                        <w:b/>
                        <w:noProof/>
                        <w:sz w:val="18"/>
                      </w:rPr>
                      <w:t>3</w:t>
                    </w:r>
                    <w:r w:rsidRPr="0099001C">
                      <w:rPr>
                        <w:b/>
                        <w:sz w:val="18"/>
                      </w:rPr>
                      <w:fldChar w:fldCharType="end"/>
                    </w:r>
                  </w:p>
                  <w:p w:rsidR="0008790B" w:rsidRDefault="0008790B"/>
                </w:txbxContent>
              </v:textbox>
              <w10:wrap anchorx="margin" anchory="margin"/>
            </v:shape>
          </w:pict>
        </mc:Fallback>
      </mc:AlternateContent>
    </w:r>
    <w:r w:rsidR="0008790B">
      <w:rPr>
        <w:noProof/>
        <w:lang w:val="en-US"/>
      </w:rPr>
      <mc:AlternateContent>
        <mc:Choice Requires="wps">
          <w:drawing>
            <wp:anchor distT="0" distB="0" distL="114300" distR="114300" simplePos="0" relativeHeight="251659264" behindDoc="0" locked="0" layoutInCell="1" allowOverlap="1" wp14:anchorId="2C6769DE" wp14:editId="5DE87A8F">
              <wp:simplePos x="0" y="0"/>
              <wp:positionH relativeFrom="page">
                <wp:posOffset>9791700</wp:posOffset>
              </wp:positionH>
              <wp:positionV relativeFrom="margin">
                <wp:posOffset>0</wp:posOffset>
              </wp:positionV>
              <wp:extent cx="215900"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wps:spPr>
                    <wps:txbx>
                      <w:txbxContent>
                        <w:p w:rsidR="0008790B" w:rsidRDefault="0008790B" w:rsidP="0008790B">
                          <w:pPr>
                            <w:pStyle w:val="Header"/>
                            <w:jc w:val="right"/>
                          </w:pPr>
                          <w:r>
                            <w:t>UN/SCEGHS/35/NF.12</w:t>
                          </w:r>
                        </w:p>
                        <w:p w:rsidR="0008790B" w:rsidRPr="0099001C" w:rsidRDefault="0008790B" w:rsidP="0008790B">
                          <w:pPr>
                            <w:pStyle w:val="Header"/>
                            <w:jc w:val="right"/>
                          </w:pPr>
                          <w:r>
                            <w:t>2</w:t>
                          </w:r>
                        </w:p>
                        <w:p w:rsidR="0008790B" w:rsidRDefault="0008790B" w:rsidP="0008790B"/>
                        <w:p w:rsidR="0008790B" w:rsidRDefault="0008790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2C6769DE" id="Text Box 11" o:spid="_x0000_s1028" type="#_x0000_t202" style="position:absolute;margin-left:771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" fillcolor="white [3212]" stroked="f">
              <v:stroke joinstyle="round"/>
              <v:textbox style="layout-flow:vertical" inset="0,0,0,0">
                <w:txbxContent>
                  <w:p w:rsidR="0008790B" w:rsidRDefault="0008790B" w:rsidP="0008790B">
                    <w:pPr>
                      <w:pStyle w:val="Header"/>
                      <w:jc w:val="right"/>
                    </w:pPr>
                    <w:r>
                      <w:t>UN/SCEGHS/35/NF.12</w:t>
                    </w:r>
                  </w:p>
                  <w:p w:rsidR="0008790B" w:rsidRPr="0099001C" w:rsidRDefault="0008790B" w:rsidP="0008790B">
                    <w:pPr>
                      <w:pStyle w:val="Header"/>
                      <w:jc w:val="right"/>
                    </w:pPr>
                    <w:r>
                      <w:t>2</w:t>
                    </w:r>
                  </w:p>
                  <w:p w:rsidR="0008790B" w:rsidRDefault="0008790B" w:rsidP="0008790B"/>
                  <w:p w:rsidR="0008790B" w:rsidRDefault="0008790B"/>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342BE"/>
    <w:multiLevelType w:val="hybridMultilevel"/>
    <w:tmpl w:val="06147B52"/>
    <w:lvl w:ilvl="0" w:tplc="54001698">
      <w:start w:val="1"/>
      <w:numFmt w:val="lowerLetter"/>
      <w:lvlText w:val="(%1)"/>
      <w:lvlJc w:val="left"/>
      <w:pPr>
        <w:ind w:left="1959" w:hanging="675"/>
      </w:pPr>
      <w:rPr>
        <w:rFonts w:hint="default"/>
      </w:rPr>
    </w:lvl>
    <w:lvl w:ilvl="1" w:tplc="04070019" w:tentative="1">
      <w:start w:val="1"/>
      <w:numFmt w:val="lowerLetter"/>
      <w:lvlText w:val="%2."/>
      <w:lvlJc w:val="left"/>
      <w:pPr>
        <w:ind w:left="2364" w:hanging="360"/>
      </w:pPr>
    </w:lvl>
    <w:lvl w:ilvl="2" w:tplc="0407001B" w:tentative="1">
      <w:start w:val="1"/>
      <w:numFmt w:val="lowerRoman"/>
      <w:lvlText w:val="%3."/>
      <w:lvlJc w:val="right"/>
      <w:pPr>
        <w:ind w:left="3084" w:hanging="180"/>
      </w:pPr>
    </w:lvl>
    <w:lvl w:ilvl="3" w:tplc="0407000F" w:tentative="1">
      <w:start w:val="1"/>
      <w:numFmt w:val="decimal"/>
      <w:lvlText w:val="%4."/>
      <w:lvlJc w:val="left"/>
      <w:pPr>
        <w:ind w:left="3804" w:hanging="360"/>
      </w:pPr>
    </w:lvl>
    <w:lvl w:ilvl="4" w:tplc="04070019" w:tentative="1">
      <w:start w:val="1"/>
      <w:numFmt w:val="lowerLetter"/>
      <w:lvlText w:val="%5."/>
      <w:lvlJc w:val="left"/>
      <w:pPr>
        <w:ind w:left="4524" w:hanging="360"/>
      </w:pPr>
    </w:lvl>
    <w:lvl w:ilvl="5" w:tplc="0407001B" w:tentative="1">
      <w:start w:val="1"/>
      <w:numFmt w:val="lowerRoman"/>
      <w:lvlText w:val="%6."/>
      <w:lvlJc w:val="right"/>
      <w:pPr>
        <w:ind w:left="5244" w:hanging="180"/>
      </w:pPr>
    </w:lvl>
    <w:lvl w:ilvl="6" w:tplc="0407000F" w:tentative="1">
      <w:start w:val="1"/>
      <w:numFmt w:val="decimal"/>
      <w:lvlText w:val="%7."/>
      <w:lvlJc w:val="left"/>
      <w:pPr>
        <w:ind w:left="5964" w:hanging="360"/>
      </w:pPr>
    </w:lvl>
    <w:lvl w:ilvl="7" w:tplc="04070019" w:tentative="1">
      <w:start w:val="1"/>
      <w:numFmt w:val="lowerLetter"/>
      <w:lvlText w:val="%8."/>
      <w:lvlJc w:val="left"/>
      <w:pPr>
        <w:ind w:left="6684" w:hanging="360"/>
      </w:pPr>
    </w:lvl>
    <w:lvl w:ilvl="8" w:tplc="0407001B" w:tentative="1">
      <w:start w:val="1"/>
      <w:numFmt w:val="lowerRoman"/>
      <w:lvlText w:val="%9."/>
      <w:lvlJc w:val="right"/>
      <w:pPr>
        <w:ind w:left="7404" w:hanging="180"/>
      </w:pPr>
    </w:lvl>
  </w:abstractNum>
  <w:abstractNum w:abstractNumId="2" w15:restartNumberingAfterBreak="0">
    <w:nsid w:val="1B9F6BA5"/>
    <w:multiLevelType w:val="hybridMultilevel"/>
    <w:tmpl w:val="7FC66A5C"/>
    <w:lvl w:ilvl="0" w:tplc="313AE9BC">
      <w:start w:val="1"/>
      <w:numFmt w:val="lowerRoman"/>
      <w:lvlText w:val="(%1)"/>
      <w:lvlJc w:val="left"/>
      <w:pPr>
        <w:ind w:left="2976" w:hanging="720"/>
      </w:pPr>
      <w:rPr>
        <w:rFonts w:hint="default"/>
      </w:rPr>
    </w:lvl>
    <w:lvl w:ilvl="1" w:tplc="08090019" w:tentative="1">
      <w:start w:val="1"/>
      <w:numFmt w:val="lowerLetter"/>
      <w:lvlText w:val="%2."/>
      <w:lvlJc w:val="left"/>
      <w:pPr>
        <w:ind w:left="3336" w:hanging="360"/>
      </w:pPr>
    </w:lvl>
    <w:lvl w:ilvl="2" w:tplc="0809001B" w:tentative="1">
      <w:start w:val="1"/>
      <w:numFmt w:val="lowerRoman"/>
      <w:lvlText w:val="%3."/>
      <w:lvlJc w:val="right"/>
      <w:pPr>
        <w:ind w:left="4056" w:hanging="180"/>
      </w:pPr>
    </w:lvl>
    <w:lvl w:ilvl="3" w:tplc="0809000F" w:tentative="1">
      <w:start w:val="1"/>
      <w:numFmt w:val="decimal"/>
      <w:lvlText w:val="%4."/>
      <w:lvlJc w:val="left"/>
      <w:pPr>
        <w:ind w:left="4776" w:hanging="360"/>
      </w:pPr>
    </w:lvl>
    <w:lvl w:ilvl="4" w:tplc="08090019" w:tentative="1">
      <w:start w:val="1"/>
      <w:numFmt w:val="lowerLetter"/>
      <w:lvlText w:val="%5."/>
      <w:lvlJc w:val="left"/>
      <w:pPr>
        <w:ind w:left="5496" w:hanging="360"/>
      </w:pPr>
    </w:lvl>
    <w:lvl w:ilvl="5" w:tplc="0809001B" w:tentative="1">
      <w:start w:val="1"/>
      <w:numFmt w:val="lowerRoman"/>
      <w:lvlText w:val="%6."/>
      <w:lvlJc w:val="right"/>
      <w:pPr>
        <w:ind w:left="6216" w:hanging="180"/>
      </w:pPr>
    </w:lvl>
    <w:lvl w:ilvl="6" w:tplc="0809000F" w:tentative="1">
      <w:start w:val="1"/>
      <w:numFmt w:val="decimal"/>
      <w:lvlText w:val="%7."/>
      <w:lvlJc w:val="left"/>
      <w:pPr>
        <w:ind w:left="6936" w:hanging="360"/>
      </w:pPr>
    </w:lvl>
    <w:lvl w:ilvl="7" w:tplc="08090019" w:tentative="1">
      <w:start w:val="1"/>
      <w:numFmt w:val="lowerLetter"/>
      <w:lvlText w:val="%8."/>
      <w:lvlJc w:val="left"/>
      <w:pPr>
        <w:ind w:left="7656" w:hanging="360"/>
      </w:pPr>
    </w:lvl>
    <w:lvl w:ilvl="8" w:tplc="0809001B" w:tentative="1">
      <w:start w:val="1"/>
      <w:numFmt w:val="lowerRoman"/>
      <w:lvlText w:val="%9."/>
      <w:lvlJc w:val="right"/>
      <w:pPr>
        <w:ind w:left="8376" w:hanging="180"/>
      </w:pPr>
    </w:lvl>
  </w:abstractNum>
  <w:abstractNum w:abstractNumId="3"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2B412269"/>
    <w:multiLevelType w:val="hybridMultilevel"/>
    <w:tmpl w:val="1D3E39EC"/>
    <w:lvl w:ilvl="0" w:tplc="B134C65A">
      <w:start w:val="7"/>
      <w:numFmt w:val="bullet"/>
      <w:lvlText w:val="-"/>
      <w:lvlJc w:val="left"/>
      <w:pPr>
        <w:ind w:left="2061" w:hanging="360"/>
      </w:pPr>
      <w:rPr>
        <w:rFonts w:ascii="Times New Roman" w:eastAsia="Times New Roman"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5"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43B7176D"/>
    <w:multiLevelType w:val="hybridMultilevel"/>
    <w:tmpl w:val="EEF0166C"/>
    <w:lvl w:ilvl="0" w:tplc="B134C65A">
      <w:start w:val="7"/>
      <w:numFmt w:val="bullet"/>
      <w:lvlText w:val="-"/>
      <w:lvlJc w:val="left"/>
      <w:pPr>
        <w:ind w:left="3195" w:hanging="360"/>
      </w:pPr>
      <w:rPr>
        <w:rFonts w:ascii="Times New Roman" w:eastAsia="Times New Roman" w:hAnsi="Times New Roman" w:cs="Times New Roman" w:hint="default"/>
      </w:rPr>
    </w:lvl>
    <w:lvl w:ilvl="1" w:tplc="04070001">
      <w:start w:val="1"/>
      <w:numFmt w:val="bullet"/>
      <w:lvlText w:val=""/>
      <w:lvlJc w:val="left"/>
      <w:pPr>
        <w:ind w:left="2574" w:hanging="360"/>
      </w:pPr>
      <w:rPr>
        <w:rFonts w:ascii="Symbol" w:hAnsi="Symbol"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8"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552C42B9"/>
    <w:multiLevelType w:val="hybridMultilevel"/>
    <w:tmpl w:val="9C0AAD2A"/>
    <w:lvl w:ilvl="0" w:tplc="04070001">
      <w:start w:val="1"/>
      <w:numFmt w:val="bullet"/>
      <w:lvlText w:val=""/>
      <w:lvlJc w:val="left"/>
      <w:pPr>
        <w:ind w:left="3075" w:hanging="360"/>
      </w:pPr>
      <w:rPr>
        <w:rFonts w:ascii="Symbol" w:hAnsi="Symbol" w:hint="default"/>
      </w:rPr>
    </w:lvl>
    <w:lvl w:ilvl="1" w:tplc="04070003" w:tentative="1">
      <w:start w:val="1"/>
      <w:numFmt w:val="bullet"/>
      <w:lvlText w:val="o"/>
      <w:lvlJc w:val="left"/>
      <w:pPr>
        <w:ind w:left="3795" w:hanging="360"/>
      </w:pPr>
      <w:rPr>
        <w:rFonts w:ascii="Courier New" w:hAnsi="Courier New" w:cs="Courier New" w:hint="default"/>
      </w:rPr>
    </w:lvl>
    <w:lvl w:ilvl="2" w:tplc="04070005" w:tentative="1">
      <w:start w:val="1"/>
      <w:numFmt w:val="bullet"/>
      <w:lvlText w:val=""/>
      <w:lvlJc w:val="left"/>
      <w:pPr>
        <w:ind w:left="4515" w:hanging="360"/>
      </w:pPr>
      <w:rPr>
        <w:rFonts w:ascii="Wingdings" w:hAnsi="Wingdings" w:hint="default"/>
      </w:rPr>
    </w:lvl>
    <w:lvl w:ilvl="3" w:tplc="04070001" w:tentative="1">
      <w:start w:val="1"/>
      <w:numFmt w:val="bullet"/>
      <w:lvlText w:val=""/>
      <w:lvlJc w:val="left"/>
      <w:pPr>
        <w:ind w:left="5235" w:hanging="360"/>
      </w:pPr>
      <w:rPr>
        <w:rFonts w:ascii="Symbol" w:hAnsi="Symbol" w:hint="default"/>
      </w:rPr>
    </w:lvl>
    <w:lvl w:ilvl="4" w:tplc="04070003" w:tentative="1">
      <w:start w:val="1"/>
      <w:numFmt w:val="bullet"/>
      <w:lvlText w:val="o"/>
      <w:lvlJc w:val="left"/>
      <w:pPr>
        <w:ind w:left="5955" w:hanging="360"/>
      </w:pPr>
      <w:rPr>
        <w:rFonts w:ascii="Courier New" w:hAnsi="Courier New" w:cs="Courier New" w:hint="default"/>
      </w:rPr>
    </w:lvl>
    <w:lvl w:ilvl="5" w:tplc="04070005" w:tentative="1">
      <w:start w:val="1"/>
      <w:numFmt w:val="bullet"/>
      <w:lvlText w:val=""/>
      <w:lvlJc w:val="left"/>
      <w:pPr>
        <w:ind w:left="6675" w:hanging="360"/>
      </w:pPr>
      <w:rPr>
        <w:rFonts w:ascii="Wingdings" w:hAnsi="Wingdings" w:hint="default"/>
      </w:rPr>
    </w:lvl>
    <w:lvl w:ilvl="6" w:tplc="04070001" w:tentative="1">
      <w:start w:val="1"/>
      <w:numFmt w:val="bullet"/>
      <w:lvlText w:val=""/>
      <w:lvlJc w:val="left"/>
      <w:pPr>
        <w:ind w:left="7395" w:hanging="360"/>
      </w:pPr>
      <w:rPr>
        <w:rFonts w:ascii="Symbol" w:hAnsi="Symbol" w:hint="default"/>
      </w:rPr>
    </w:lvl>
    <w:lvl w:ilvl="7" w:tplc="04070003" w:tentative="1">
      <w:start w:val="1"/>
      <w:numFmt w:val="bullet"/>
      <w:lvlText w:val="o"/>
      <w:lvlJc w:val="left"/>
      <w:pPr>
        <w:ind w:left="8115" w:hanging="360"/>
      </w:pPr>
      <w:rPr>
        <w:rFonts w:ascii="Courier New" w:hAnsi="Courier New" w:cs="Courier New" w:hint="default"/>
      </w:rPr>
    </w:lvl>
    <w:lvl w:ilvl="8" w:tplc="04070005" w:tentative="1">
      <w:start w:val="1"/>
      <w:numFmt w:val="bullet"/>
      <w:lvlText w:val=""/>
      <w:lvlJc w:val="left"/>
      <w:pPr>
        <w:ind w:left="8835" w:hanging="360"/>
      </w:pPr>
      <w:rPr>
        <w:rFonts w:ascii="Wingdings" w:hAnsi="Wingdings" w:hint="default"/>
      </w:rPr>
    </w:lvl>
  </w:abstractNum>
  <w:abstractNum w:abstractNumId="10" w15:restartNumberingAfterBreak="0">
    <w:nsid w:val="5FC97B4B"/>
    <w:multiLevelType w:val="hybridMultilevel"/>
    <w:tmpl w:val="0CDA6720"/>
    <w:lvl w:ilvl="0" w:tplc="7368F906">
      <w:start w:val="1"/>
      <w:numFmt w:val="decimal"/>
      <w:lvlText w:val="%1."/>
      <w:lvlJc w:val="left"/>
      <w:pPr>
        <w:ind w:left="555"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306BC"/>
    <w:multiLevelType w:val="hybridMultilevel"/>
    <w:tmpl w:val="0CDA6720"/>
    <w:lvl w:ilvl="0" w:tplc="7368F906">
      <w:start w:val="1"/>
      <w:numFmt w:val="decimal"/>
      <w:lvlText w:val="%1."/>
      <w:lvlJc w:val="left"/>
      <w:pPr>
        <w:ind w:left="555" w:hanging="555"/>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3"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11"/>
  </w:num>
  <w:num w:numId="3">
    <w:abstractNumId w:val="8"/>
  </w:num>
  <w:num w:numId="4">
    <w:abstractNumId w:val="3"/>
  </w:num>
  <w:num w:numId="5">
    <w:abstractNumId w:val="5"/>
  </w:num>
  <w:num w:numId="6">
    <w:abstractNumId w:val="6"/>
  </w:num>
  <w:num w:numId="7">
    <w:abstractNumId w:val="13"/>
  </w:num>
  <w:num w:numId="8">
    <w:abstractNumId w:val="0"/>
  </w:num>
  <w:num w:numId="9">
    <w:abstractNumId w:val="3"/>
  </w:num>
  <w:num w:numId="10">
    <w:abstractNumId w:val="12"/>
  </w:num>
  <w:num w:numId="11">
    <w:abstractNumId w:val="10"/>
  </w:num>
  <w:num w:numId="12">
    <w:abstractNumId w:val="2"/>
  </w:num>
  <w:num w:numId="13">
    <w:abstractNumId w:val="9"/>
  </w:num>
  <w:num w:numId="14">
    <w:abstractNumId w:val="7"/>
  </w:num>
  <w:num w:numId="15">
    <w:abstractNumId w:val="1"/>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C"/>
    <w:rsid w:val="00002EFA"/>
    <w:rsid w:val="00033B3D"/>
    <w:rsid w:val="00050F6B"/>
    <w:rsid w:val="000551B7"/>
    <w:rsid w:val="000564A7"/>
    <w:rsid w:val="00057F3E"/>
    <w:rsid w:val="00072C8C"/>
    <w:rsid w:val="00081647"/>
    <w:rsid w:val="0008790B"/>
    <w:rsid w:val="0009019B"/>
    <w:rsid w:val="000931C0"/>
    <w:rsid w:val="000B093B"/>
    <w:rsid w:val="000B175B"/>
    <w:rsid w:val="000B1D77"/>
    <w:rsid w:val="000B3A0F"/>
    <w:rsid w:val="000C6544"/>
    <w:rsid w:val="000C7164"/>
    <w:rsid w:val="000D10AA"/>
    <w:rsid w:val="000D45D1"/>
    <w:rsid w:val="000E0415"/>
    <w:rsid w:val="000F52A9"/>
    <w:rsid w:val="00100C28"/>
    <w:rsid w:val="00112317"/>
    <w:rsid w:val="001220B8"/>
    <w:rsid w:val="00123536"/>
    <w:rsid w:val="00156F3C"/>
    <w:rsid w:val="0016152C"/>
    <w:rsid w:val="00162BF7"/>
    <w:rsid w:val="00170159"/>
    <w:rsid w:val="00190AEA"/>
    <w:rsid w:val="001B06A5"/>
    <w:rsid w:val="001B4B04"/>
    <w:rsid w:val="001C6663"/>
    <w:rsid w:val="001C7895"/>
    <w:rsid w:val="001D26DF"/>
    <w:rsid w:val="001E47FD"/>
    <w:rsid w:val="00211E0B"/>
    <w:rsid w:val="002236D3"/>
    <w:rsid w:val="002241A5"/>
    <w:rsid w:val="002379F5"/>
    <w:rsid w:val="002405A7"/>
    <w:rsid w:val="002430E2"/>
    <w:rsid w:val="0025322D"/>
    <w:rsid w:val="00253AE5"/>
    <w:rsid w:val="00257E45"/>
    <w:rsid w:val="00262488"/>
    <w:rsid w:val="002656B1"/>
    <w:rsid w:val="00270486"/>
    <w:rsid w:val="00273418"/>
    <w:rsid w:val="00277A2E"/>
    <w:rsid w:val="002908A4"/>
    <w:rsid w:val="002B4DC4"/>
    <w:rsid w:val="002C19A4"/>
    <w:rsid w:val="002D59D3"/>
    <w:rsid w:val="003107FA"/>
    <w:rsid w:val="003127A2"/>
    <w:rsid w:val="00314772"/>
    <w:rsid w:val="00317A84"/>
    <w:rsid w:val="00317C5E"/>
    <w:rsid w:val="003229D8"/>
    <w:rsid w:val="0032550E"/>
    <w:rsid w:val="0033745A"/>
    <w:rsid w:val="003642AF"/>
    <w:rsid w:val="00366CA7"/>
    <w:rsid w:val="003903B9"/>
    <w:rsid w:val="0039277A"/>
    <w:rsid w:val="003972E0"/>
    <w:rsid w:val="003B3A99"/>
    <w:rsid w:val="003C16F0"/>
    <w:rsid w:val="003C2CC4"/>
    <w:rsid w:val="003C3936"/>
    <w:rsid w:val="003D17F4"/>
    <w:rsid w:val="003D3141"/>
    <w:rsid w:val="003D4B23"/>
    <w:rsid w:val="003D5380"/>
    <w:rsid w:val="003E3098"/>
    <w:rsid w:val="003F1ED3"/>
    <w:rsid w:val="00407AAE"/>
    <w:rsid w:val="00421612"/>
    <w:rsid w:val="004225A4"/>
    <w:rsid w:val="00430F78"/>
    <w:rsid w:val="004325CB"/>
    <w:rsid w:val="00433D62"/>
    <w:rsid w:val="00446DE4"/>
    <w:rsid w:val="00452265"/>
    <w:rsid w:val="00453386"/>
    <w:rsid w:val="00460DD9"/>
    <w:rsid w:val="00467E5D"/>
    <w:rsid w:val="00467F71"/>
    <w:rsid w:val="0047652A"/>
    <w:rsid w:val="0048372E"/>
    <w:rsid w:val="004A41CA"/>
    <w:rsid w:val="004A50A5"/>
    <w:rsid w:val="004A7883"/>
    <w:rsid w:val="004C2C32"/>
    <w:rsid w:val="004E59A8"/>
    <w:rsid w:val="004E7ED6"/>
    <w:rsid w:val="00503228"/>
    <w:rsid w:val="00505384"/>
    <w:rsid w:val="00515480"/>
    <w:rsid w:val="00520C1D"/>
    <w:rsid w:val="00531D5C"/>
    <w:rsid w:val="00532EF8"/>
    <w:rsid w:val="005420F2"/>
    <w:rsid w:val="00542A9A"/>
    <w:rsid w:val="00555B05"/>
    <w:rsid w:val="00555E52"/>
    <w:rsid w:val="00567C13"/>
    <w:rsid w:val="005979AC"/>
    <w:rsid w:val="005B2C89"/>
    <w:rsid w:val="005B3DB3"/>
    <w:rsid w:val="005E22FE"/>
    <w:rsid w:val="00600CC3"/>
    <w:rsid w:val="00606569"/>
    <w:rsid w:val="00611FC4"/>
    <w:rsid w:val="006176FB"/>
    <w:rsid w:val="006234D5"/>
    <w:rsid w:val="00627ED0"/>
    <w:rsid w:val="00640B26"/>
    <w:rsid w:val="0064431B"/>
    <w:rsid w:val="00665595"/>
    <w:rsid w:val="00672290"/>
    <w:rsid w:val="00691F20"/>
    <w:rsid w:val="00693543"/>
    <w:rsid w:val="00694949"/>
    <w:rsid w:val="006A7392"/>
    <w:rsid w:val="006A7757"/>
    <w:rsid w:val="006B75C5"/>
    <w:rsid w:val="006C1722"/>
    <w:rsid w:val="006C5E27"/>
    <w:rsid w:val="006D7F2D"/>
    <w:rsid w:val="006E564B"/>
    <w:rsid w:val="006E7FBB"/>
    <w:rsid w:val="006F5161"/>
    <w:rsid w:val="0071349F"/>
    <w:rsid w:val="00714938"/>
    <w:rsid w:val="00720DEB"/>
    <w:rsid w:val="0072632A"/>
    <w:rsid w:val="00733AAE"/>
    <w:rsid w:val="0075599B"/>
    <w:rsid w:val="00765969"/>
    <w:rsid w:val="00781A60"/>
    <w:rsid w:val="00792D6F"/>
    <w:rsid w:val="007A0B22"/>
    <w:rsid w:val="007B5C8A"/>
    <w:rsid w:val="007B6BA5"/>
    <w:rsid w:val="007C22F2"/>
    <w:rsid w:val="007C3390"/>
    <w:rsid w:val="007C4F4B"/>
    <w:rsid w:val="007D07A7"/>
    <w:rsid w:val="007D640F"/>
    <w:rsid w:val="007F0B83"/>
    <w:rsid w:val="007F28E8"/>
    <w:rsid w:val="007F48EF"/>
    <w:rsid w:val="007F4FCD"/>
    <w:rsid w:val="007F6611"/>
    <w:rsid w:val="00816A7B"/>
    <w:rsid w:val="0081732C"/>
    <w:rsid w:val="008175E9"/>
    <w:rsid w:val="008206EF"/>
    <w:rsid w:val="008242D7"/>
    <w:rsid w:val="00827E05"/>
    <w:rsid w:val="0083040E"/>
    <w:rsid w:val="008311A3"/>
    <w:rsid w:val="00836AF7"/>
    <w:rsid w:val="00857CFB"/>
    <w:rsid w:val="00861AA4"/>
    <w:rsid w:val="00871FD5"/>
    <w:rsid w:val="0088684B"/>
    <w:rsid w:val="0089451E"/>
    <w:rsid w:val="008979B1"/>
    <w:rsid w:val="008A6B25"/>
    <w:rsid w:val="008A6C4F"/>
    <w:rsid w:val="008B6E26"/>
    <w:rsid w:val="008B7B58"/>
    <w:rsid w:val="008E0E46"/>
    <w:rsid w:val="008E4C4C"/>
    <w:rsid w:val="00905DFB"/>
    <w:rsid w:val="00906A87"/>
    <w:rsid w:val="00907AD2"/>
    <w:rsid w:val="00911047"/>
    <w:rsid w:val="00934EE8"/>
    <w:rsid w:val="0094251F"/>
    <w:rsid w:val="009455BD"/>
    <w:rsid w:val="00963CBA"/>
    <w:rsid w:val="009650E6"/>
    <w:rsid w:val="00965932"/>
    <w:rsid w:val="00974A8D"/>
    <w:rsid w:val="0099001C"/>
    <w:rsid w:val="00991261"/>
    <w:rsid w:val="009B4F06"/>
    <w:rsid w:val="009C5E02"/>
    <w:rsid w:val="009D0D58"/>
    <w:rsid w:val="009D533D"/>
    <w:rsid w:val="009F3A17"/>
    <w:rsid w:val="009F3D53"/>
    <w:rsid w:val="00A1427D"/>
    <w:rsid w:val="00A30EED"/>
    <w:rsid w:val="00A426FB"/>
    <w:rsid w:val="00A55FB2"/>
    <w:rsid w:val="00A72F22"/>
    <w:rsid w:val="00A748A6"/>
    <w:rsid w:val="00A80459"/>
    <w:rsid w:val="00A805EB"/>
    <w:rsid w:val="00A820CB"/>
    <w:rsid w:val="00A8760B"/>
    <w:rsid w:val="00A879A4"/>
    <w:rsid w:val="00A87EE0"/>
    <w:rsid w:val="00AA496B"/>
    <w:rsid w:val="00AC1FA7"/>
    <w:rsid w:val="00AC2B3A"/>
    <w:rsid w:val="00AC2C15"/>
    <w:rsid w:val="00AD43BC"/>
    <w:rsid w:val="00AE71F3"/>
    <w:rsid w:val="00AF159A"/>
    <w:rsid w:val="00AF46F8"/>
    <w:rsid w:val="00B070C3"/>
    <w:rsid w:val="00B10CE7"/>
    <w:rsid w:val="00B1188C"/>
    <w:rsid w:val="00B1303D"/>
    <w:rsid w:val="00B13A8F"/>
    <w:rsid w:val="00B13F1A"/>
    <w:rsid w:val="00B30179"/>
    <w:rsid w:val="00B30E8F"/>
    <w:rsid w:val="00B33EC0"/>
    <w:rsid w:val="00B81E12"/>
    <w:rsid w:val="00B82597"/>
    <w:rsid w:val="00B97D28"/>
    <w:rsid w:val="00BC74E9"/>
    <w:rsid w:val="00BD2146"/>
    <w:rsid w:val="00BD4160"/>
    <w:rsid w:val="00BD76D4"/>
    <w:rsid w:val="00BE2F95"/>
    <w:rsid w:val="00BE4F74"/>
    <w:rsid w:val="00BE618E"/>
    <w:rsid w:val="00BE7C85"/>
    <w:rsid w:val="00C04D19"/>
    <w:rsid w:val="00C17699"/>
    <w:rsid w:val="00C1778D"/>
    <w:rsid w:val="00C41A28"/>
    <w:rsid w:val="00C463DD"/>
    <w:rsid w:val="00C6210B"/>
    <w:rsid w:val="00C745C3"/>
    <w:rsid w:val="00C76D9C"/>
    <w:rsid w:val="00C817E9"/>
    <w:rsid w:val="00C945EB"/>
    <w:rsid w:val="00CB744A"/>
    <w:rsid w:val="00CC65B7"/>
    <w:rsid w:val="00CE4A8F"/>
    <w:rsid w:val="00CF4136"/>
    <w:rsid w:val="00D055EB"/>
    <w:rsid w:val="00D075A2"/>
    <w:rsid w:val="00D10CFE"/>
    <w:rsid w:val="00D2031B"/>
    <w:rsid w:val="00D25FE2"/>
    <w:rsid w:val="00D317BB"/>
    <w:rsid w:val="00D35D8F"/>
    <w:rsid w:val="00D40835"/>
    <w:rsid w:val="00D43252"/>
    <w:rsid w:val="00D63881"/>
    <w:rsid w:val="00D7387D"/>
    <w:rsid w:val="00D978C6"/>
    <w:rsid w:val="00DA67AD"/>
    <w:rsid w:val="00DB5082"/>
    <w:rsid w:val="00DB5D0F"/>
    <w:rsid w:val="00DC3242"/>
    <w:rsid w:val="00DC73D3"/>
    <w:rsid w:val="00DE1BC8"/>
    <w:rsid w:val="00DE7F20"/>
    <w:rsid w:val="00DF063A"/>
    <w:rsid w:val="00DF12F7"/>
    <w:rsid w:val="00DF2C64"/>
    <w:rsid w:val="00E0155D"/>
    <w:rsid w:val="00E02C81"/>
    <w:rsid w:val="00E04A75"/>
    <w:rsid w:val="00E06EAB"/>
    <w:rsid w:val="00E130AB"/>
    <w:rsid w:val="00E31B86"/>
    <w:rsid w:val="00E31C87"/>
    <w:rsid w:val="00E5709E"/>
    <w:rsid w:val="00E677EC"/>
    <w:rsid w:val="00E70DF5"/>
    <w:rsid w:val="00E7260F"/>
    <w:rsid w:val="00E80F5F"/>
    <w:rsid w:val="00E81804"/>
    <w:rsid w:val="00E87921"/>
    <w:rsid w:val="00E96630"/>
    <w:rsid w:val="00E969BB"/>
    <w:rsid w:val="00E97641"/>
    <w:rsid w:val="00EA264E"/>
    <w:rsid w:val="00EA3A41"/>
    <w:rsid w:val="00EA3B0D"/>
    <w:rsid w:val="00EC7E9E"/>
    <w:rsid w:val="00ED1541"/>
    <w:rsid w:val="00ED71D9"/>
    <w:rsid w:val="00ED7A2A"/>
    <w:rsid w:val="00EF1D7F"/>
    <w:rsid w:val="00EF358F"/>
    <w:rsid w:val="00F009B0"/>
    <w:rsid w:val="00F124A0"/>
    <w:rsid w:val="00F12803"/>
    <w:rsid w:val="00F24DBA"/>
    <w:rsid w:val="00F53EDA"/>
    <w:rsid w:val="00F701DF"/>
    <w:rsid w:val="00F73015"/>
    <w:rsid w:val="00F7753D"/>
    <w:rsid w:val="00F85F34"/>
    <w:rsid w:val="00F85F56"/>
    <w:rsid w:val="00FA06F7"/>
    <w:rsid w:val="00FB171A"/>
    <w:rsid w:val="00FC09B8"/>
    <w:rsid w:val="00FC68B7"/>
    <w:rsid w:val="00FD4F7E"/>
    <w:rsid w:val="00FD7BF6"/>
    <w:rsid w:val="00FF11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E90622"/>
  <w15:docId w15:val="{A5BE5AF3-F4B7-43AE-8E1D-049B89F3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C5E27"/>
    <w:rPr>
      <w:sz w:val="16"/>
      <w:szCs w:val="16"/>
    </w:rPr>
  </w:style>
  <w:style w:type="paragraph" w:styleId="CommentText">
    <w:name w:val="annotation text"/>
    <w:basedOn w:val="Normal"/>
    <w:link w:val="CommentTextChar"/>
    <w:unhideWhenUsed/>
    <w:rsid w:val="006C5E27"/>
    <w:pPr>
      <w:spacing w:line="240" w:lineRule="auto"/>
    </w:pPr>
  </w:style>
  <w:style w:type="character" w:customStyle="1" w:styleId="CommentTextChar">
    <w:name w:val="Comment Text Char"/>
    <w:basedOn w:val="DefaultParagraphFont"/>
    <w:link w:val="CommentText"/>
    <w:rsid w:val="006C5E27"/>
    <w:rPr>
      <w:lang w:eastAsia="en-US"/>
    </w:rPr>
  </w:style>
  <w:style w:type="paragraph" w:styleId="CommentSubject">
    <w:name w:val="annotation subject"/>
    <w:basedOn w:val="CommentText"/>
    <w:next w:val="CommentText"/>
    <w:link w:val="CommentSubjectChar"/>
    <w:semiHidden/>
    <w:unhideWhenUsed/>
    <w:rsid w:val="006C5E27"/>
    <w:rPr>
      <w:b/>
      <w:bCs/>
    </w:rPr>
  </w:style>
  <w:style w:type="character" w:customStyle="1" w:styleId="CommentSubjectChar">
    <w:name w:val="Comment Subject Char"/>
    <w:basedOn w:val="CommentTextChar"/>
    <w:link w:val="CommentSubject"/>
    <w:semiHidden/>
    <w:rsid w:val="006C5E27"/>
    <w:rPr>
      <w:b/>
      <w:bCs/>
      <w:lang w:eastAsia="en-US"/>
    </w:rPr>
  </w:style>
  <w:style w:type="paragraph" w:styleId="BalloonText">
    <w:name w:val="Balloon Text"/>
    <w:basedOn w:val="Normal"/>
    <w:link w:val="BalloonTextChar"/>
    <w:semiHidden/>
    <w:unhideWhenUsed/>
    <w:rsid w:val="006C5E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C5E27"/>
    <w:rPr>
      <w:rFonts w:ascii="Segoe UI" w:hAnsi="Segoe UI" w:cs="Segoe UI"/>
      <w:sz w:val="18"/>
      <w:szCs w:val="18"/>
      <w:lang w:eastAsia="en-US"/>
    </w:rPr>
  </w:style>
  <w:style w:type="paragraph" w:styleId="Revision">
    <w:name w:val="Revision"/>
    <w:hidden/>
    <w:uiPriority w:val="99"/>
    <w:semiHidden/>
    <w:rsid w:val="003D5380"/>
    <w:rPr>
      <w:lang w:eastAsia="en-US"/>
    </w:rPr>
  </w:style>
  <w:style w:type="paragraph" w:styleId="BodyText">
    <w:name w:val="Body Text"/>
    <w:basedOn w:val="Normal"/>
    <w:link w:val="BodyTextChar"/>
    <w:rsid w:val="0009019B"/>
    <w:pPr>
      <w:suppressAutoHyphens w:val="0"/>
      <w:spacing w:after="160" w:line="240" w:lineRule="auto"/>
    </w:pPr>
  </w:style>
  <w:style w:type="character" w:customStyle="1" w:styleId="BodyTextChar">
    <w:name w:val="Body Text Char"/>
    <w:basedOn w:val="DefaultParagraphFont"/>
    <w:link w:val="BodyText"/>
    <w:rsid w:val="0009019B"/>
    <w:rPr>
      <w:lang w:eastAsia="en-US"/>
    </w:rPr>
  </w:style>
  <w:style w:type="paragraph" w:styleId="BodyText3">
    <w:name w:val="Body Text 3"/>
    <w:basedOn w:val="Normal"/>
    <w:link w:val="BodyText3Char"/>
    <w:unhideWhenUsed/>
    <w:rsid w:val="00452265"/>
    <w:pPr>
      <w:spacing w:after="120"/>
    </w:pPr>
    <w:rPr>
      <w:sz w:val="16"/>
      <w:szCs w:val="16"/>
    </w:rPr>
  </w:style>
  <w:style w:type="character" w:customStyle="1" w:styleId="BodyText3Char">
    <w:name w:val="Body Text 3 Char"/>
    <w:basedOn w:val="DefaultParagraphFont"/>
    <w:link w:val="BodyText3"/>
    <w:rsid w:val="00452265"/>
    <w:rPr>
      <w:sz w:val="16"/>
      <w:szCs w:val="16"/>
      <w:lang w:eastAsia="en-US"/>
    </w:rPr>
  </w:style>
  <w:style w:type="paragraph" w:customStyle="1" w:styleId="Style1">
    <w:name w:val="Style1"/>
    <w:basedOn w:val="Normal"/>
    <w:rsid w:val="005979AC"/>
    <w:pPr>
      <w:suppressAutoHyphens w:val="0"/>
      <w:spacing w:line="240" w:lineRule="auto"/>
    </w:pPr>
    <w:rPr>
      <w:sz w:val="22"/>
      <w:szCs w:val="24"/>
    </w:rPr>
  </w:style>
  <w:style w:type="paragraph" w:styleId="ListParagraph">
    <w:name w:val="List Paragraph"/>
    <w:basedOn w:val="Normal"/>
    <w:uiPriority w:val="34"/>
    <w:qFormat/>
    <w:rsid w:val="00CF4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0069">
      <w:bodyDiv w:val="1"/>
      <w:marLeft w:val="0"/>
      <w:marRight w:val="0"/>
      <w:marTop w:val="0"/>
      <w:marBottom w:val="0"/>
      <w:divBdr>
        <w:top w:val="none" w:sz="0" w:space="0" w:color="auto"/>
        <w:left w:val="none" w:sz="0" w:space="0" w:color="auto"/>
        <w:bottom w:val="none" w:sz="0" w:space="0" w:color="auto"/>
        <w:right w:val="none" w:sz="0" w:space="0" w:color="auto"/>
      </w:divBdr>
    </w:div>
    <w:div w:id="892424039">
      <w:bodyDiv w:val="1"/>
      <w:marLeft w:val="0"/>
      <w:marRight w:val="0"/>
      <w:marTop w:val="0"/>
      <w:marBottom w:val="0"/>
      <w:divBdr>
        <w:top w:val="none" w:sz="0" w:space="0" w:color="auto"/>
        <w:left w:val="none" w:sz="0" w:space="0" w:color="auto"/>
        <w:bottom w:val="none" w:sz="0" w:space="0" w:color="auto"/>
        <w:right w:val="none" w:sz="0" w:space="0" w:color="auto"/>
      </w:divBdr>
    </w:div>
    <w:div w:id="1252274586">
      <w:bodyDiv w:val="1"/>
      <w:marLeft w:val="0"/>
      <w:marRight w:val="0"/>
      <w:marTop w:val="0"/>
      <w:marBottom w:val="0"/>
      <w:divBdr>
        <w:top w:val="none" w:sz="0" w:space="0" w:color="auto"/>
        <w:left w:val="none" w:sz="0" w:space="0" w:color="auto"/>
        <w:bottom w:val="none" w:sz="0" w:space="0" w:color="auto"/>
        <w:right w:val="none" w:sz="0" w:space="0" w:color="auto"/>
      </w:divBdr>
    </w:div>
    <w:div w:id="214141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E20FE-80C9-4271-8622-A48F771A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8</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4</cp:revision>
  <cp:lastPrinted>2018-06-25T09:21:00Z</cp:lastPrinted>
  <dcterms:created xsi:type="dcterms:W3CDTF">2018-06-22T15:47:00Z</dcterms:created>
  <dcterms:modified xsi:type="dcterms:W3CDTF">2018-06-25T09:21:00Z</dcterms:modified>
</cp:coreProperties>
</file>