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34F44" w:rsidP="00634F44">
            <w:pPr>
              <w:jc w:val="right"/>
            </w:pPr>
            <w:r w:rsidRPr="00634F44">
              <w:rPr>
                <w:sz w:val="40"/>
              </w:rPr>
              <w:t>ECE</w:t>
            </w:r>
            <w:r>
              <w:t>/TRANS/WP.15/AC.2/2018/14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634F44" w:rsidP="00634F44">
            <w:pPr>
              <w:spacing w:before="240" w:line="240" w:lineRule="exact"/>
            </w:pPr>
            <w:r>
              <w:t>Distr.: générale</w:t>
            </w:r>
          </w:p>
          <w:p w:rsidR="00634F44" w:rsidRDefault="00C17AB2" w:rsidP="00634F44">
            <w:pPr>
              <w:spacing w:line="240" w:lineRule="exact"/>
            </w:pPr>
            <w:r>
              <w:t>7</w:t>
            </w:r>
            <w:r w:rsidR="00CF7CB8">
              <w:t xml:space="preserve"> November</w:t>
            </w:r>
            <w:r w:rsidR="00634F44">
              <w:t xml:space="preserve"> 2017</w:t>
            </w:r>
          </w:p>
          <w:p w:rsidR="00634F44" w:rsidRDefault="00634F44" w:rsidP="00634F44">
            <w:pPr>
              <w:spacing w:line="240" w:lineRule="exact"/>
            </w:pPr>
          </w:p>
          <w:p w:rsidR="00634F44" w:rsidRDefault="00634F44" w:rsidP="00634F44">
            <w:pPr>
              <w:spacing w:line="240" w:lineRule="exact"/>
            </w:pPr>
            <w:r>
              <w:t>Original: English</w:t>
            </w:r>
          </w:p>
        </w:tc>
      </w:tr>
    </w:tbl>
    <w:p w:rsidR="00E97D9C" w:rsidRPr="00384626" w:rsidRDefault="00E97D9C" w:rsidP="00E97D9C">
      <w:pPr>
        <w:spacing w:before="120"/>
        <w:rPr>
          <w:b/>
          <w:sz w:val="28"/>
          <w:szCs w:val="28"/>
        </w:rPr>
      </w:pPr>
      <w:r w:rsidRPr="00384626">
        <w:rPr>
          <w:b/>
          <w:sz w:val="28"/>
          <w:szCs w:val="28"/>
        </w:rPr>
        <w:t>Economic Commission for Europe</w:t>
      </w:r>
    </w:p>
    <w:p w:rsidR="00E97D9C" w:rsidRPr="00384626" w:rsidRDefault="00E97D9C" w:rsidP="00E97D9C">
      <w:pPr>
        <w:spacing w:before="120"/>
        <w:rPr>
          <w:sz w:val="28"/>
          <w:szCs w:val="28"/>
        </w:rPr>
      </w:pPr>
      <w:r w:rsidRPr="00384626">
        <w:rPr>
          <w:sz w:val="28"/>
          <w:szCs w:val="28"/>
        </w:rPr>
        <w:t>Inland Transport Committee</w:t>
      </w:r>
    </w:p>
    <w:p w:rsidR="00E97D9C" w:rsidRPr="00384626" w:rsidRDefault="00E97D9C" w:rsidP="00E97D9C">
      <w:pPr>
        <w:spacing w:before="120"/>
        <w:rPr>
          <w:b/>
          <w:sz w:val="24"/>
          <w:szCs w:val="24"/>
        </w:rPr>
      </w:pPr>
      <w:r w:rsidRPr="00384626">
        <w:rPr>
          <w:b/>
          <w:sz w:val="24"/>
          <w:szCs w:val="24"/>
        </w:rPr>
        <w:t>Working Party on the Transport of Dangerous Goods</w:t>
      </w:r>
    </w:p>
    <w:p w:rsidR="00E97D9C" w:rsidRPr="00384626" w:rsidRDefault="00E97D9C" w:rsidP="00E97D9C">
      <w:pPr>
        <w:spacing w:before="120"/>
        <w:rPr>
          <w:b/>
        </w:rPr>
      </w:pPr>
      <w:r w:rsidRPr="00384626">
        <w:rPr>
          <w:b/>
        </w:rPr>
        <w:t>Joint Meeting of Experts on the Regulations annexed to the</w:t>
      </w:r>
      <w:r w:rsidRPr="00384626">
        <w:rPr>
          <w:b/>
        </w:rPr>
        <w:br/>
        <w:t>European Agreement concerning the International Carriage</w:t>
      </w:r>
      <w:r w:rsidRPr="00384626">
        <w:rPr>
          <w:b/>
        </w:rPr>
        <w:br/>
        <w:t>of Dangerous Goods by Inland Waterways (ADN)</w:t>
      </w:r>
      <w:r w:rsidRPr="00384626">
        <w:rPr>
          <w:b/>
        </w:rPr>
        <w:br/>
        <w:t>(ADN Safety Committee)</w:t>
      </w:r>
    </w:p>
    <w:p w:rsidR="00E97D9C" w:rsidRPr="00384626" w:rsidRDefault="00E97D9C" w:rsidP="00E97D9C">
      <w:pPr>
        <w:spacing w:before="120"/>
        <w:rPr>
          <w:b/>
        </w:rPr>
      </w:pPr>
      <w:r>
        <w:rPr>
          <w:b/>
        </w:rPr>
        <w:t>Thirty-second session</w:t>
      </w:r>
    </w:p>
    <w:p w:rsidR="00E97D9C" w:rsidRPr="00384626" w:rsidRDefault="00E97D9C" w:rsidP="00E97D9C">
      <w:r w:rsidRPr="00384626">
        <w:t xml:space="preserve">Geneva, </w:t>
      </w:r>
      <w:r>
        <w:t>2</w:t>
      </w:r>
      <w:r w:rsidRPr="00384626">
        <w:t>2-2</w:t>
      </w:r>
      <w:r>
        <w:t>6</w:t>
      </w:r>
      <w:r w:rsidRPr="00384626">
        <w:t xml:space="preserve"> January 201</w:t>
      </w:r>
      <w:r>
        <w:t>8</w:t>
      </w:r>
    </w:p>
    <w:p w:rsidR="00E97D9C" w:rsidRPr="00384626" w:rsidRDefault="00E97D9C" w:rsidP="00E97D9C">
      <w:r w:rsidRPr="00384626">
        <w:t xml:space="preserve">Item </w:t>
      </w:r>
      <w:r w:rsidR="00CF7CB8">
        <w:t>5 (b)</w:t>
      </w:r>
      <w:r w:rsidRPr="00384626">
        <w:t xml:space="preserve"> of the provisional agenda</w:t>
      </w:r>
    </w:p>
    <w:p w:rsidR="001C6663" w:rsidRDefault="00E97D9C" w:rsidP="00E97D9C">
      <w:pPr>
        <w:rPr>
          <w:b/>
          <w:bCs/>
        </w:rPr>
      </w:pPr>
      <w:r>
        <w:rPr>
          <w:b/>
          <w:bCs/>
        </w:rPr>
        <w:t xml:space="preserve">Proposals for amendments to the Regulations annexed to </w:t>
      </w:r>
      <w:r w:rsidR="00CF7CB8">
        <w:rPr>
          <w:b/>
          <w:bCs/>
        </w:rPr>
        <w:t>A</w:t>
      </w:r>
      <w:r w:rsidR="00C17AB2">
        <w:rPr>
          <w:b/>
          <w:bCs/>
        </w:rPr>
        <w:t>DN</w:t>
      </w:r>
      <w:r w:rsidR="00CF7CB8">
        <w:rPr>
          <w:b/>
          <w:bCs/>
        </w:rPr>
        <w:t>:</w:t>
      </w:r>
    </w:p>
    <w:p w:rsidR="00CF7CB8" w:rsidRDefault="00CF7CB8" w:rsidP="00E97D9C">
      <w:pPr>
        <w:rPr>
          <w:b/>
          <w:bCs/>
        </w:rPr>
      </w:pPr>
      <w:r>
        <w:rPr>
          <w:b/>
          <w:bCs/>
        </w:rPr>
        <w:t xml:space="preserve">other proposals </w:t>
      </w:r>
    </w:p>
    <w:p w:rsidR="00E97D9C" w:rsidRDefault="00E97D9C" w:rsidP="00E97D9C">
      <w:pPr>
        <w:pStyle w:val="HChG"/>
        <w:rPr>
          <w:rFonts w:eastAsia="PMingLiU"/>
          <w:szCs w:val="28"/>
          <w:lang w:eastAsia="zh-TW"/>
        </w:rPr>
      </w:pPr>
      <w:r>
        <w:rPr>
          <w:rFonts w:eastAsia="Calibri"/>
          <w:lang w:val="en-US"/>
        </w:rPr>
        <w:tab/>
      </w:r>
      <w:r>
        <w:rPr>
          <w:rFonts w:eastAsia="Calibri"/>
          <w:lang w:val="en-US"/>
        </w:rPr>
        <w:tab/>
        <w:t xml:space="preserve">Dimensions of the double hull in </w:t>
      </w:r>
      <w:r w:rsidRPr="005874BB">
        <w:rPr>
          <w:rFonts w:eastAsia="PMingLiU"/>
          <w:szCs w:val="28"/>
          <w:lang w:eastAsia="zh-TW"/>
        </w:rPr>
        <w:t>9.3.2.11.2 (a)</w:t>
      </w:r>
      <w:bookmarkStart w:id="0" w:name="_GoBack"/>
      <w:bookmarkEnd w:id="0"/>
    </w:p>
    <w:p w:rsidR="00025429" w:rsidRDefault="00E97D9C" w:rsidP="00025429">
      <w:pPr>
        <w:pStyle w:val="HChG"/>
      </w:pPr>
      <w:r w:rsidRPr="00025429">
        <w:tab/>
      </w:r>
      <w:r w:rsidRPr="00025429">
        <w:tab/>
        <w:t>Transmitted by the Recommended ADN Classification Societies</w:t>
      </w:r>
      <w:r w:rsidR="00BF1674" w:rsidRPr="005D4EB0">
        <w:rPr>
          <w:bCs/>
          <w:sz w:val="20"/>
          <w:vertAlign w:val="superscript"/>
          <w:lang w:val="en-US"/>
        </w:rPr>
        <w:footnoteReference w:customMarkFollows="1" w:id="2"/>
        <w:t>*,</w:t>
      </w:r>
      <w:r w:rsidR="00BF1674" w:rsidRPr="005D4EB0">
        <w:rPr>
          <w:bCs/>
          <w:sz w:val="20"/>
          <w:vertAlign w:val="superscript"/>
          <w:lang w:val="en-US"/>
        </w:rPr>
        <w:footnoteReference w:customMarkFollows="1" w:id="3"/>
        <w:t>**</w:t>
      </w:r>
    </w:p>
    <w:p w:rsidR="00E97D9C" w:rsidRDefault="00025429" w:rsidP="00025429">
      <w:pPr>
        <w:pStyle w:val="HChG"/>
      </w:pPr>
      <w:r>
        <w:tab/>
      </w:r>
      <w:r>
        <w:tab/>
      </w:r>
      <w:r w:rsidR="00E97D9C" w:rsidRPr="0003722D">
        <w:t>Introduction</w:t>
      </w:r>
    </w:p>
    <w:p w:rsidR="00E97D9C" w:rsidRPr="00DD49D0" w:rsidRDefault="00E97D9C" w:rsidP="00E97D9C">
      <w:pPr>
        <w:pStyle w:val="SingleTxtG"/>
      </w:pPr>
      <w:r>
        <w:t>1.</w:t>
      </w:r>
      <w:r>
        <w:tab/>
        <w:t xml:space="preserve">It seems that </w:t>
      </w:r>
      <w:r w:rsidRPr="00DD49D0">
        <w:t>the referen</w:t>
      </w:r>
      <w:r w:rsidR="0070295B">
        <w:t>ce to 9.3.2.11.7 is not correct</w:t>
      </w:r>
      <w:r w:rsidRPr="00DD49D0">
        <w:t xml:space="preserve">: </w:t>
      </w:r>
    </w:p>
    <w:p w:rsidR="00E97D9C" w:rsidRPr="00DD49D0" w:rsidRDefault="00E97D9C" w:rsidP="00E97D9C">
      <w:pPr>
        <w:pStyle w:val="SingleTxtG"/>
        <w:rPr>
          <w:rFonts w:eastAsia="TimesNewRomanPSMT"/>
        </w:rPr>
      </w:pPr>
      <w:r w:rsidRPr="00DD49D0">
        <w:rPr>
          <w:rFonts w:eastAsia="TimesNewRomanPSMT"/>
        </w:rPr>
        <w:t>Quote</w:t>
      </w:r>
    </w:p>
    <w:p w:rsidR="00E97D9C" w:rsidRPr="00E97D9C" w:rsidRDefault="00E97D9C" w:rsidP="00E97D9C">
      <w:pPr>
        <w:pStyle w:val="SingleTxtG"/>
        <w:rPr>
          <w:rFonts w:eastAsia="TimesNewRomanPSMT"/>
          <w:i/>
        </w:rPr>
      </w:pPr>
      <w:r w:rsidRPr="00E97D9C">
        <w:rPr>
          <w:rFonts w:eastAsia="TimesNewRomanPSMT"/>
          <w:i/>
        </w:rPr>
        <w:t>9.3.2.11.2 (a) In the cargo area (except cofferdams) the vessel shall be designed as a flush-deck double-hull vessel, with double-hull spaces and double bottoms, but without a trunk.</w:t>
      </w:r>
    </w:p>
    <w:p w:rsidR="00E97D9C" w:rsidRPr="00E97D9C" w:rsidRDefault="00E97D9C" w:rsidP="00E97D9C">
      <w:pPr>
        <w:pStyle w:val="SingleTxtG"/>
        <w:rPr>
          <w:rFonts w:eastAsia="TimesNewRomanPSMT"/>
          <w:i/>
        </w:rPr>
      </w:pPr>
      <w:r w:rsidRPr="00E97D9C">
        <w:rPr>
          <w:rFonts w:eastAsia="TimesNewRomanPSMT"/>
          <w:i/>
        </w:rPr>
        <w:t xml:space="preserve">Cargo tanks independent of the vessel’s hull and refrigerated cargo tanks may only be installed in a hold space which is bounded by double-hull spaces and double bottoms in accordance with </w:t>
      </w:r>
      <w:r w:rsidRPr="00E97D9C">
        <w:rPr>
          <w:rFonts w:eastAsia="TimesNewRomanPSMT"/>
          <w:b/>
          <w:i/>
          <w:color w:val="000000"/>
          <w:u w:val="single"/>
        </w:rPr>
        <w:t>9.3.2.11.7</w:t>
      </w:r>
      <w:r w:rsidRPr="00E97D9C">
        <w:rPr>
          <w:rFonts w:eastAsia="TimesNewRomanPSMT"/>
          <w:i/>
        </w:rPr>
        <w:t xml:space="preserve"> below. The cargo tanks shall not extend beyond the deck. … </w:t>
      </w:r>
    </w:p>
    <w:p w:rsidR="00E97D9C" w:rsidRPr="00DD49D0" w:rsidRDefault="00E97D9C" w:rsidP="00E97D9C">
      <w:pPr>
        <w:pStyle w:val="SingleTxtG"/>
        <w:rPr>
          <w:b/>
        </w:rPr>
      </w:pPr>
      <w:r w:rsidRPr="00DD49D0">
        <w:rPr>
          <w:rFonts w:eastAsia="TimesNewRomanPSMT"/>
        </w:rPr>
        <w:t>Unquote</w:t>
      </w:r>
    </w:p>
    <w:p w:rsidR="00E97D9C" w:rsidRDefault="00CF7CB8" w:rsidP="00E97D9C">
      <w:pPr>
        <w:pStyle w:val="HChG"/>
      </w:pPr>
      <w:r>
        <w:lastRenderedPageBreak/>
        <w:tab/>
        <w:t>I</w:t>
      </w:r>
      <w:r w:rsidR="00E97D9C">
        <w:t>.</w:t>
      </w:r>
      <w:r w:rsidR="00E97D9C">
        <w:tab/>
        <w:t>Background</w:t>
      </w:r>
    </w:p>
    <w:p w:rsidR="00E97D9C" w:rsidRPr="008C1A3A" w:rsidRDefault="00E97D9C" w:rsidP="00E97D9C">
      <w:pPr>
        <w:pStyle w:val="SingleTxtG"/>
        <w:rPr>
          <w:rFonts w:eastAsia="TimesNewRomanPSMT"/>
        </w:rPr>
      </w:pPr>
      <w:r>
        <w:rPr>
          <w:rFonts w:eastAsia="TimesNewRomanPSMT"/>
        </w:rPr>
        <w:t>2.</w:t>
      </w:r>
      <w:r>
        <w:rPr>
          <w:rFonts w:eastAsia="TimesNewRomanPSMT"/>
        </w:rPr>
        <w:tab/>
      </w:r>
      <w:r w:rsidRPr="008C1A3A">
        <w:rPr>
          <w:rFonts w:eastAsia="TimesNewRomanPSMT"/>
        </w:rPr>
        <w:t xml:space="preserve">The prescription 9.3.2.11.7 concerns </w:t>
      </w:r>
      <w:r w:rsidR="0070295B">
        <w:rPr>
          <w:rFonts w:eastAsia="TimesNewRomanPSMT"/>
        </w:rPr>
        <w:t>“</w:t>
      </w:r>
      <w:r w:rsidRPr="008C1A3A">
        <w:rPr>
          <w:rFonts w:eastAsia="TimesNewRomanPSMT"/>
        </w:rPr>
        <w:t>cargo tanks integrated in the vessel’s structure</w:t>
      </w:r>
      <w:r w:rsidR="0070295B">
        <w:rPr>
          <w:rFonts w:eastAsia="TimesNewRomanPSMT"/>
        </w:rPr>
        <w:t>”</w:t>
      </w:r>
      <w:r w:rsidRPr="008C1A3A">
        <w:rPr>
          <w:rFonts w:eastAsia="TimesNewRomanPSMT"/>
        </w:rPr>
        <w:t>:</w:t>
      </w:r>
    </w:p>
    <w:p w:rsidR="00E97D9C" w:rsidRDefault="00E97D9C" w:rsidP="00E97D9C">
      <w:pPr>
        <w:pStyle w:val="SingleTxtG"/>
        <w:rPr>
          <w:rFonts w:eastAsia="TimesNewRomanPSMT"/>
          <w:i/>
        </w:rPr>
      </w:pPr>
      <w:r w:rsidRPr="008C1A3A">
        <w:rPr>
          <w:rFonts w:eastAsia="TimesNewRomanPSMT"/>
        </w:rPr>
        <w:t>Quote</w:t>
      </w:r>
      <w:r w:rsidRPr="008C1A3A">
        <w:rPr>
          <w:rFonts w:eastAsia="TimesNewRomanPSMT"/>
          <w:i/>
        </w:rPr>
        <w:t xml:space="preserve"> </w:t>
      </w:r>
    </w:p>
    <w:p w:rsidR="00E97D9C" w:rsidRPr="00E97D9C" w:rsidRDefault="00E97D9C" w:rsidP="00E97D9C">
      <w:pPr>
        <w:pStyle w:val="SingleTxtG"/>
        <w:rPr>
          <w:rFonts w:eastAsia="TimesNewRomanPSMT"/>
          <w:i/>
        </w:rPr>
      </w:pPr>
      <w:r w:rsidRPr="00E97D9C">
        <w:rPr>
          <w:rFonts w:eastAsia="TimesNewRomanPSMT"/>
          <w:i/>
        </w:rPr>
        <w:t>9.3.2.11.7 For double-hull construction with the cargo tanks integrated in the vessel’s structure, the distance between the side wall of the vessel and the longitudinal bulkhead of the cargo tanks shall be not less than 1.00 m.</w:t>
      </w:r>
    </w:p>
    <w:p w:rsidR="00E97D9C" w:rsidRPr="008C1A3A" w:rsidRDefault="00E97D9C" w:rsidP="00E97D9C">
      <w:pPr>
        <w:pStyle w:val="SingleTxtG"/>
        <w:rPr>
          <w:rFonts w:eastAsia="TimesNewRomanPSMT"/>
        </w:rPr>
      </w:pPr>
      <w:r w:rsidRPr="00E97D9C">
        <w:rPr>
          <w:rFonts w:eastAsia="TimesNewRomanPSMT"/>
          <w:i/>
        </w:rPr>
        <w:t>A distance of 0.80 m may however be permitted, provided that, compared with the scantling requirements specified in the rules for construction of a recognised classification society, the following reinforcements have been made: ….</w:t>
      </w:r>
    </w:p>
    <w:p w:rsidR="00E97D9C" w:rsidRDefault="00E97D9C" w:rsidP="00E97D9C">
      <w:pPr>
        <w:pStyle w:val="SingleTxtG"/>
        <w:rPr>
          <w:rFonts w:eastAsia="TimesNewRomanPSMT"/>
          <w:i/>
          <w:sz w:val="24"/>
          <w:szCs w:val="24"/>
        </w:rPr>
      </w:pPr>
      <w:r w:rsidRPr="008C1A3A">
        <w:rPr>
          <w:rFonts w:eastAsia="TimesNewRomanPSMT"/>
        </w:rPr>
        <w:t>Unquote</w:t>
      </w:r>
    </w:p>
    <w:p w:rsidR="00E97D9C" w:rsidRPr="00BC4BD1" w:rsidRDefault="00E97D9C" w:rsidP="00E97D9C">
      <w:pPr>
        <w:pStyle w:val="SingleTxtG"/>
        <w:rPr>
          <w:rFonts w:eastAsia="TimesNewRomanPSMT"/>
        </w:rPr>
      </w:pPr>
      <w:r>
        <w:rPr>
          <w:rFonts w:eastAsia="TimesNewRomanPSMT"/>
        </w:rPr>
        <w:t>3.</w:t>
      </w:r>
      <w:r>
        <w:rPr>
          <w:rFonts w:eastAsia="TimesNewRomanPSMT"/>
        </w:rPr>
        <w:tab/>
      </w:r>
      <w:r w:rsidRPr="00BC4BD1">
        <w:rPr>
          <w:rFonts w:eastAsia="TimesNewRomanPSMT"/>
        </w:rPr>
        <w:t xml:space="preserve">But the prescription 9.3.2.11.2 (a) is about </w:t>
      </w:r>
      <w:r w:rsidR="0070295B">
        <w:rPr>
          <w:rFonts w:eastAsia="TimesNewRomanPSMT"/>
        </w:rPr>
        <w:t>“</w:t>
      </w:r>
      <w:r w:rsidRPr="00BC4BD1">
        <w:rPr>
          <w:rFonts w:eastAsia="TimesNewRomanPSMT"/>
        </w:rPr>
        <w:t>cargo tanks independent of the vessel’s hull</w:t>
      </w:r>
      <w:r w:rsidR="0070295B">
        <w:rPr>
          <w:rFonts w:eastAsia="TimesNewRomanPSMT"/>
        </w:rPr>
        <w:t>”</w:t>
      </w:r>
      <w:r w:rsidRPr="00BC4BD1">
        <w:rPr>
          <w:rFonts w:eastAsia="TimesNewRomanPSMT"/>
        </w:rPr>
        <w:t>; therefore the reference</w:t>
      </w:r>
      <w:r w:rsidR="00A73967">
        <w:rPr>
          <w:rFonts w:eastAsia="TimesNewRomanPSMT"/>
        </w:rPr>
        <w:t xml:space="preserve"> to the prescription 9.3.2.11.8</w:t>
      </w:r>
      <w:r w:rsidRPr="00BC4BD1">
        <w:rPr>
          <w:rFonts w:eastAsia="TimesNewRomanPSMT"/>
        </w:rPr>
        <w:t xml:space="preserve"> is more adapted.</w:t>
      </w:r>
    </w:p>
    <w:p w:rsidR="00E97D9C" w:rsidRPr="00374AE5" w:rsidRDefault="00E97D9C" w:rsidP="00E97D9C">
      <w:pPr>
        <w:pStyle w:val="SingleTxtG"/>
        <w:rPr>
          <w:rFonts w:eastAsia="TimesNewRomanPSMT"/>
          <w:i/>
        </w:rPr>
      </w:pPr>
      <w:r w:rsidRPr="008C1A3A">
        <w:rPr>
          <w:rFonts w:eastAsia="TimesNewRomanPSMT"/>
        </w:rPr>
        <w:t>Quote</w:t>
      </w:r>
    </w:p>
    <w:p w:rsidR="00E97D9C" w:rsidRPr="00E97D9C" w:rsidRDefault="00E97D9C" w:rsidP="00E97D9C">
      <w:pPr>
        <w:pStyle w:val="SingleTxtG"/>
        <w:rPr>
          <w:rFonts w:eastAsia="TimesNewRomanPSMT"/>
          <w:i/>
        </w:rPr>
      </w:pPr>
      <w:r w:rsidRPr="00E97D9C">
        <w:rPr>
          <w:rFonts w:eastAsia="TimesNewRomanPSMT"/>
          <w:i/>
        </w:rPr>
        <w:t>9.3.2.11.8 When a vessel is built with cargo tanks located in a hold space or refrigerated cargo tanks, the distance between the double walls of the hold space shall be not less than 0.80 m and the depth of the double bottom shall be not less than 0.60 m.</w:t>
      </w:r>
    </w:p>
    <w:p w:rsidR="00E97D9C" w:rsidRPr="00374AE5" w:rsidRDefault="00E97D9C" w:rsidP="00E97D9C">
      <w:pPr>
        <w:pStyle w:val="SingleTxtG"/>
        <w:rPr>
          <w:rFonts w:eastAsia="TimesNewRomanPSMT"/>
        </w:rPr>
      </w:pPr>
      <w:r w:rsidRPr="00374AE5">
        <w:rPr>
          <w:rFonts w:eastAsia="TimesNewRomanPSMT"/>
        </w:rPr>
        <w:t>Unquote</w:t>
      </w:r>
    </w:p>
    <w:p w:rsidR="00E97D9C" w:rsidRDefault="00E97D9C" w:rsidP="00E97D9C">
      <w:pPr>
        <w:pStyle w:val="SingleTxtG"/>
        <w:rPr>
          <w:rFonts w:eastAsia="TimesNewRomanPSMT"/>
        </w:rPr>
      </w:pPr>
      <w:r>
        <w:rPr>
          <w:rFonts w:eastAsia="TimesNewRomanPSMT"/>
        </w:rPr>
        <w:t>4.</w:t>
      </w:r>
      <w:r>
        <w:rPr>
          <w:rFonts w:eastAsia="TimesNewRomanPSMT"/>
        </w:rPr>
        <w:tab/>
      </w:r>
      <w:r w:rsidRPr="00BC4BD1">
        <w:rPr>
          <w:rFonts w:eastAsia="TimesNewRomanPSMT"/>
        </w:rPr>
        <w:t>Reading the content of the 9.3.2.11.7 and 9.3.2.11.8 it seems that the correct reference in the 9.3.2.11.2 (a) is 9.3.2.11.8 instead of 9.3.2.11.7</w:t>
      </w:r>
      <w:r>
        <w:rPr>
          <w:rFonts w:eastAsia="TimesNewRomanPSMT"/>
        </w:rPr>
        <w:t>.</w:t>
      </w:r>
    </w:p>
    <w:p w:rsidR="00E97D9C" w:rsidRDefault="00E97D9C" w:rsidP="00E97D9C">
      <w:pPr>
        <w:pStyle w:val="SingleTxtG"/>
        <w:rPr>
          <w:rFonts w:eastAsia="TimesNewRomanPSMT"/>
        </w:rPr>
      </w:pPr>
      <w:r>
        <w:rPr>
          <w:rFonts w:eastAsia="TimesNewRomanPSMT"/>
        </w:rPr>
        <w:t>5.</w:t>
      </w:r>
      <w:r>
        <w:rPr>
          <w:rFonts w:eastAsia="TimesNewRomanPSMT"/>
        </w:rPr>
        <w:tab/>
      </w:r>
      <w:r w:rsidRPr="00BC4BD1">
        <w:rPr>
          <w:rFonts w:eastAsia="TimesNewRomanPSMT"/>
        </w:rPr>
        <w:t>Since the version 2001 of ADNR, it is the same reference (ie 9.3.2.11.7) in the FR, GE and EN versions.</w:t>
      </w:r>
    </w:p>
    <w:p w:rsidR="00E97D9C" w:rsidRPr="0003722D" w:rsidRDefault="00CF7CB8" w:rsidP="00E97D9C">
      <w:pPr>
        <w:pStyle w:val="HChG"/>
      </w:pPr>
      <w:r>
        <w:tab/>
        <w:t>II</w:t>
      </w:r>
      <w:r w:rsidR="00E97D9C">
        <w:t>.</w:t>
      </w:r>
      <w:r w:rsidR="00E97D9C">
        <w:tab/>
        <w:t>Proposal of amendment</w:t>
      </w:r>
    </w:p>
    <w:p w:rsidR="00E97D9C" w:rsidRPr="004347A0" w:rsidRDefault="00E97D9C" w:rsidP="00E97D9C">
      <w:pPr>
        <w:pStyle w:val="SingleTxtG"/>
        <w:rPr>
          <w:rFonts w:eastAsia="TimesNewRomanPSMT"/>
        </w:rPr>
      </w:pPr>
      <w:r w:rsidRPr="00374AE5">
        <w:rPr>
          <w:rFonts w:eastAsia="TimesNewRomanPSMT" w:cs="Calibri"/>
        </w:rPr>
        <w:t>6.</w:t>
      </w:r>
      <w:r w:rsidRPr="00374AE5">
        <w:rPr>
          <w:rFonts w:eastAsia="TimesNewRomanPSMT" w:cs="Calibri"/>
        </w:rPr>
        <w:tab/>
      </w:r>
      <w:r>
        <w:t>Proposed amendment:</w:t>
      </w:r>
    </w:p>
    <w:p w:rsidR="00E97D9C" w:rsidRPr="00374AE5" w:rsidRDefault="00E97D9C" w:rsidP="00E97D9C">
      <w:pPr>
        <w:pStyle w:val="SingleTxtG"/>
        <w:rPr>
          <w:rFonts w:eastAsia="TimesNewRomanPSMT"/>
        </w:rPr>
      </w:pPr>
      <w:r w:rsidRPr="00374AE5">
        <w:rPr>
          <w:rFonts w:eastAsia="TimesNewRomanPSMT"/>
        </w:rPr>
        <w:t>Quote</w:t>
      </w:r>
    </w:p>
    <w:p w:rsidR="00E97D9C" w:rsidRPr="00E97D9C" w:rsidRDefault="00E97D9C" w:rsidP="00E97D9C">
      <w:pPr>
        <w:pStyle w:val="SingleTxtG"/>
        <w:rPr>
          <w:rFonts w:eastAsia="TimesNewRomanPSMT"/>
          <w:i/>
        </w:rPr>
      </w:pPr>
      <w:r w:rsidRPr="00E97D9C">
        <w:rPr>
          <w:rFonts w:eastAsia="TimesNewRomanPSMT"/>
          <w:i/>
        </w:rPr>
        <w:t>9.3.2.11.2 (a) In the cargo area (except cofferdams) the vessel shall be designed as a flush-deck double-hull vessel, with double-hull spaces and double bottoms, but without a trunk.</w:t>
      </w:r>
    </w:p>
    <w:p w:rsidR="00E97D9C" w:rsidRPr="00374AE5" w:rsidRDefault="00E97D9C" w:rsidP="00E97D9C">
      <w:pPr>
        <w:pStyle w:val="SingleTxtG"/>
        <w:rPr>
          <w:rFonts w:eastAsia="TimesNewRomanPSMT"/>
        </w:rPr>
      </w:pPr>
      <w:r w:rsidRPr="00E97D9C">
        <w:rPr>
          <w:rFonts w:eastAsia="TimesNewRomanPSMT"/>
          <w:i/>
        </w:rPr>
        <w:t xml:space="preserve">Cargo tanks independent of the vessel’s hull and refrigerated cargo tanks may only be installed in a hold space which is bounded by double-hull spaces and double bottoms in accordance with </w:t>
      </w:r>
      <w:r w:rsidRPr="00E97D9C">
        <w:rPr>
          <w:rFonts w:eastAsia="TimesNewRomanPSMT"/>
          <w:i/>
          <w:strike/>
          <w:color w:val="000000"/>
          <w:u w:val="single"/>
        </w:rPr>
        <w:t>9.3.2.11.7</w:t>
      </w:r>
      <w:r w:rsidR="0070295B">
        <w:rPr>
          <w:rFonts w:eastAsia="TimesNewRomanPSMT"/>
          <w:i/>
          <w:color w:val="000000"/>
        </w:rPr>
        <w:t xml:space="preserve"> </w:t>
      </w:r>
      <w:r w:rsidRPr="00E97D9C">
        <w:rPr>
          <w:rFonts w:eastAsia="TimesNewRomanPSMT"/>
          <w:i/>
          <w:color w:val="000000"/>
          <w:u w:val="single"/>
        </w:rPr>
        <w:t>9.3.2.11.8</w:t>
      </w:r>
      <w:r w:rsidRPr="00E97D9C">
        <w:rPr>
          <w:rFonts w:eastAsia="TimesNewRomanPSMT"/>
          <w:i/>
        </w:rPr>
        <w:t xml:space="preserve"> below. The cargo tanks shall not extend beyond the deck. ….</w:t>
      </w:r>
    </w:p>
    <w:p w:rsidR="00E97D9C" w:rsidRPr="00E97D9C" w:rsidRDefault="00E97D9C" w:rsidP="00E97D9C">
      <w:pPr>
        <w:pStyle w:val="SingleTxtG"/>
      </w:pPr>
      <w:r w:rsidRPr="00374AE5">
        <w:rPr>
          <w:rFonts w:eastAsia="TimesNewRomanPSMT"/>
        </w:rPr>
        <w:t>Unquote</w:t>
      </w:r>
    </w:p>
    <w:p w:rsidR="00F507EC" w:rsidRPr="00634F44" w:rsidRDefault="00E97D9C" w:rsidP="00A73967">
      <w:pPr>
        <w:spacing w:before="240"/>
        <w:ind w:left="1134" w:right="1134"/>
        <w:jc w:val="center"/>
      </w:pPr>
      <w:r>
        <w:rPr>
          <w:u w:val="single"/>
          <w:lang w:eastAsia="zh-TW"/>
        </w:rPr>
        <w:tab/>
      </w:r>
      <w:r>
        <w:rPr>
          <w:u w:val="single"/>
          <w:lang w:eastAsia="zh-TW"/>
        </w:rPr>
        <w:tab/>
      </w:r>
      <w:r>
        <w:rPr>
          <w:u w:val="single"/>
          <w:lang w:eastAsia="zh-TW"/>
        </w:rPr>
        <w:tab/>
      </w:r>
    </w:p>
    <w:sectPr w:rsidR="00F507EC" w:rsidRPr="00634F44" w:rsidSect="00634F4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44" w:rsidRDefault="00634F44"/>
  </w:endnote>
  <w:endnote w:type="continuationSeparator" w:id="0">
    <w:p w:rsidR="00634F44" w:rsidRDefault="00634F44"/>
  </w:endnote>
  <w:endnote w:type="continuationNotice" w:id="1">
    <w:p w:rsidR="00634F44" w:rsidRDefault="00634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4" w:rsidRPr="00634F44" w:rsidRDefault="00634F44" w:rsidP="00634F44">
    <w:pPr>
      <w:pStyle w:val="Footer"/>
      <w:tabs>
        <w:tab w:val="right" w:pos="9638"/>
      </w:tabs>
      <w:rPr>
        <w:sz w:val="18"/>
      </w:rPr>
    </w:pPr>
    <w:r w:rsidRPr="00634F44">
      <w:rPr>
        <w:b/>
        <w:sz w:val="18"/>
      </w:rPr>
      <w:fldChar w:fldCharType="begin"/>
    </w:r>
    <w:r w:rsidRPr="00634F44">
      <w:rPr>
        <w:b/>
        <w:sz w:val="18"/>
      </w:rPr>
      <w:instrText xml:space="preserve"> PAGE  \* MERGEFORMAT </w:instrText>
    </w:r>
    <w:r w:rsidRPr="00634F44">
      <w:rPr>
        <w:b/>
        <w:sz w:val="18"/>
      </w:rPr>
      <w:fldChar w:fldCharType="separate"/>
    </w:r>
    <w:r w:rsidR="00BF1674">
      <w:rPr>
        <w:b/>
        <w:noProof/>
        <w:sz w:val="18"/>
      </w:rPr>
      <w:t>2</w:t>
    </w:r>
    <w:r w:rsidRPr="00634F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4" w:rsidRPr="00634F44" w:rsidRDefault="00634F44" w:rsidP="00634F44">
    <w:pPr>
      <w:pStyle w:val="Footer"/>
      <w:tabs>
        <w:tab w:val="right" w:pos="9638"/>
      </w:tabs>
      <w:rPr>
        <w:b/>
        <w:sz w:val="18"/>
      </w:rPr>
    </w:pPr>
    <w:r>
      <w:tab/>
    </w:r>
    <w:r w:rsidRPr="00634F44">
      <w:rPr>
        <w:b/>
        <w:sz w:val="18"/>
      </w:rPr>
      <w:fldChar w:fldCharType="begin"/>
    </w:r>
    <w:r w:rsidRPr="00634F44">
      <w:rPr>
        <w:b/>
        <w:sz w:val="18"/>
      </w:rPr>
      <w:instrText xml:space="preserve"> PAGE  \* MERGEFORMAT </w:instrText>
    </w:r>
    <w:r w:rsidRPr="00634F44">
      <w:rPr>
        <w:b/>
        <w:sz w:val="18"/>
      </w:rPr>
      <w:fldChar w:fldCharType="separate"/>
    </w:r>
    <w:r w:rsidR="00E97D9C">
      <w:rPr>
        <w:b/>
        <w:noProof/>
        <w:sz w:val="18"/>
      </w:rPr>
      <w:t>3</w:t>
    </w:r>
    <w:r w:rsidRPr="00634F4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44" w:rsidRPr="000B175B" w:rsidRDefault="00634F44" w:rsidP="000B175B">
      <w:pPr>
        <w:tabs>
          <w:tab w:val="right" w:pos="2155"/>
        </w:tabs>
        <w:spacing w:after="80"/>
        <w:ind w:left="680"/>
        <w:rPr>
          <w:u w:val="single"/>
        </w:rPr>
      </w:pPr>
      <w:r>
        <w:rPr>
          <w:u w:val="single"/>
        </w:rPr>
        <w:tab/>
      </w:r>
    </w:p>
  </w:footnote>
  <w:footnote w:type="continuationSeparator" w:id="0">
    <w:p w:rsidR="00634F44" w:rsidRPr="00FC68B7" w:rsidRDefault="00634F44" w:rsidP="00FC68B7">
      <w:pPr>
        <w:tabs>
          <w:tab w:val="left" w:pos="2155"/>
        </w:tabs>
        <w:spacing w:after="80"/>
        <w:ind w:left="680"/>
        <w:rPr>
          <w:u w:val="single"/>
        </w:rPr>
      </w:pPr>
      <w:r>
        <w:rPr>
          <w:u w:val="single"/>
        </w:rPr>
        <w:tab/>
      </w:r>
    </w:p>
  </w:footnote>
  <w:footnote w:type="continuationNotice" w:id="1">
    <w:p w:rsidR="00634F44" w:rsidRDefault="00634F44"/>
  </w:footnote>
  <w:footnote w:id="2">
    <w:p w:rsidR="00BF1674" w:rsidRPr="003A7D20" w:rsidRDefault="00BF1674" w:rsidP="00BF1674">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Pr>
          <w:lang w:val="en-US"/>
        </w:rPr>
        <w:t>14</w:t>
      </w:r>
      <w:r w:rsidRPr="003A7D20">
        <w:rPr>
          <w:lang w:val="en-US"/>
        </w:rPr>
        <w:t>.</w:t>
      </w:r>
    </w:p>
  </w:footnote>
  <w:footnote w:id="3">
    <w:p w:rsidR="00BF1674" w:rsidRPr="003A7D20" w:rsidRDefault="00BF1674" w:rsidP="00BF1674">
      <w:pPr>
        <w:pStyle w:val="FootnoteText"/>
        <w:rPr>
          <w:lang w:val="en-US"/>
        </w:rPr>
      </w:pPr>
      <w:r>
        <w:rPr>
          <w:lang w:val="en-US"/>
        </w:rPr>
        <w:tab/>
      </w:r>
      <w:r w:rsidRPr="005D4EB0">
        <w:rPr>
          <w:rStyle w:val="FootnoteReference"/>
          <w:sz w:val="20"/>
          <w:lang w:val="en-US"/>
        </w:rPr>
        <w:t>**</w:t>
      </w:r>
      <w:r w:rsidRPr="003A7D20">
        <w:rPr>
          <w:lang w:val="en-US"/>
        </w:rPr>
        <w:tab/>
        <w:t>In accordance with the programme of work of the Inl</w:t>
      </w:r>
      <w:r>
        <w:rPr>
          <w:lang w:val="en-US"/>
        </w:rPr>
        <w:t>and Transport Committee for 2017-2018</w:t>
      </w:r>
      <w:r w:rsidRPr="003A7D20">
        <w:rPr>
          <w:lang w:val="en-US"/>
        </w:rPr>
        <w:t xml:space="preserve"> (ECE/TRANS/</w:t>
      </w:r>
      <w:r>
        <w:rPr>
          <w:lang w:val="en-US"/>
        </w:rPr>
        <w:t>WP.15/237, annex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4" w:rsidRPr="00634F44" w:rsidRDefault="00634F44">
    <w:pPr>
      <w:pStyle w:val="Header"/>
    </w:pPr>
    <w:r>
      <w:t>ECE/TRANS/WP.15/AC.2/2018/14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4" w:rsidRPr="00634F44" w:rsidRDefault="00634F44" w:rsidP="00634F44">
    <w:pPr>
      <w:pStyle w:val="Header"/>
      <w:jc w:val="right"/>
    </w:pPr>
    <w:r>
      <w:t>ECE/TRANS/WP.15/AC.2/2018/14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0B0389"/>
    <w:multiLevelType w:val="hybridMultilevel"/>
    <w:tmpl w:val="C73CD20A"/>
    <w:lvl w:ilvl="0" w:tplc="79C2A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04C3B"/>
    <w:multiLevelType w:val="hybridMultilevel"/>
    <w:tmpl w:val="2AA8F208"/>
    <w:lvl w:ilvl="0" w:tplc="502AD5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5"/>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44"/>
    <w:rsid w:val="00002A7D"/>
    <w:rsid w:val="000038A8"/>
    <w:rsid w:val="00006790"/>
    <w:rsid w:val="00025429"/>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B629D"/>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906CA"/>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2627D"/>
    <w:rsid w:val="00630FCB"/>
    <w:rsid w:val="00634F44"/>
    <w:rsid w:val="00640B26"/>
    <w:rsid w:val="006770B2"/>
    <w:rsid w:val="006940E1"/>
    <w:rsid w:val="006A3C72"/>
    <w:rsid w:val="006A7392"/>
    <w:rsid w:val="006B03A1"/>
    <w:rsid w:val="006B67D9"/>
    <w:rsid w:val="006C5535"/>
    <w:rsid w:val="006D0589"/>
    <w:rsid w:val="006E564B"/>
    <w:rsid w:val="006E7154"/>
    <w:rsid w:val="007003CD"/>
    <w:rsid w:val="0070295B"/>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3967"/>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74"/>
    <w:rsid w:val="00BF16D7"/>
    <w:rsid w:val="00BF2373"/>
    <w:rsid w:val="00C044E2"/>
    <w:rsid w:val="00C048CB"/>
    <w:rsid w:val="00C066F3"/>
    <w:rsid w:val="00C17AB2"/>
    <w:rsid w:val="00C463DD"/>
    <w:rsid w:val="00C745C3"/>
    <w:rsid w:val="00CA24A4"/>
    <w:rsid w:val="00CB348D"/>
    <w:rsid w:val="00CD46F5"/>
    <w:rsid w:val="00CE4A8F"/>
    <w:rsid w:val="00CF071D"/>
    <w:rsid w:val="00CF7CB8"/>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97D9C"/>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E2E2B"/>
  <w15:docId w15:val="{198B08A6-ACB0-467D-BB33-5A784C57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6262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627D"/>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uiPriority w:val="99"/>
    <w:rsid w:val="00CF7CB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84</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10</cp:revision>
  <cp:lastPrinted>2017-11-01T11:09:00Z</cp:lastPrinted>
  <dcterms:created xsi:type="dcterms:W3CDTF">2017-10-31T13:36:00Z</dcterms:created>
  <dcterms:modified xsi:type="dcterms:W3CDTF">2017-11-07T09:30:00Z</dcterms:modified>
</cp:coreProperties>
</file>