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7FF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7FF7" w:rsidP="00527FF7">
            <w:pPr>
              <w:jc w:val="right"/>
            </w:pPr>
            <w:r w:rsidRPr="00527FF7">
              <w:rPr>
                <w:sz w:val="40"/>
              </w:rPr>
              <w:t>ECE</w:t>
            </w:r>
            <w:r>
              <w:t>/TRANS/WP.15/AC.2/66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7FF7" w:rsidP="00C97039">
            <w:pPr>
              <w:spacing w:before="240"/>
            </w:pPr>
            <w:proofErr w:type="spellStart"/>
            <w:r>
              <w:t>Distr</w:t>
            </w:r>
            <w:proofErr w:type="spellEnd"/>
            <w:r>
              <w:t>. générale</w:t>
            </w:r>
          </w:p>
          <w:p w:rsidR="00527FF7" w:rsidRDefault="00527FF7" w:rsidP="00527FF7">
            <w:pPr>
              <w:spacing w:line="240" w:lineRule="exact"/>
            </w:pPr>
            <w:r>
              <w:t>7 février 2018</w:t>
            </w:r>
          </w:p>
          <w:p w:rsidR="00527FF7" w:rsidRDefault="00527FF7" w:rsidP="00527FF7">
            <w:pPr>
              <w:spacing w:line="240" w:lineRule="exact"/>
            </w:pPr>
            <w:r>
              <w:t>Français</w:t>
            </w:r>
          </w:p>
          <w:p w:rsidR="00527FF7" w:rsidRPr="00DB58B5" w:rsidRDefault="00527FF7" w:rsidP="00527FF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77ECC" w:rsidRPr="00F31485" w:rsidRDefault="00F77ECC" w:rsidP="00F31485">
      <w:pPr>
        <w:spacing w:before="120"/>
        <w:rPr>
          <w:b/>
          <w:sz w:val="24"/>
          <w:szCs w:val="24"/>
          <w:lang w:val="fr-FR"/>
        </w:rPr>
      </w:pPr>
      <w:r w:rsidRPr="00F31485">
        <w:rPr>
          <w:b/>
          <w:sz w:val="24"/>
          <w:szCs w:val="24"/>
          <w:lang w:val="fr-FR"/>
        </w:rPr>
        <w:t xml:space="preserve">Groupe de travail des transports </w:t>
      </w:r>
      <w:r w:rsidR="00F31485">
        <w:rPr>
          <w:b/>
          <w:sz w:val="24"/>
          <w:szCs w:val="24"/>
          <w:lang w:val="fr-FR"/>
        </w:rPr>
        <w:br/>
      </w:r>
      <w:r w:rsidRPr="00F31485">
        <w:rPr>
          <w:b/>
          <w:sz w:val="24"/>
          <w:szCs w:val="24"/>
          <w:lang w:val="fr-FR"/>
        </w:rPr>
        <w:t>de marchandises dangereuses</w:t>
      </w:r>
    </w:p>
    <w:p w:rsidR="00F77ECC" w:rsidRPr="00F31485" w:rsidRDefault="00F77ECC" w:rsidP="00F31485">
      <w:pPr>
        <w:spacing w:before="120"/>
        <w:rPr>
          <w:b/>
          <w:bCs/>
          <w:lang w:val="fr-FR"/>
        </w:rPr>
      </w:pPr>
      <w:r w:rsidRPr="00F31485">
        <w:rPr>
          <w:b/>
          <w:lang w:val="fr-FR"/>
        </w:rPr>
        <w:t xml:space="preserve">Réunion commune d’experts sur le Règlement annexé </w:t>
      </w:r>
      <w:r w:rsidR="00F31485">
        <w:rPr>
          <w:b/>
          <w:lang w:val="fr-FR"/>
        </w:rPr>
        <w:br/>
      </w:r>
      <w:r w:rsidRPr="00F31485">
        <w:rPr>
          <w:b/>
          <w:lang w:val="fr-FR"/>
        </w:rPr>
        <w:t xml:space="preserve">à l’Accord européen relatif au transport international </w:t>
      </w:r>
      <w:r w:rsidR="00F31485">
        <w:rPr>
          <w:b/>
          <w:lang w:val="fr-FR"/>
        </w:rPr>
        <w:br/>
      </w:r>
      <w:r w:rsidRPr="00F31485">
        <w:rPr>
          <w:b/>
          <w:lang w:val="fr-FR"/>
        </w:rPr>
        <w:t xml:space="preserve">des marchandises dangereuses par voies de navigation </w:t>
      </w:r>
      <w:r w:rsidR="00F31485">
        <w:rPr>
          <w:b/>
          <w:lang w:val="fr-FR"/>
        </w:rPr>
        <w:br/>
      </w:r>
      <w:r w:rsidRPr="00F31485">
        <w:rPr>
          <w:b/>
          <w:lang w:val="fr-FR"/>
        </w:rPr>
        <w:t>intérieures (ADN) (Comité de sécurité de l’ADN)</w:t>
      </w:r>
    </w:p>
    <w:p w:rsidR="00F77ECC" w:rsidRPr="00F31485" w:rsidRDefault="00F77ECC" w:rsidP="00F31485">
      <w:pPr>
        <w:spacing w:before="120"/>
        <w:rPr>
          <w:b/>
          <w:bCs/>
          <w:lang w:val="fr-FR"/>
        </w:rPr>
      </w:pPr>
      <w:r w:rsidRPr="00F31485">
        <w:rPr>
          <w:b/>
          <w:lang w:val="fr-FR"/>
        </w:rPr>
        <w:t>Trente-deuxième session</w:t>
      </w:r>
    </w:p>
    <w:p w:rsidR="00F77ECC" w:rsidRPr="00F31485" w:rsidRDefault="00F77ECC" w:rsidP="00F77ECC">
      <w:pPr>
        <w:rPr>
          <w:lang w:val="fr-FR"/>
        </w:rPr>
      </w:pPr>
      <w:r w:rsidRPr="00F31485">
        <w:rPr>
          <w:lang w:val="fr-FR"/>
        </w:rPr>
        <w:t>Genève, 22-26</w:t>
      </w:r>
      <w:r w:rsidR="00F31485">
        <w:rPr>
          <w:lang w:val="fr-FR"/>
        </w:rPr>
        <w:t> </w:t>
      </w:r>
      <w:r w:rsidRPr="00F31485">
        <w:rPr>
          <w:lang w:val="fr-FR"/>
        </w:rPr>
        <w:t>janvier 2018</w:t>
      </w:r>
    </w:p>
    <w:p w:rsidR="00F31485" w:rsidRDefault="00F77ECC" w:rsidP="00F31485">
      <w:pPr>
        <w:pStyle w:val="HChG"/>
        <w:rPr>
          <w:sz w:val="24"/>
          <w:lang w:val="fr-FR"/>
        </w:rPr>
      </w:pPr>
      <w:r w:rsidRPr="00867EB6">
        <w:rPr>
          <w:lang w:val="fr-FR"/>
        </w:rPr>
        <w:tab/>
      </w:r>
      <w:r w:rsidRPr="00867EB6">
        <w:rPr>
          <w:lang w:val="fr-FR"/>
        </w:rPr>
        <w:tab/>
        <w:t>Rapport de la Réunion commune d</w:t>
      </w:r>
      <w:r>
        <w:rPr>
          <w:lang w:val="fr-FR"/>
        </w:rPr>
        <w:t>’</w:t>
      </w:r>
      <w:r w:rsidRPr="00867EB6">
        <w:rPr>
          <w:lang w:val="fr-FR"/>
        </w:rPr>
        <w:t>experts sur le Règlement annexé à l</w:t>
      </w:r>
      <w:r>
        <w:rPr>
          <w:lang w:val="fr-FR"/>
        </w:rPr>
        <w:t>’</w:t>
      </w:r>
      <w:r w:rsidRPr="00867EB6">
        <w:rPr>
          <w:lang w:val="fr-FR"/>
        </w:rPr>
        <w:t>Accord européen relatif au transport international des marchandises dangereuses par voies de navigation intérieures (ADN) (Comité de sécurité de l</w:t>
      </w:r>
      <w:r>
        <w:rPr>
          <w:lang w:val="fr-FR"/>
        </w:rPr>
        <w:t>’</w:t>
      </w:r>
      <w:r w:rsidRPr="00867EB6">
        <w:rPr>
          <w:lang w:val="fr-FR"/>
        </w:rPr>
        <w:t xml:space="preserve">ADN) </w:t>
      </w:r>
      <w:r w:rsidR="00F31485">
        <w:rPr>
          <w:lang w:val="fr-FR"/>
        </w:rPr>
        <w:br/>
      </w:r>
      <w:r w:rsidRPr="00867EB6">
        <w:rPr>
          <w:lang w:val="fr-FR"/>
        </w:rPr>
        <w:t>sur sa trente-deuxième session</w:t>
      </w:r>
      <w:bookmarkStart w:id="1" w:name="_Toc410743246"/>
      <w:bookmarkStart w:id="2" w:name="_Toc428948781"/>
      <w:bookmarkStart w:id="3" w:name="_Toc442372095"/>
      <w:bookmarkStart w:id="4" w:name="_Toc505688398"/>
      <w:bookmarkEnd w:id="1"/>
      <w:bookmarkEnd w:id="2"/>
      <w:bookmarkEnd w:id="3"/>
      <w:bookmarkEnd w:id="4"/>
      <w:r w:rsidR="00F31485" w:rsidRPr="00F31485">
        <w:rPr>
          <w:rStyle w:val="FootnoteReference"/>
          <w:b w:val="0"/>
          <w:sz w:val="20"/>
          <w:vertAlign w:val="baseline"/>
        </w:rPr>
        <w:footnoteReference w:customMarkFollows="1" w:id="2"/>
        <w:t>*</w:t>
      </w:r>
    </w:p>
    <w:p w:rsidR="00F77ECC" w:rsidRPr="00F31485" w:rsidRDefault="00F77ECC" w:rsidP="00F31485">
      <w:pPr>
        <w:spacing w:after="120"/>
        <w:rPr>
          <w:sz w:val="28"/>
          <w:lang w:val="fr-FR"/>
        </w:rPr>
      </w:pPr>
      <w:r w:rsidRPr="00867EB6">
        <w:rPr>
          <w:highlight w:val="yellow"/>
          <w:lang w:val="fr-FR"/>
        </w:rPr>
        <w:br w:type="page"/>
      </w:r>
      <w:r w:rsidR="00F31485" w:rsidRPr="00F31485">
        <w:rPr>
          <w:sz w:val="28"/>
          <w:lang w:val="fr-FR"/>
        </w:rPr>
        <w:lastRenderedPageBreak/>
        <w:t>Table des matières</w:t>
      </w:r>
    </w:p>
    <w:p w:rsidR="00F31485" w:rsidRPr="00F31485" w:rsidRDefault="00F31485" w:rsidP="00F31485">
      <w:pPr>
        <w:tabs>
          <w:tab w:val="right" w:pos="8929"/>
          <w:tab w:val="right" w:pos="9638"/>
        </w:tabs>
        <w:spacing w:after="120"/>
        <w:ind w:left="283"/>
        <w:rPr>
          <w:i/>
          <w:sz w:val="18"/>
        </w:rPr>
      </w:pPr>
      <w:r w:rsidRPr="00F31485">
        <w:rPr>
          <w:i/>
          <w:sz w:val="18"/>
        </w:rPr>
        <w:tab/>
        <w:t>Paragraphes</w:t>
      </w:r>
      <w:r w:rsidRPr="00F31485">
        <w:rPr>
          <w:i/>
          <w:sz w:val="18"/>
        </w:rPr>
        <w:tab/>
        <w:t>Page</w:t>
      </w:r>
    </w:p>
    <w:p w:rsidR="00F31485" w:rsidRDefault="00F31485" w:rsidP="00074BDF">
      <w:pPr>
        <w:tabs>
          <w:tab w:val="right" w:pos="850"/>
          <w:tab w:val="right" w:leader="dot" w:pos="7654"/>
          <w:tab w:val="right" w:pos="8929"/>
          <w:tab w:val="right" w:pos="9638"/>
        </w:tabs>
        <w:spacing w:after="100"/>
        <w:ind w:left="1134" w:hanging="1134"/>
      </w:pPr>
      <w:r w:rsidRPr="00F31485">
        <w:tab/>
        <w:t>I.</w:t>
      </w:r>
      <w:r w:rsidRPr="00F31485">
        <w:tab/>
      </w:r>
      <w:r w:rsidR="00AF55F5" w:rsidRPr="00867EB6">
        <w:rPr>
          <w:lang w:val="fr-FR"/>
        </w:rPr>
        <w:t>Participation</w:t>
      </w:r>
      <w:r w:rsidRPr="00F31485">
        <w:tab/>
      </w:r>
      <w:r w:rsidRPr="00F31485">
        <w:tab/>
      </w:r>
      <w:r w:rsidR="00AF55F5">
        <w:t>1</w:t>
      </w:r>
      <w:r w:rsidRPr="00F31485">
        <w:tab/>
      </w:r>
      <w:r w:rsidR="00AF55F5">
        <w:t>4</w:t>
      </w:r>
    </w:p>
    <w:p w:rsidR="00F31485" w:rsidRDefault="00F31485" w:rsidP="00074BDF">
      <w:pPr>
        <w:tabs>
          <w:tab w:val="right" w:pos="850"/>
          <w:tab w:val="right" w:leader="dot" w:pos="7654"/>
          <w:tab w:val="right" w:pos="8929"/>
          <w:tab w:val="right" w:pos="9638"/>
        </w:tabs>
        <w:spacing w:after="100"/>
        <w:ind w:left="1134" w:hanging="1134"/>
      </w:pPr>
      <w:r w:rsidRPr="00F31485">
        <w:tab/>
      </w:r>
      <w:r>
        <w:t>I</w:t>
      </w:r>
      <w:r w:rsidRPr="00F31485">
        <w:t>I.</w:t>
      </w:r>
      <w:r w:rsidRPr="00F31485">
        <w:tab/>
      </w:r>
      <w:r w:rsidR="00AF55F5" w:rsidRPr="00867EB6">
        <w:rPr>
          <w:lang w:val="fr-FR"/>
        </w:rPr>
        <w:t>Adoption de l</w:t>
      </w:r>
      <w:r w:rsidR="00AF55F5">
        <w:rPr>
          <w:lang w:val="fr-FR"/>
        </w:rPr>
        <w:t>’</w:t>
      </w:r>
      <w:r w:rsidR="00AF55F5" w:rsidRPr="00867EB6">
        <w:rPr>
          <w:lang w:val="fr-FR"/>
        </w:rPr>
        <w:t>ordre du jour (point 1 de l</w:t>
      </w:r>
      <w:r w:rsidR="00AF55F5">
        <w:rPr>
          <w:lang w:val="fr-FR"/>
        </w:rPr>
        <w:t>’</w:t>
      </w:r>
      <w:r w:rsidR="00AF55F5" w:rsidRPr="00867EB6">
        <w:rPr>
          <w:lang w:val="fr-FR"/>
        </w:rPr>
        <w:t>ordre du jour)</w:t>
      </w:r>
      <w:r w:rsidRPr="00F31485">
        <w:tab/>
      </w:r>
      <w:r w:rsidRPr="00F31485">
        <w:tab/>
      </w:r>
      <w:r w:rsidR="00AF55F5">
        <w:t>2</w:t>
      </w:r>
      <w:r w:rsidRPr="00F31485">
        <w:tab/>
      </w:r>
      <w:r w:rsidR="00AF55F5">
        <w:t>4</w:t>
      </w:r>
    </w:p>
    <w:p w:rsidR="00F31485" w:rsidRDefault="00F31485" w:rsidP="00074BDF">
      <w:pPr>
        <w:tabs>
          <w:tab w:val="right" w:pos="850"/>
          <w:tab w:val="right" w:leader="dot" w:pos="7654"/>
          <w:tab w:val="right" w:pos="8929"/>
          <w:tab w:val="right" w:pos="9638"/>
        </w:tabs>
        <w:spacing w:after="100"/>
        <w:ind w:left="1134" w:hanging="1134"/>
      </w:pPr>
      <w:r w:rsidRPr="00F31485">
        <w:tab/>
      </w:r>
      <w:r>
        <w:t>II</w:t>
      </w:r>
      <w:r w:rsidRPr="00F31485">
        <w:t>I.</w:t>
      </w:r>
      <w:r w:rsidRPr="00F31485">
        <w:tab/>
      </w:r>
      <w:r w:rsidR="00AF55F5" w:rsidRPr="00867EB6">
        <w:rPr>
          <w:lang w:val="fr-FR"/>
        </w:rPr>
        <w:t>Élection du bureau pour 2018 (point 2 de l</w:t>
      </w:r>
      <w:r w:rsidR="00AF55F5">
        <w:rPr>
          <w:lang w:val="fr-FR"/>
        </w:rPr>
        <w:t>’</w:t>
      </w:r>
      <w:r w:rsidR="00AF55F5" w:rsidRPr="00867EB6">
        <w:rPr>
          <w:lang w:val="fr-FR"/>
        </w:rPr>
        <w:t>ordre du jour)</w:t>
      </w:r>
      <w:r w:rsidRPr="00F31485">
        <w:tab/>
      </w:r>
      <w:r w:rsidRPr="00F31485">
        <w:tab/>
      </w:r>
      <w:r w:rsidR="00AF55F5">
        <w:t>3</w:t>
      </w:r>
      <w:r w:rsidRPr="00F31485">
        <w:tab/>
      </w:r>
      <w:r w:rsidR="00AF55F5">
        <w:t>4</w:t>
      </w:r>
    </w:p>
    <w:p w:rsidR="00F31485" w:rsidRDefault="00F31485" w:rsidP="00074BDF">
      <w:pPr>
        <w:tabs>
          <w:tab w:val="right" w:pos="850"/>
          <w:tab w:val="right" w:leader="dot" w:pos="7654"/>
          <w:tab w:val="right" w:pos="8929"/>
          <w:tab w:val="right" w:pos="9638"/>
        </w:tabs>
        <w:spacing w:after="100"/>
        <w:ind w:left="1134" w:hanging="1134"/>
      </w:pPr>
      <w:r w:rsidRPr="00F31485">
        <w:tab/>
        <w:t>I</w:t>
      </w:r>
      <w:r>
        <w:t>V</w:t>
      </w:r>
      <w:r w:rsidRPr="00F31485">
        <w:t>.</w:t>
      </w:r>
      <w:r w:rsidRPr="00F31485">
        <w:tab/>
      </w:r>
      <w:r w:rsidR="00AF55F5" w:rsidRPr="00867EB6">
        <w:rPr>
          <w:lang w:val="fr-FR"/>
        </w:rPr>
        <w:t>Questions découlant des travaux d</w:t>
      </w:r>
      <w:r w:rsidR="00AF55F5">
        <w:rPr>
          <w:lang w:val="fr-FR"/>
        </w:rPr>
        <w:t>’</w:t>
      </w:r>
      <w:r w:rsidR="00AF55F5" w:rsidRPr="00867EB6">
        <w:rPr>
          <w:lang w:val="fr-FR"/>
        </w:rPr>
        <w:t xml:space="preserve">organes des Nations Unies </w:t>
      </w:r>
      <w:r w:rsidR="00AF55F5">
        <w:rPr>
          <w:lang w:val="fr-FR"/>
        </w:rPr>
        <w:br/>
      </w:r>
      <w:r w:rsidR="00AF55F5" w:rsidRPr="00867EB6">
        <w:rPr>
          <w:lang w:val="fr-FR"/>
        </w:rPr>
        <w:t>ou d</w:t>
      </w:r>
      <w:r w:rsidR="00AF55F5">
        <w:rPr>
          <w:lang w:val="fr-FR"/>
        </w:rPr>
        <w:t>’</w:t>
      </w:r>
      <w:r w:rsidR="00AF55F5" w:rsidRPr="00867EB6">
        <w:rPr>
          <w:lang w:val="fr-FR"/>
        </w:rPr>
        <w:t>autres organisations (point 3 de l</w:t>
      </w:r>
      <w:r w:rsidR="00AF55F5">
        <w:rPr>
          <w:lang w:val="fr-FR"/>
        </w:rPr>
        <w:t>’</w:t>
      </w:r>
      <w:r w:rsidR="00AF55F5" w:rsidRPr="00867EB6">
        <w:rPr>
          <w:lang w:val="fr-FR"/>
        </w:rPr>
        <w:t>ordre du jour)</w:t>
      </w:r>
      <w:r w:rsidRPr="00F31485">
        <w:tab/>
      </w:r>
      <w:r w:rsidRPr="00F31485">
        <w:tab/>
      </w:r>
      <w:r w:rsidR="00AF55F5">
        <w:t>4−8</w:t>
      </w:r>
      <w:r w:rsidRPr="00F31485">
        <w:tab/>
      </w:r>
      <w:r w:rsidR="00AF55F5">
        <w:t>4</w:t>
      </w:r>
    </w:p>
    <w:p w:rsidR="00F31485" w:rsidRPr="00F31485" w:rsidRDefault="00F31485" w:rsidP="00074BDF">
      <w:pPr>
        <w:tabs>
          <w:tab w:val="right" w:pos="850"/>
          <w:tab w:val="right" w:leader="dot" w:pos="7654"/>
          <w:tab w:val="right" w:pos="8929"/>
          <w:tab w:val="right" w:pos="9638"/>
        </w:tabs>
        <w:spacing w:after="100"/>
        <w:ind w:left="1134" w:hanging="1134"/>
      </w:pPr>
      <w:r>
        <w:tab/>
        <w:t>V</w:t>
      </w:r>
      <w:r w:rsidRPr="00F31485">
        <w:t>.</w:t>
      </w:r>
      <w:r w:rsidRPr="00F31485">
        <w:tab/>
      </w:r>
      <w:r w:rsidR="00AF55F5" w:rsidRPr="00867EB6">
        <w:rPr>
          <w:lang w:val="fr-FR"/>
        </w:rPr>
        <w:t>Mise en œuvre de l</w:t>
      </w:r>
      <w:r w:rsidR="00AF55F5">
        <w:rPr>
          <w:lang w:val="fr-FR"/>
        </w:rPr>
        <w:t>’</w:t>
      </w:r>
      <w:r w:rsidR="00AF55F5" w:rsidRPr="00867EB6">
        <w:rPr>
          <w:lang w:val="fr-FR"/>
        </w:rPr>
        <w:t xml:space="preserve">Accord européen relatif au transport international </w:t>
      </w:r>
      <w:r w:rsidR="00AF55F5">
        <w:rPr>
          <w:lang w:val="fr-FR"/>
        </w:rPr>
        <w:br/>
      </w:r>
      <w:r w:rsidR="00AF55F5" w:rsidRPr="00867EB6">
        <w:rPr>
          <w:lang w:val="fr-FR"/>
        </w:rPr>
        <w:t xml:space="preserve">des marchandises dangereuses par voies de navigation intérieures (ADN) </w:t>
      </w:r>
      <w:r w:rsidR="00AF55F5">
        <w:rPr>
          <w:lang w:val="fr-FR"/>
        </w:rPr>
        <w:br/>
      </w:r>
      <w:r w:rsidR="00AF55F5" w:rsidRPr="00867EB6">
        <w:rPr>
          <w:lang w:val="fr-FR"/>
        </w:rPr>
        <w:t>(point 4 de l</w:t>
      </w:r>
      <w:r w:rsidR="00AF55F5">
        <w:rPr>
          <w:lang w:val="fr-FR"/>
        </w:rPr>
        <w:t>’</w:t>
      </w:r>
      <w:r w:rsidR="00AF55F5" w:rsidRPr="00867EB6">
        <w:rPr>
          <w:lang w:val="fr-FR"/>
        </w:rPr>
        <w:t>ordre du jour)</w:t>
      </w:r>
      <w:r w:rsidRPr="00F31485">
        <w:tab/>
      </w:r>
      <w:r w:rsidRPr="00F31485">
        <w:tab/>
      </w:r>
      <w:r w:rsidR="00AF55F5">
        <w:t>9−31</w:t>
      </w:r>
      <w:r w:rsidRPr="00F31485">
        <w:tab/>
      </w:r>
      <w:r w:rsidR="00AF55F5">
        <w:t>5</w:t>
      </w:r>
    </w:p>
    <w:p w:rsidR="00F31485" w:rsidRDefault="00F31485" w:rsidP="00074BDF">
      <w:pPr>
        <w:tabs>
          <w:tab w:val="right" w:leader="dot" w:pos="7654"/>
          <w:tab w:val="right" w:pos="8929"/>
          <w:tab w:val="right" w:pos="9638"/>
        </w:tabs>
        <w:spacing w:after="100"/>
        <w:ind w:left="1559" w:hanging="425"/>
      </w:pPr>
      <w:r w:rsidRPr="00F31485">
        <w:t>A.</w:t>
      </w:r>
      <w:r w:rsidRPr="00F31485">
        <w:tab/>
      </w:r>
      <w:r w:rsidR="00AF55F5" w:rsidRPr="00867EB6">
        <w:rPr>
          <w:lang w:val="fr-FR"/>
        </w:rPr>
        <w:t>État de l</w:t>
      </w:r>
      <w:r w:rsidR="00AF55F5">
        <w:rPr>
          <w:lang w:val="fr-FR"/>
        </w:rPr>
        <w:t>’</w:t>
      </w:r>
      <w:r w:rsidR="00AF55F5" w:rsidRPr="00867EB6">
        <w:rPr>
          <w:lang w:val="fr-FR"/>
        </w:rPr>
        <w:t>ADN</w:t>
      </w:r>
      <w:r w:rsidRPr="00F31485">
        <w:tab/>
      </w:r>
      <w:r w:rsidRPr="00F31485">
        <w:tab/>
      </w:r>
      <w:r w:rsidR="00AF55F5">
        <w:t>9</w:t>
      </w:r>
      <w:r w:rsidRPr="00F31485">
        <w:tab/>
      </w:r>
      <w:r w:rsidR="00AF55F5">
        <w:t>5</w:t>
      </w:r>
    </w:p>
    <w:p w:rsidR="00F31485" w:rsidRDefault="00F31485" w:rsidP="00F31485">
      <w:pPr>
        <w:tabs>
          <w:tab w:val="right" w:leader="dot" w:pos="7654"/>
          <w:tab w:val="right" w:pos="8929"/>
          <w:tab w:val="right" w:pos="9638"/>
        </w:tabs>
        <w:spacing w:after="120"/>
        <w:ind w:left="1559" w:hanging="425"/>
      </w:pPr>
      <w:r>
        <w:t>B</w:t>
      </w:r>
      <w:r w:rsidRPr="00F31485">
        <w:t>.</w:t>
      </w:r>
      <w:r w:rsidRPr="00F31485">
        <w:tab/>
      </w:r>
      <w:r w:rsidR="00AF55F5" w:rsidRPr="00867EB6">
        <w:rPr>
          <w:lang w:val="fr-FR"/>
        </w:rPr>
        <w:t>Autorisations spéciales, dérogations et équivalences</w:t>
      </w:r>
      <w:r w:rsidRPr="00F31485">
        <w:tab/>
      </w:r>
      <w:r w:rsidRPr="00F31485">
        <w:tab/>
      </w:r>
      <w:r w:rsidR="00AF55F5">
        <w:t>10</w:t>
      </w:r>
      <w:r w:rsidRPr="00F31485">
        <w:tab/>
      </w:r>
      <w:r w:rsidR="00AF55F5">
        <w:t>5</w:t>
      </w:r>
    </w:p>
    <w:p w:rsidR="00AF55F5" w:rsidRDefault="00AF55F5" w:rsidP="00F31485">
      <w:pPr>
        <w:tabs>
          <w:tab w:val="right" w:leader="dot" w:pos="7654"/>
          <w:tab w:val="right" w:pos="8929"/>
          <w:tab w:val="right" w:pos="9638"/>
        </w:tabs>
        <w:spacing w:after="120"/>
        <w:ind w:left="1559" w:hanging="425"/>
      </w:pPr>
      <w:r w:rsidRPr="00F31485">
        <w:tab/>
      </w:r>
      <w:r w:rsidRPr="00867EB6">
        <w:rPr>
          <w:lang w:val="fr-FR"/>
        </w:rPr>
        <w:t>Dérogation temporaire relative à l</w:t>
      </w:r>
      <w:r>
        <w:rPr>
          <w:lang w:val="fr-FR"/>
        </w:rPr>
        <w:t>’</w:t>
      </w:r>
      <w:r w:rsidRPr="00867EB6">
        <w:rPr>
          <w:lang w:val="fr-FR"/>
        </w:rPr>
        <w:t>utilisation à bord du bateau-citerne</w:t>
      </w:r>
      <w:r>
        <w:rPr>
          <w:lang w:val="fr-FR"/>
        </w:rPr>
        <w:t xml:space="preserve"> </w:t>
      </w:r>
      <w:r>
        <w:rPr>
          <w:lang w:val="fr-FR"/>
        </w:rPr>
        <w:br/>
        <w:t>« </w:t>
      </w:r>
      <w:r w:rsidRPr="00867EB6">
        <w:rPr>
          <w:lang w:val="fr-FR"/>
        </w:rPr>
        <w:t>Marconi</w:t>
      </w:r>
      <w:r>
        <w:rPr>
          <w:lang w:val="fr-FR"/>
        </w:rPr>
        <w:t> »</w:t>
      </w:r>
      <w:r w:rsidRPr="00867EB6">
        <w:rPr>
          <w:lang w:val="fr-FR"/>
        </w:rPr>
        <w:t xml:space="preserve"> d</w:t>
      </w:r>
      <w:r>
        <w:rPr>
          <w:lang w:val="fr-FR"/>
        </w:rPr>
        <w:t>’</w:t>
      </w:r>
      <w:r w:rsidRPr="00867EB6">
        <w:rPr>
          <w:lang w:val="fr-FR"/>
        </w:rPr>
        <w:t>une installation d</w:t>
      </w:r>
      <w:r>
        <w:rPr>
          <w:lang w:val="fr-FR"/>
        </w:rPr>
        <w:t>’</w:t>
      </w:r>
      <w:r w:rsidRPr="00867EB6">
        <w:rPr>
          <w:lang w:val="fr-FR"/>
        </w:rPr>
        <w:t>extinction d</w:t>
      </w:r>
      <w:r>
        <w:rPr>
          <w:lang w:val="fr-FR"/>
        </w:rPr>
        <w:t>’</w:t>
      </w:r>
      <w:r w:rsidRPr="00867EB6">
        <w:rPr>
          <w:lang w:val="fr-FR"/>
        </w:rPr>
        <w:t xml:space="preserve">incendie avec agent </w:t>
      </w:r>
      <w:r>
        <w:rPr>
          <w:lang w:val="fr-FR"/>
        </w:rPr>
        <w:br/>
      </w:r>
      <w:r w:rsidRPr="00867EB6">
        <w:rPr>
          <w:lang w:val="fr-FR"/>
        </w:rPr>
        <w:t>extincteur formant un aérosol sec</w:t>
      </w:r>
      <w:r w:rsidRPr="00F31485">
        <w:tab/>
      </w:r>
      <w:r w:rsidRPr="00F31485">
        <w:tab/>
      </w:r>
      <w:r>
        <w:t>10</w:t>
      </w:r>
      <w:r w:rsidRPr="00F31485">
        <w:tab/>
      </w:r>
      <w:r>
        <w:t>5</w:t>
      </w:r>
    </w:p>
    <w:p w:rsidR="00F31485" w:rsidRPr="00F31485" w:rsidRDefault="00F31485" w:rsidP="00F31485">
      <w:pPr>
        <w:tabs>
          <w:tab w:val="right" w:leader="dot" w:pos="7654"/>
          <w:tab w:val="right" w:pos="8929"/>
          <w:tab w:val="right" w:pos="9638"/>
        </w:tabs>
        <w:spacing w:after="120"/>
        <w:ind w:left="1559" w:hanging="425"/>
      </w:pPr>
      <w:r>
        <w:t>C</w:t>
      </w:r>
      <w:r w:rsidRPr="00F31485">
        <w:t>.</w:t>
      </w:r>
      <w:r w:rsidRPr="00F31485">
        <w:tab/>
      </w:r>
      <w:r w:rsidR="00AF55F5" w:rsidRPr="00867EB6">
        <w:rPr>
          <w:lang w:val="fr-FR"/>
        </w:rPr>
        <w:t>Interprétation du Règlement annexé à l</w:t>
      </w:r>
      <w:r w:rsidR="00AF55F5">
        <w:rPr>
          <w:lang w:val="fr-FR"/>
        </w:rPr>
        <w:t>’</w:t>
      </w:r>
      <w:r w:rsidR="00AF55F5" w:rsidRPr="00867EB6">
        <w:rPr>
          <w:lang w:val="fr-FR"/>
        </w:rPr>
        <w:t>ADN</w:t>
      </w:r>
      <w:r w:rsidRPr="00F31485">
        <w:tab/>
      </w:r>
      <w:r w:rsidRPr="00F31485">
        <w:tab/>
      </w:r>
      <w:r w:rsidR="00AF55F5">
        <w:t>11−23</w:t>
      </w:r>
      <w:r w:rsidRPr="00F31485">
        <w:tab/>
      </w:r>
      <w:r w:rsidR="00AF55F5">
        <w:t>5</w:t>
      </w:r>
    </w:p>
    <w:p w:rsidR="00F31485" w:rsidRDefault="00F31485" w:rsidP="00F31485">
      <w:pPr>
        <w:tabs>
          <w:tab w:val="right" w:leader="dot" w:pos="7654"/>
          <w:tab w:val="right" w:pos="8929"/>
          <w:tab w:val="right" w:pos="9638"/>
        </w:tabs>
        <w:spacing w:after="120"/>
        <w:ind w:left="1984" w:hanging="425"/>
      </w:pPr>
      <w:r w:rsidRPr="00F31485">
        <w:t>1.</w:t>
      </w:r>
      <w:r w:rsidRPr="00F31485">
        <w:tab/>
      </w:r>
      <w:r w:rsidR="00AF55F5" w:rsidRPr="00867EB6">
        <w:rPr>
          <w:lang w:val="fr-FR"/>
        </w:rPr>
        <w:t>Interprétation du paragraphe 7.1.4.4.3 de l</w:t>
      </w:r>
      <w:r w:rsidR="00AF55F5">
        <w:rPr>
          <w:lang w:val="fr-FR"/>
        </w:rPr>
        <w:t>’</w:t>
      </w:r>
      <w:r w:rsidR="00AF55F5" w:rsidRPr="00867EB6">
        <w:rPr>
          <w:lang w:val="fr-FR"/>
        </w:rPr>
        <w:t xml:space="preserve">ADN concernant </w:t>
      </w:r>
      <w:r w:rsidR="00074BDF">
        <w:rPr>
          <w:lang w:val="fr-FR"/>
        </w:rPr>
        <w:br/>
      </w:r>
      <w:r w:rsidR="00AF55F5" w:rsidRPr="00867EB6">
        <w:rPr>
          <w:lang w:val="fr-FR"/>
        </w:rPr>
        <w:t>la distance</w:t>
      </w:r>
      <w:r w:rsidR="00AF55F5">
        <w:rPr>
          <w:lang w:val="fr-FR"/>
        </w:rPr>
        <w:t xml:space="preserve"> </w:t>
      </w:r>
      <w:r w:rsidR="00AF55F5" w:rsidRPr="00867EB6">
        <w:rPr>
          <w:lang w:val="fr-FR"/>
        </w:rPr>
        <w:t xml:space="preserve">de séparation minimale entre les conteneurs </w:t>
      </w:r>
      <w:r w:rsidR="00074BDF">
        <w:rPr>
          <w:lang w:val="fr-FR"/>
        </w:rPr>
        <w:br/>
      </w:r>
      <w:r w:rsidR="00AF55F5" w:rsidRPr="00867EB6">
        <w:rPr>
          <w:lang w:val="fr-FR"/>
        </w:rPr>
        <w:t>pour vrac souples</w:t>
      </w:r>
      <w:r w:rsidRPr="00F31485">
        <w:tab/>
      </w:r>
      <w:r w:rsidRPr="00F31485">
        <w:tab/>
      </w:r>
      <w:r w:rsidR="00AF55F5">
        <w:t>11</w:t>
      </w:r>
      <w:r w:rsidRPr="00F31485">
        <w:tab/>
      </w:r>
      <w:r w:rsidR="00AF55F5">
        <w:t>5</w:t>
      </w:r>
    </w:p>
    <w:p w:rsidR="00F31485" w:rsidRDefault="00F31485" w:rsidP="00F31485">
      <w:pPr>
        <w:tabs>
          <w:tab w:val="right" w:leader="dot" w:pos="7654"/>
          <w:tab w:val="right" w:pos="8929"/>
          <w:tab w:val="right" w:pos="9638"/>
        </w:tabs>
        <w:spacing w:after="120"/>
        <w:ind w:left="1984" w:hanging="425"/>
      </w:pPr>
      <w:r>
        <w:t>2</w:t>
      </w:r>
      <w:r w:rsidRPr="00F31485">
        <w:t>.</w:t>
      </w:r>
      <w:r w:rsidRPr="00F31485">
        <w:tab/>
      </w:r>
      <w:r w:rsidR="00AF55F5" w:rsidRPr="00867EB6">
        <w:rPr>
          <w:lang w:val="fr-FR"/>
        </w:rPr>
        <w:t>Tableau C et sous-section 7.2.1.21 de l</w:t>
      </w:r>
      <w:r w:rsidR="00AF55F5">
        <w:rPr>
          <w:lang w:val="fr-FR"/>
        </w:rPr>
        <w:t>’ADN −</w:t>
      </w:r>
      <w:r w:rsidR="00AF55F5" w:rsidRPr="00867EB6">
        <w:rPr>
          <w:lang w:val="fr-FR"/>
        </w:rPr>
        <w:t xml:space="preserve"> Type </w:t>
      </w:r>
      <w:r w:rsidR="00AF55F5">
        <w:rPr>
          <w:lang w:val="fr-FR"/>
        </w:rPr>
        <w:br/>
      </w:r>
      <w:r w:rsidR="00AF55F5" w:rsidRPr="00867EB6">
        <w:rPr>
          <w:lang w:val="fr-FR"/>
        </w:rPr>
        <w:t>de bateau-citerne à utiliser au minimum</w:t>
      </w:r>
      <w:r w:rsidRPr="00F31485">
        <w:tab/>
      </w:r>
      <w:r w:rsidRPr="00F31485">
        <w:tab/>
      </w:r>
      <w:r w:rsidR="00AF55F5">
        <w:t>12−13</w:t>
      </w:r>
      <w:r w:rsidRPr="00F31485">
        <w:tab/>
      </w:r>
      <w:r w:rsidR="00AF55F5">
        <w:t>5</w:t>
      </w:r>
    </w:p>
    <w:p w:rsidR="00F31485" w:rsidRDefault="00F31485" w:rsidP="00F31485">
      <w:pPr>
        <w:tabs>
          <w:tab w:val="right" w:leader="dot" w:pos="7654"/>
          <w:tab w:val="right" w:pos="8929"/>
          <w:tab w:val="right" w:pos="9638"/>
        </w:tabs>
        <w:spacing w:after="120"/>
        <w:ind w:left="1984" w:hanging="425"/>
      </w:pPr>
      <w:r>
        <w:t>3</w:t>
      </w:r>
      <w:r w:rsidRPr="00F31485">
        <w:t>.</w:t>
      </w:r>
      <w:r w:rsidRPr="00F31485">
        <w:tab/>
      </w:r>
      <w:r w:rsidR="00AF55F5" w:rsidRPr="00867EB6">
        <w:rPr>
          <w:lang w:val="fr-FR"/>
        </w:rPr>
        <w:t>Section 1.16.0 de l</w:t>
      </w:r>
      <w:r w:rsidR="00AF55F5">
        <w:rPr>
          <w:lang w:val="fr-FR"/>
        </w:rPr>
        <w:t>’</w:t>
      </w:r>
      <w:r w:rsidR="00AF55F5" w:rsidRPr="00867EB6">
        <w:rPr>
          <w:lang w:val="fr-FR"/>
        </w:rPr>
        <w:t>ADN − Propriétaire et opérateur</w:t>
      </w:r>
      <w:r w:rsidRPr="00F31485">
        <w:tab/>
      </w:r>
      <w:r w:rsidRPr="00F31485">
        <w:tab/>
      </w:r>
      <w:r w:rsidR="00AF55F5">
        <w:t>14−15</w:t>
      </w:r>
      <w:r w:rsidRPr="00F31485">
        <w:tab/>
      </w:r>
      <w:r w:rsidR="00AF55F5">
        <w:t>6</w:t>
      </w:r>
    </w:p>
    <w:p w:rsidR="00F31485" w:rsidRDefault="00F31485" w:rsidP="00F31485">
      <w:pPr>
        <w:tabs>
          <w:tab w:val="right" w:leader="dot" w:pos="7654"/>
          <w:tab w:val="right" w:pos="8929"/>
          <w:tab w:val="right" w:pos="9638"/>
        </w:tabs>
        <w:spacing w:after="120"/>
        <w:ind w:left="1984" w:hanging="425"/>
      </w:pPr>
      <w:r>
        <w:t>4</w:t>
      </w:r>
      <w:r w:rsidRPr="00F31485">
        <w:t>.</w:t>
      </w:r>
      <w:r w:rsidRPr="00F31485">
        <w:tab/>
      </w:r>
      <w:r w:rsidR="00AF55F5" w:rsidRPr="00867EB6">
        <w:rPr>
          <w:lang w:val="fr-FR"/>
        </w:rPr>
        <w:t>Vanne de sectionnement rapide/vanne à fermeture rapide</w:t>
      </w:r>
      <w:r w:rsidRPr="00F31485">
        <w:tab/>
      </w:r>
      <w:r w:rsidRPr="00F31485">
        <w:tab/>
      </w:r>
      <w:r w:rsidR="00AF55F5">
        <w:t>16</w:t>
      </w:r>
      <w:r w:rsidRPr="00F31485">
        <w:tab/>
      </w:r>
      <w:r w:rsidR="00AF55F5">
        <w:t>6</w:t>
      </w:r>
    </w:p>
    <w:p w:rsidR="00F31485" w:rsidRDefault="00F31485" w:rsidP="00F31485">
      <w:pPr>
        <w:tabs>
          <w:tab w:val="right" w:leader="dot" w:pos="7654"/>
          <w:tab w:val="right" w:pos="8929"/>
          <w:tab w:val="right" w:pos="9638"/>
        </w:tabs>
        <w:spacing w:after="120"/>
        <w:ind w:left="1984" w:hanging="425"/>
      </w:pPr>
      <w:r>
        <w:t>5</w:t>
      </w:r>
      <w:r w:rsidRPr="00F31485">
        <w:t>.</w:t>
      </w:r>
      <w:r w:rsidRPr="00F31485">
        <w:tab/>
      </w:r>
      <w:r w:rsidR="00AF55F5" w:rsidRPr="00867EB6">
        <w:rPr>
          <w:lang w:val="fr-FR"/>
        </w:rPr>
        <w:t>Transport du numéro ONU 1965 − Hydrocarbures gazeux en mélange</w:t>
      </w:r>
      <w:r w:rsidR="00AF55F5">
        <w:rPr>
          <w:lang w:val="fr-FR"/>
        </w:rPr>
        <w:t xml:space="preserve"> </w:t>
      </w:r>
      <w:r w:rsidR="007618EC">
        <w:rPr>
          <w:lang w:val="fr-FR"/>
        </w:rPr>
        <w:br/>
      </w:r>
      <w:r w:rsidR="00AF55F5" w:rsidRPr="00867EB6">
        <w:rPr>
          <w:lang w:val="fr-FR"/>
        </w:rPr>
        <w:t xml:space="preserve">liquéfié, </w:t>
      </w:r>
      <w:proofErr w:type="spellStart"/>
      <w:r w:rsidR="00AF55F5" w:rsidRPr="00867EB6">
        <w:rPr>
          <w:lang w:val="fr-FR"/>
        </w:rPr>
        <w:t>n.s.a</w:t>
      </w:r>
      <w:proofErr w:type="spellEnd"/>
      <w:r w:rsidR="00AF55F5" w:rsidRPr="00867EB6">
        <w:rPr>
          <w:lang w:val="fr-FR"/>
        </w:rPr>
        <w:t>.</w:t>
      </w:r>
      <w:r w:rsidR="00AF55F5">
        <w:rPr>
          <w:lang w:val="fr-FR"/>
        </w:rPr>
        <w:t> :</w:t>
      </w:r>
      <w:r w:rsidR="00AF55F5" w:rsidRPr="00867EB6">
        <w:rPr>
          <w:lang w:val="fr-FR"/>
        </w:rPr>
        <w:t xml:space="preserve"> mention </w:t>
      </w:r>
      <w:r w:rsidR="00AF55F5">
        <w:rPr>
          <w:lang w:val="fr-FR"/>
        </w:rPr>
        <w:t>« </w:t>
      </w:r>
      <w:r w:rsidR="00AF55F5" w:rsidRPr="00867EB6">
        <w:rPr>
          <w:lang w:val="fr-FR"/>
        </w:rPr>
        <w:t>CMR</w:t>
      </w:r>
      <w:r w:rsidR="00AF55F5">
        <w:rPr>
          <w:lang w:val="fr-FR"/>
        </w:rPr>
        <w:t> »</w:t>
      </w:r>
      <w:r w:rsidR="00AF55F5" w:rsidRPr="00867EB6">
        <w:rPr>
          <w:lang w:val="fr-FR"/>
        </w:rPr>
        <w:t xml:space="preserve"> dans la colonne (5), </w:t>
      </w:r>
      <w:r w:rsidR="00AF55F5">
        <w:rPr>
          <w:lang w:val="fr-FR"/>
        </w:rPr>
        <w:t>« </w:t>
      </w:r>
      <w:r w:rsidR="00AF55F5" w:rsidRPr="00867EB6">
        <w:rPr>
          <w:lang w:val="fr-FR"/>
        </w:rPr>
        <w:t>Dangers</w:t>
      </w:r>
      <w:r w:rsidR="00AF55F5">
        <w:rPr>
          <w:lang w:val="fr-FR"/>
        </w:rPr>
        <w:t> »</w:t>
      </w:r>
      <w:r w:rsidRPr="00F31485">
        <w:tab/>
      </w:r>
      <w:r w:rsidRPr="00F31485">
        <w:tab/>
      </w:r>
      <w:r w:rsidR="00AF55F5">
        <w:t>17</w:t>
      </w:r>
      <w:r w:rsidRPr="00F31485">
        <w:tab/>
      </w:r>
      <w:r w:rsidR="00AF55F5">
        <w:t>6</w:t>
      </w:r>
    </w:p>
    <w:p w:rsidR="00F31485" w:rsidRDefault="00F31485" w:rsidP="00F31485">
      <w:pPr>
        <w:tabs>
          <w:tab w:val="right" w:leader="dot" w:pos="7654"/>
          <w:tab w:val="right" w:pos="8929"/>
          <w:tab w:val="right" w:pos="9638"/>
        </w:tabs>
        <w:spacing w:after="120"/>
        <w:ind w:left="1984" w:hanging="425"/>
      </w:pPr>
      <w:r>
        <w:t>6</w:t>
      </w:r>
      <w:r w:rsidRPr="00F31485">
        <w:t>.</w:t>
      </w:r>
      <w:r w:rsidRPr="00F31485">
        <w:tab/>
      </w:r>
      <w:r w:rsidR="00AF55F5" w:rsidRPr="00867EB6">
        <w:rPr>
          <w:lang w:val="fr-FR"/>
        </w:rPr>
        <w:t>Systèmes de sûreté des voies de navigation intérieure</w:t>
      </w:r>
      <w:r w:rsidR="008674EC">
        <w:rPr>
          <w:lang w:val="fr-FR"/>
        </w:rPr>
        <w:t>s</w:t>
      </w:r>
      <w:r w:rsidR="00AF55F5" w:rsidRPr="00867EB6">
        <w:rPr>
          <w:lang w:val="fr-FR"/>
        </w:rPr>
        <w:t xml:space="preserve"> et ADN</w:t>
      </w:r>
      <w:r w:rsidRPr="00F31485">
        <w:tab/>
      </w:r>
      <w:r w:rsidRPr="00F31485">
        <w:tab/>
      </w:r>
      <w:r w:rsidR="00AF55F5">
        <w:t>18</w:t>
      </w:r>
      <w:r w:rsidRPr="00F31485">
        <w:tab/>
      </w:r>
      <w:r w:rsidR="00AF55F5">
        <w:t>6</w:t>
      </w:r>
    </w:p>
    <w:p w:rsidR="00F31485" w:rsidRDefault="00F31485" w:rsidP="00F31485">
      <w:pPr>
        <w:tabs>
          <w:tab w:val="right" w:leader="dot" w:pos="7654"/>
          <w:tab w:val="right" w:pos="8929"/>
          <w:tab w:val="right" w:pos="9638"/>
        </w:tabs>
        <w:spacing w:after="120"/>
        <w:ind w:left="1984" w:hanging="425"/>
      </w:pPr>
      <w:r>
        <w:t>7</w:t>
      </w:r>
      <w:r w:rsidRPr="00F31485">
        <w:t>.</w:t>
      </w:r>
      <w:r w:rsidRPr="00F31485">
        <w:tab/>
      </w:r>
      <w:r w:rsidR="00AF55F5" w:rsidRPr="00867EB6">
        <w:rPr>
          <w:lang w:val="fr-FR"/>
        </w:rPr>
        <w:t>Utilisation de conduites de retour de gaz pendant le déchargement</w:t>
      </w:r>
      <w:r w:rsidRPr="00F31485">
        <w:tab/>
      </w:r>
      <w:r w:rsidRPr="00F31485">
        <w:tab/>
      </w:r>
      <w:r w:rsidR="00AF55F5">
        <w:t>19−20</w:t>
      </w:r>
      <w:r w:rsidRPr="00F31485">
        <w:tab/>
      </w:r>
      <w:r w:rsidR="00AF55F5">
        <w:t>6</w:t>
      </w:r>
    </w:p>
    <w:p w:rsidR="00F31485" w:rsidRDefault="00F31485" w:rsidP="00F31485">
      <w:pPr>
        <w:tabs>
          <w:tab w:val="right" w:leader="dot" w:pos="7654"/>
          <w:tab w:val="right" w:pos="8929"/>
          <w:tab w:val="right" w:pos="9638"/>
        </w:tabs>
        <w:spacing w:after="120"/>
        <w:ind w:left="1984" w:hanging="425"/>
      </w:pPr>
      <w:r>
        <w:t>8</w:t>
      </w:r>
      <w:r w:rsidRPr="00F31485">
        <w:t>.</w:t>
      </w:r>
      <w:r w:rsidRPr="00F31485">
        <w:tab/>
      </w:r>
      <w:r w:rsidR="0026692D" w:rsidRPr="00867EB6">
        <w:rPr>
          <w:lang w:val="fr-FR"/>
        </w:rPr>
        <w:t>Transport de tourte</w:t>
      </w:r>
      <w:r w:rsidR="0026692D">
        <w:rPr>
          <w:lang w:val="fr-FR"/>
        </w:rPr>
        <w:t>aux de pression de palmiste (N</w:t>
      </w:r>
      <w:r w:rsidR="0026692D" w:rsidRPr="00831A38">
        <w:rPr>
          <w:vertAlign w:val="superscript"/>
          <w:lang w:val="fr-FR"/>
        </w:rPr>
        <w:t>o</w:t>
      </w:r>
      <w:r w:rsidR="0026692D">
        <w:rPr>
          <w:lang w:val="fr-FR"/>
        </w:rPr>
        <w:t> </w:t>
      </w:r>
      <w:r w:rsidR="0026692D" w:rsidRPr="00867EB6">
        <w:rPr>
          <w:lang w:val="fr-FR"/>
        </w:rPr>
        <w:t>ONU 1386)</w:t>
      </w:r>
      <w:r w:rsidRPr="00F31485">
        <w:tab/>
      </w:r>
      <w:r w:rsidRPr="00F31485">
        <w:tab/>
      </w:r>
      <w:r w:rsidR="00AF55F5">
        <w:t>21−22</w:t>
      </w:r>
      <w:r w:rsidRPr="00F31485">
        <w:tab/>
      </w:r>
      <w:r w:rsidR="0026692D">
        <w:t>7</w:t>
      </w:r>
    </w:p>
    <w:p w:rsidR="00F31485" w:rsidRDefault="00F31485" w:rsidP="00F31485">
      <w:pPr>
        <w:tabs>
          <w:tab w:val="right" w:leader="dot" w:pos="7654"/>
          <w:tab w:val="right" w:pos="8929"/>
          <w:tab w:val="right" w:pos="9638"/>
        </w:tabs>
        <w:spacing w:after="120"/>
        <w:ind w:left="1984" w:hanging="425"/>
      </w:pPr>
      <w:r>
        <w:t>9</w:t>
      </w:r>
      <w:r w:rsidRPr="00F31485">
        <w:t>.</w:t>
      </w:r>
      <w:r w:rsidRPr="00F31485">
        <w:tab/>
      </w:r>
      <w:r w:rsidR="0026692D" w:rsidRPr="00867EB6">
        <w:rPr>
          <w:lang w:val="fr-FR"/>
        </w:rPr>
        <w:t>Délivrance des documents de transport</w:t>
      </w:r>
      <w:r w:rsidRPr="00F31485">
        <w:tab/>
      </w:r>
      <w:r w:rsidRPr="00F31485">
        <w:tab/>
      </w:r>
      <w:r w:rsidR="00AF55F5">
        <w:t>23</w:t>
      </w:r>
      <w:r w:rsidRPr="00F31485">
        <w:tab/>
      </w:r>
      <w:r w:rsidR="0026692D">
        <w:t>7</w:t>
      </w:r>
    </w:p>
    <w:p w:rsidR="00F31485" w:rsidRPr="00F31485" w:rsidRDefault="00F31485" w:rsidP="00F31485">
      <w:pPr>
        <w:tabs>
          <w:tab w:val="right" w:leader="dot" w:pos="7654"/>
          <w:tab w:val="right" w:pos="8929"/>
          <w:tab w:val="right" w:pos="9638"/>
        </w:tabs>
        <w:spacing w:after="120"/>
        <w:ind w:left="1559" w:hanging="425"/>
      </w:pPr>
      <w:r>
        <w:t>D</w:t>
      </w:r>
      <w:r w:rsidRPr="00F31485">
        <w:t>.</w:t>
      </w:r>
      <w:r w:rsidRPr="00F31485">
        <w:tab/>
      </w:r>
      <w:r w:rsidR="0026692D" w:rsidRPr="00867EB6">
        <w:rPr>
          <w:lang w:val="fr-FR"/>
        </w:rPr>
        <w:t>Formation des experts</w:t>
      </w:r>
      <w:r w:rsidRPr="00F31485">
        <w:tab/>
      </w:r>
      <w:r w:rsidRPr="00F31485">
        <w:tab/>
      </w:r>
      <w:r w:rsidR="00AF55F5">
        <w:t>24−27</w:t>
      </w:r>
      <w:r w:rsidRPr="00F31485">
        <w:tab/>
      </w:r>
      <w:r w:rsidR="0026692D">
        <w:t>7</w:t>
      </w:r>
    </w:p>
    <w:p w:rsidR="00F31485" w:rsidRDefault="00F31485" w:rsidP="00F31485">
      <w:pPr>
        <w:tabs>
          <w:tab w:val="right" w:leader="dot" w:pos="7654"/>
          <w:tab w:val="right" w:pos="8929"/>
          <w:tab w:val="right" w:pos="9638"/>
        </w:tabs>
        <w:spacing w:after="120"/>
        <w:ind w:left="1984" w:hanging="425"/>
      </w:pPr>
      <w:r w:rsidRPr="00F31485">
        <w:t>1.</w:t>
      </w:r>
      <w:r w:rsidRPr="00F31485">
        <w:tab/>
      </w:r>
      <w:r w:rsidR="0026692D" w:rsidRPr="00867EB6">
        <w:rPr>
          <w:lang w:val="fr-FR"/>
        </w:rPr>
        <w:t>Sections 8.2.1 et 8.2.2 de l</w:t>
      </w:r>
      <w:r w:rsidR="0026692D">
        <w:rPr>
          <w:lang w:val="fr-FR"/>
        </w:rPr>
        <w:t>’</w:t>
      </w:r>
      <w:r w:rsidR="0026692D" w:rsidRPr="00867EB6">
        <w:rPr>
          <w:lang w:val="fr-FR"/>
        </w:rPr>
        <w:t>ADN</w:t>
      </w:r>
      <w:r w:rsidRPr="00F31485">
        <w:tab/>
      </w:r>
      <w:r w:rsidRPr="00F31485">
        <w:tab/>
      </w:r>
      <w:r w:rsidR="00AF55F5">
        <w:t>24</w:t>
      </w:r>
      <w:r w:rsidRPr="00F31485">
        <w:tab/>
      </w:r>
      <w:r w:rsidR="0026692D">
        <w:t>7</w:t>
      </w:r>
    </w:p>
    <w:p w:rsidR="00F31485" w:rsidRDefault="00F31485" w:rsidP="00F31485">
      <w:pPr>
        <w:tabs>
          <w:tab w:val="right" w:leader="dot" w:pos="7654"/>
          <w:tab w:val="right" w:pos="8929"/>
          <w:tab w:val="right" w:pos="9638"/>
        </w:tabs>
        <w:spacing w:after="120"/>
        <w:ind w:left="1984" w:hanging="425"/>
      </w:pPr>
      <w:r>
        <w:t>2</w:t>
      </w:r>
      <w:r w:rsidRPr="00F31485">
        <w:t>.</w:t>
      </w:r>
      <w:r w:rsidRPr="00F31485">
        <w:tab/>
      </w:r>
      <w:r w:rsidR="0026692D" w:rsidRPr="00867EB6">
        <w:rPr>
          <w:lang w:val="fr-FR"/>
        </w:rPr>
        <w:t>Statistiques relatives aux examens</w:t>
      </w:r>
      <w:r w:rsidRPr="00F31485">
        <w:tab/>
      </w:r>
      <w:r w:rsidRPr="00F31485">
        <w:tab/>
      </w:r>
      <w:r w:rsidR="00AF55F5">
        <w:t>25−27</w:t>
      </w:r>
      <w:r w:rsidRPr="00F31485">
        <w:tab/>
      </w:r>
      <w:r w:rsidR="0026692D">
        <w:t>7</w:t>
      </w:r>
    </w:p>
    <w:p w:rsidR="00F31485" w:rsidRPr="00F31485" w:rsidRDefault="00F31485" w:rsidP="00F31485">
      <w:pPr>
        <w:tabs>
          <w:tab w:val="right" w:leader="dot" w:pos="7654"/>
          <w:tab w:val="right" w:pos="8929"/>
          <w:tab w:val="right" w:pos="9638"/>
        </w:tabs>
        <w:spacing w:after="120"/>
        <w:ind w:left="1559" w:hanging="425"/>
      </w:pPr>
      <w:r>
        <w:t>E</w:t>
      </w:r>
      <w:r w:rsidRPr="00F31485">
        <w:t>.</w:t>
      </w:r>
      <w:r w:rsidRPr="00F31485">
        <w:tab/>
      </w:r>
      <w:r w:rsidR="0026692D" w:rsidRPr="00867EB6">
        <w:rPr>
          <w:lang w:val="fr-FR"/>
        </w:rPr>
        <w:t>Questions relatives aux sociétés de classification</w:t>
      </w:r>
      <w:r w:rsidRPr="00F31485">
        <w:tab/>
      </w:r>
      <w:r w:rsidRPr="00F31485">
        <w:tab/>
      </w:r>
      <w:r w:rsidR="00AF55F5">
        <w:t>28−31</w:t>
      </w:r>
      <w:r w:rsidRPr="00F31485">
        <w:tab/>
      </w:r>
      <w:r w:rsidR="007618EC">
        <w:t>8</w:t>
      </w:r>
    </w:p>
    <w:p w:rsidR="00F31485" w:rsidRDefault="00F31485" w:rsidP="00F31485">
      <w:pPr>
        <w:tabs>
          <w:tab w:val="right" w:leader="dot" w:pos="7654"/>
          <w:tab w:val="right" w:pos="8929"/>
          <w:tab w:val="right" w:pos="9638"/>
        </w:tabs>
        <w:spacing w:after="120"/>
        <w:ind w:left="1984" w:hanging="425"/>
      </w:pPr>
      <w:r w:rsidRPr="00F31485">
        <w:t>1.</w:t>
      </w:r>
      <w:r w:rsidRPr="00F31485">
        <w:tab/>
      </w:r>
      <w:r w:rsidR="0026692D" w:rsidRPr="00867EB6">
        <w:rPr>
          <w:lang w:val="fr-FR"/>
        </w:rPr>
        <w:t>Agrément des instruments de chargement</w:t>
      </w:r>
      <w:r w:rsidRPr="00F31485">
        <w:tab/>
      </w:r>
      <w:r w:rsidRPr="00F31485">
        <w:tab/>
      </w:r>
      <w:r w:rsidR="00AF55F5">
        <w:t>28−29</w:t>
      </w:r>
      <w:r w:rsidRPr="00F31485">
        <w:tab/>
      </w:r>
      <w:r w:rsidR="007618EC">
        <w:t>8</w:t>
      </w:r>
    </w:p>
    <w:p w:rsidR="00F31485" w:rsidRDefault="00F31485" w:rsidP="00F31485">
      <w:pPr>
        <w:tabs>
          <w:tab w:val="right" w:leader="dot" w:pos="7654"/>
          <w:tab w:val="right" w:pos="8929"/>
          <w:tab w:val="right" w:pos="9638"/>
        </w:tabs>
        <w:spacing w:after="120"/>
        <w:ind w:left="1984" w:hanging="425"/>
      </w:pPr>
      <w:r>
        <w:t>2</w:t>
      </w:r>
      <w:r w:rsidRPr="00F31485">
        <w:t>.</w:t>
      </w:r>
      <w:r w:rsidRPr="00F31485">
        <w:tab/>
      </w:r>
      <w:r w:rsidR="0026692D" w:rsidRPr="00867EB6">
        <w:rPr>
          <w:lang w:val="fr-FR"/>
        </w:rPr>
        <w:t>Liste des références à l</w:t>
      </w:r>
      <w:r w:rsidR="0026692D">
        <w:rPr>
          <w:lang w:val="fr-FR"/>
        </w:rPr>
        <w:t>’</w:t>
      </w:r>
      <w:r w:rsidR="0026692D" w:rsidRPr="00867EB6">
        <w:rPr>
          <w:lang w:val="fr-FR"/>
        </w:rPr>
        <w:t xml:space="preserve">ADN dans les règles de classification </w:t>
      </w:r>
      <w:r w:rsidR="0026692D">
        <w:rPr>
          <w:lang w:val="fr-FR"/>
        </w:rPr>
        <w:br/>
      </w:r>
      <w:r w:rsidR="0026692D" w:rsidRPr="00867EB6">
        <w:rPr>
          <w:lang w:val="fr-FR"/>
        </w:rPr>
        <w:t xml:space="preserve">du Registre maritime russe et certificat de conformité </w:t>
      </w:r>
      <w:r w:rsidR="007618EC">
        <w:rPr>
          <w:lang w:val="fr-FR"/>
        </w:rPr>
        <w:br/>
      </w:r>
      <w:r w:rsidR="0026692D" w:rsidRPr="00867EB6">
        <w:rPr>
          <w:lang w:val="fr-FR"/>
        </w:rPr>
        <w:t>avec la norme ISO/CEI 17020:2012</w:t>
      </w:r>
      <w:r w:rsidRPr="00F31485">
        <w:tab/>
      </w:r>
      <w:r w:rsidRPr="00F31485">
        <w:tab/>
      </w:r>
      <w:r w:rsidR="00AF55F5">
        <w:t>30</w:t>
      </w:r>
      <w:r w:rsidRPr="00F31485">
        <w:tab/>
      </w:r>
      <w:r w:rsidR="007618EC">
        <w:t>8</w:t>
      </w:r>
    </w:p>
    <w:p w:rsidR="00F31485" w:rsidRDefault="00F31485" w:rsidP="00F31485">
      <w:pPr>
        <w:tabs>
          <w:tab w:val="right" w:leader="dot" w:pos="7654"/>
          <w:tab w:val="right" w:pos="8929"/>
          <w:tab w:val="right" w:pos="9638"/>
        </w:tabs>
        <w:spacing w:after="120"/>
        <w:ind w:left="1984" w:hanging="425"/>
      </w:pPr>
      <w:r>
        <w:t>3</w:t>
      </w:r>
      <w:r w:rsidRPr="00F31485">
        <w:t>.</w:t>
      </w:r>
      <w:r w:rsidRPr="00F31485">
        <w:tab/>
      </w:r>
      <w:r w:rsidR="007618EC" w:rsidRPr="00867EB6">
        <w:rPr>
          <w:lang w:val="fr-FR"/>
        </w:rPr>
        <w:t>Liste des références à l</w:t>
      </w:r>
      <w:r w:rsidR="007618EC">
        <w:rPr>
          <w:lang w:val="fr-FR"/>
        </w:rPr>
        <w:t>’</w:t>
      </w:r>
      <w:r w:rsidR="007618EC" w:rsidRPr="00867EB6">
        <w:rPr>
          <w:lang w:val="fr-FR"/>
        </w:rPr>
        <w:t xml:space="preserve">ADN dans les règles de classification </w:t>
      </w:r>
      <w:r w:rsidR="007618EC">
        <w:rPr>
          <w:lang w:val="fr-FR"/>
        </w:rPr>
        <w:br/>
      </w:r>
      <w:r w:rsidR="007618EC" w:rsidRPr="00867EB6">
        <w:rPr>
          <w:lang w:val="fr-FR"/>
        </w:rPr>
        <w:t>du Registre fluvial russe</w:t>
      </w:r>
      <w:r w:rsidRPr="00F31485">
        <w:tab/>
      </w:r>
      <w:r w:rsidRPr="00F31485">
        <w:tab/>
      </w:r>
      <w:r w:rsidR="00AF55F5">
        <w:t>31</w:t>
      </w:r>
      <w:r w:rsidRPr="00F31485">
        <w:tab/>
      </w:r>
      <w:r w:rsidR="007618EC">
        <w:t>8</w:t>
      </w:r>
    </w:p>
    <w:p w:rsidR="00A65B63" w:rsidRPr="00F31485" w:rsidRDefault="00A65B63" w:rsidP="00A65B63">
      <w:pPr>
        <w:tabs>
          <w:tab w:val="right" w:pos="850"/>
          <w:tab w:val="right" w:leader="dot" w:pos="7654"/>
          <w:tab w:val="right" w:pos="8929"/>
          <w:tab w:val="right" w:pos="9638"/>
        </w:tabs>
        <w:spacing w:after="120"/>
        <w:ind w:left="1134" w:hanging="1134"/>
      </w:pPr>
      <w:r>
        <w:tab/>
        <w:t>VI</w:t>
      </w:r>
      <w:r w:rsidRPr="00F31485">
        <w:t>.</w:t>
      </w:r>
      <w:r w:rsidRPr="00F31485">
        <w:tab/>
      </w:r>
      <w:r w:rsidR="007618EC" w:rsidRPr="00867EB6">
        <w:rPr>
          <w:lang w:val="fr-FR"/>
        </w:rPr>
        <w:t>Propositions d</w:t>
      </w:r>
      <w:r w:rsidR="007618EC">
        <w:rPr>
          <w:lang w:val="fr-FR"/>
        </w:rPr>
        <w:t>’</w:t>
      </w:r>
      <w:r w:rsidR="007618EC" w:rsidRPr="00867EB6">
        <w:rPr>
          <w:lang w:val="fr-FR"/>
        </w:rPr>
        <w:t>amendements au Règlement annexé à l</w:t>
      </w:r>
      <w:r w:rsidR="007618EC">
        <w:rPr>
          <w:lang w:val="fr-FR"/>
        </w:rPr>
        <w:t>’</w:t>
      </w:r>
      <w:r w:rsidR="007618EC" w:rsidRPr="00867EB6">
        <w:rPr>
          <w:lang w:val="fr-FR"/>
        </w:rPr>
        <w:t xml:space="preserve">ADN </w:t>
      </w:r>
      <w:r w:rsidR="007618EC">
        <w:rPr>
          <w:lang w:val="fr-FR"/>
        </w:rPr>
        <w:br/>
      </w:r>
      <w:r w:rsidR="007618EC" w:rsidRPr="00867EB6">
        <w:rPr>
          <w:lang w:val="fr-FR"/>
        </w:rPr>
        <w:t>(point 5 de l</w:t>
      </w:r>
      <w:r w:rsidR="007618EC">
        <w:rPr>
          <w:lang w:val="fr-FR"/>
        </w:rPr>
        <w:t>’</w:t>
      </w:r>
      <w:r w:rsidR="007618EC" w:rsidRPr="00867EB6">
        <w:rPr>
          <w:lang w:val="fr-FR"/>
        </w:rPr>
        <w:t>ordre du jour)</w:t>
      </w:r>
      <w:r w:rsidRPr="00F31485">
        <w:tab/>
      </w:r>
      <w:r w:rsidRPr="00F31485">
        <w:tab/>
      </w:r>
      <w:r w:rsidR="00AF55F5">
        <w:t>32−76</w:t>
      </w:r>
      <w:r w:rsidRPr="00F31485">
        <w:tab/>
      </w:r>
      <w:r w:rsidR="007618EC">
        <w:t>8</w:t>
      </w:r>
    </w:p>
    <w:p w:rsidR="00A65B63" w:rsidRDefault="00A65B63" w:rsidP="00A65B63">
      <w:pPr>
        <w:tabs>
          <w:tab w:val="right" w:leader="dot" w:pos="7654"/>
          <w:tab w:val="right" w:pos="8929"/>
          <w:tab w:val="right" w:pos="9638"/>
        </w:tabs>
        <w:spacing w:after="120"/>
        <w:ind w:left="1559" w:hanging="425"/>
      </w:pPr>
      <w:r w:rsidRPr="00F31485">
        <w:t>A.</w:t>
      </w:r>
      <w:r w:rsidRPr="00F31485">
        <w:tab/>
      </w:r>
      <w:r w:rsidR="007618EC" w:rsidRPr="00867EB6">
        <w:rPr>
          <w:lang w:val="fr-FR"/>
        </w:rPr>
        <w:t>Travaux de la Réunion commune RID/ADR/ADN</w:t>
      </w:r>
      <w:r w:rsidRPr="00F31485">
        <w:tab/>
      </w:r>
      <w:r w:rsidRPr="00F31485">
        <w:tab/>
      </w:r>
      <w:r w:rsidR="00AF55F5">
        <w:t>32−36</w:t>
      </w:r>
      <w:r w:rsidRPr="00F31485">
        <w:tab/>
      </w:r>
      <w:r w:rsidR="007618EC">
        <w:t>8</w:t>
      </w:r>
    </w:p>
    <w:p w:rsidR="00A65B63" w:rsidRDefault="00A65B63" w:rsidP="00A65B63">
      <w:pPr>
        <w:tabs>
          <w:tab w:val="right" w:leader="dot" w:pos="7654"/>
          <w:tab w:val="right" w:pos="8929"/>
          <w:tab w:val="right" w:pos="9638"/>
        </w:tabs>
        <w:spacing w:after="120"/>
        <w:ind w:left="1984" w:hanging="425"/>
      </w:pPr>
      <w:r w:rsidRPr="00F31485">
        <w:t>1.</w:t>
      </w:r>
      <w:r w:rsidRPr="00F31485">
        <w:tab/>
      </w:r>
      <w:r w:rsidR="007618EC" w:rsidRPr="00867EB6">
        <w:rPr>
          <w:lang w:val="fr-FR"/>
        </w:rPr>
        <w:t>Projets d</w:t>
      </w:r>
      <w:r w:rsidR="007618EC">
        <w:rPr>
          <w:lang w:val="fr-FR"/>
        </w:rPr>
        <w:t>’</w:t>
      </w:r>
      <w:r w:rsidR="007618EC" w:rsidRPr="00867EB6">
        <w:rPr>
          <w:lang w:val="fr-FR"/>
        </w:rPr>
        <w:t>amendements pertinents pour l</w:t>
      </w:r>
      <w:r w:rsidR="007618EC">
        <w:rPr>
          <w:lang w:val="fr-FR"/>
        </w:rPr>
        <w:t>’</w:t>
      </w:r>
      <w:r w:rsidR="007618EC" w:rsidRPr="00867EB6">
        <w:rPr>
          <w:lang w:val="fr-FR"/>
        </w:rPr>
        <w:t xml:space="preserve">ADN adoptés par le WP.15 </w:t>
      </w:r>
      <w:r w:rsidR="007618EC">
        <w:rPr>
          <w:lang w:val="fr-FR"/>
        </w:rPr>
        <w:br/>
      </w:r>
      <w:r w:rsidR="007618EC" w:rsidRPr="00867EB6">
        <w:rPr>
          <w:lang w:val="fr-FR"/>
        </w:rPr>
        <w:t xml:space="preserve">et la Réunion </w:t>
      </w:r>
      <w:r w:rsidR="008674EC" w:rsidRPr="00867EB6">
        <w:rPr>
          <w:lang w:val="fr-FR"/>
        </w:rPr>
        <w:t xml:space="preserve">commune </w:t>
      </w:r>
      <w:r w:rsidR="007618EC" w:rsidRPr="00867EB6">
        <w:rPr>
          <w:lang w:val="fr-FR"/>
        </w:rPr>
        <w:t xml:space="preserve">RID/ADR/ADN en 2016 et 2017 </w:t>
      </w:r>
      <w:r w:rsidR="007618EC">
        <w:rPr>
          <w:lang w:val="fr-FR"/>
        </w:rPr>
        <w:br/>
      </w:r>
      <w:r w:rsidR="007618EC" w:rsidRPr="00867EB6">
        <w:rPr>
          <w:lang w:val="fr-FR"/>
        </w:rPr>
        <w:t xml:space="preserve">pour </w:t>
      </w:r>
      <w:proofErr w:type="spellStart"/>
      <w:r w:rsidR="007618EC" w:rsidRPr="00867EB6">
        <w:rPr>
          <w:lang w:val="fr-FR"/>
        </w:rPr>
        <w:t>entrée</w:t>
      </w:r>
      <w:proofErr w:type="spellEnd"/>
      <w:r w:rsidR="007618EC" w:rsidRPr="00867EB6">
        <w:rPr>
          <w:lang w:val="fr-FR"/>
        </w:rPr>
        <w:t xml:space="preserve"> en vigueur le 1</w:t>
      </w:r>
      <w:r w:rsidR="007618EC" w:rsidRPr="00867EB6">
        <w:rPr>
          <w:vertAlign w:val="superscript"/>
          <w:lang w:val="fr-FR"/>
        </w:rPr>
        <w:t>er</w:t>
      </w:r>
      <w:r w:rsidR="007618EC">
        <w:rPr>
          <w:lang w:val="fr-FR"/>
        </w:rPr>
        <w:t> </w:t>
      </w:r>
      <w:r w:rsidR="007618EC" w:rsidRPr="00867EB6">
        <w:rPr>
          <w:lang w:val="fr-FR"/>
        </w:rPr>
        <w:t>janvier 2019</w:t>
      </w:r>
      <w:r w:rsidRPr="00F31485">
        <w:tab/>
      </w:r>
      <w:r w:rsidRPr="00F31485">
        <w:tab/>
      </w:r>
      <w:r w:rsidR="00AF55F5">
        <w:t>32−33</w:t>
      </w:r>
      <w:r w:rsidRPr="00F31485">
        <w:tab/>
      </w:r>
      <w:r w:rsidR="007618EC">
        <w:t>8</w:t>
      </w:r>
    </w:p>
    <w:p w:rsidR="00A65B63" w:rsidRDefault="00A65B63" w:rsidP="00A65B63">
      <w:pPr>
        <w:tabs>
          <w:tab w:val="right" w:leader="dot" w:pos="7654"/>
          <w:tab w:val="right" w:pos="8929"/>
          <w:tab w:val="right" w:pos="9638"/>
        </w:tabs>
        <w:spacing w:after="120"/>
        <w:ind w:left="1984" w:hanging="425"/>
      </w:pPr>
      <w:r>
        <w:lastRenderedPageBreak/>
        <w:t>2</w:t>
      </w:r>
      <w:r w:rsidRPr="00F31485">
        <w:t>.</w:t>
      </w:r>
      <w:r w:rsidRPr="00F31485">
        <w:tab/>
      </w:r>
      <w:r w:rsidR="007618EC" w:rsidRPr="00867EB6">
        <w:rPr>
          <w:lang w:val="fr-FR"/>
        </w:rPr>
        <w:t>Projets d</w:t>
      </w:r>
      <w:r w:rsidR="007618EC">
        <w:rPr>
          <w:lang w:val="fr-FR"/>
        </w:rPr>
        <w:t>’</w:t>
      </w:r>
      <w:r w:rsidR="007618EC" w:rsidRPr="00867EB6">
        <w:rPr>
          <w:lang w:val="fr-FR"/>
        </w:rPr>
        <w:t>amendements à l</w:t>
      </w:r>
      <w:r w:rsidR="007618EC">
        <w:rPr>
          <w:lang w:val="fr-FR"/>
        </w:rPr>
        <w:t>’</w:t>
      </w:r>
      <w:r w:rsidR="007618EC" w:rsidRPr="00867EB6">
        <w:rPr>
          <w:lang w:val="fr-FR"/>
        </w:rPr>
        <w:t xml:space="preserve">ADN proposés par le Groupe de travail </w:t>
      </w:r>
      <w:r w:rsidR="007618EC">
        <w:rPr>
          <w:lang w:val="fr-FR"/>
        </w:rPr>
        <w:br/>
      </w:r>
      <w:r w:rsidR="007618EC" w:rsidRPr="00867EB6">
        <w:rPr>
          <w:lang w:val="fr-FR"/>
        </w:rPr>
        <w:t>spécial</w:t>
      </w:r>
      <w:r w:rsidR="007618EC">
        <w:rPr>
          <w:lang w:val="fr-FR"/>
        </w:rPr>
        <w:t xml:space="preserve"> </w:t>
      </w:r>
      <w:r w:rsidR="007618EC" w:rsidRPr="00867EB6">
        <w:rPr>
          <w:lang w:val="fr-FR"/>
        </w:rPr>
        <w:t>de l</w:t>
      </w:r>
      <w:r w:rsidR="007618EC">
        <w:rPr>
          <w:lang w:val="fr-FR"/>
        </w:rPr>
        <w:t>’</w:t>
      </w:r>
      <w:r w:rsidR="007618EC" w:rsidRPr="00867EB6">
        <w:rPr>
          <w:lang w:val="fr-FR"/>
        </w:rPr>
        <w:t xml:space="preserve">harmonisation et modifiés par la Réunion commune </w:t>
      </w:r>
      <w:r w:rsidR="007618EC">
        <w:rPr>
          <w:lang w:val="fr-FR"/>
        </w:rPr>
        <w:br/>
      </w:r>
      <w:r w:rsidR="007618EC" w:rsidRPr="00867EB6">
        <w:rPr>
          <w:lang w:val="fr-FR"/>
        </w:rPr>
        <w:t xml:space="preserve">RID/ADR/ADN pour </w:t>
      </w:r>
      <w:proofErr w:type="spellStart"/>
      <w:r w:rsidR="007618EC" w:rsidRPr="00867EB6">
        <w:rPr>
          <w:lang w:val="fr-FR"/>
        </w:rPr>
        <w:t>entrée</w:t>
      </w:r>
      <w:proofErr w:type="spellEnd"/>
      <w:r w:rsidR="007618EC" w:rsidRPr="00867EB6">
        <w:rPr>
          <w:lang w:val="fr-FR"/>
        </w:rPr>
        <w:t xml:space="preserve"> en vigueur le 1</w:t>
      </w:r>
      <w:r w:rsidR="007618EC" w:rsidRPr="00867EB6">
        <w:rPr>
          <w:vertAlign w:val="superscript"/>
          <w:lang w:val="fr-FR"/>
        </w:rPr>
        <w:t>er</w:t>
      </w:r>
      <w:r w:rsidR="007618EC">
        <w:rPr>
          <w:lang w:val="fr-FR"/>
        </w:rPr>
        <w:t> </w:t>
      </w:r>
      <w:r w:rsidR="007618EC" w:rsidRPr="00867EB6">
        <w:rPr>
          <w:lang w:val="fr-FR"/>
        </w:rPr>
        <w:t>janvier 2019</w:t>
      </w:r>
      <w:r w:rsidRPr="00F31485">
        <w:tab/>
      </w:r>
      <w:r w:rsidRPr="00F31485">
        <w:tab/>
      </w:r>
      <w:r w:rsidR="00AF55F5">
        <w:t>34−36</w:t>
      </w:r>
      <w:r w:rsidRPr="00F31485">
        <w:tab/>
      </w:r>
      <w:r w:rsidR="007618EC">
        <w:t>8</w:t>
      </w:r>
    </w:p>
    <w:p w:rsidR="00A65B63" w:rsidRPr="00F31485" w:rsidRDefault="00A65B63" w:rsidP="00A65B63">
      <w:pPr>
        <w:tabs>
          <w:tab w:val="right" w:leader="dot" w:pos="7654"/>
          <w:tab w:val="right" w:pos="8929"/>
          <w:tab w:val="right" w:pos="9638"/>
        </w:tabs>
        <w:spacing w:after="120"/>
        <w:ind w:left="1559" w:hanging="425"/>
      </w:pPr>
      <w:r>
        <w:t>B</w:t>
      </w:r>
      <w:r w:rsidRPr="00F31485">
        <w:t>.</w:t>
      </w:r>
      <w:r w:rsidRPr="00F31485">
        <w:tab/>
      </w:r>
      <w:r w:rsidR="007618EC" w:rsidRPr="00867EB6">
        <w:rPr>
          <w:lang w:val="fr-FR"/>
        </w:rPr>
        <w:t>Autres propositions</w:t>
      </w:r>
      <w:r w:rsidRPr="00F31485">
        <w:tab/>
      </w:r>
      <w:r w:rsidRPr="00F31485">
        <w:tab/>
      </w:r>
      <w:r w:rsidR="00AF55F5">
        <w:t>37−73</w:t>
      </w:r>
      <w:r w:rsidRPr="00F31485">
        <w:tab/>
      </w:r>
      <w:r w:rsidR="007618EC">
        <w:t>9</w:t>
      </w:r>
    </w:p>
    <w:p w:rsidR="00A65B63" w:rsidRDefault="00A65B63" w:rsidP="00A65B63">
      <w:pPr>
        <w:tabs>
          <w:tab w:val="right" w:leader="dot" w:pos="7654"/>
          <w:tab w:val="right" w:pos="8929"/>
          <w:tab w:val="right" w:pos="9638"/>
        </w:tabs>
        <w:spacing w:after="120"/>
        <w:ind w:left="1984" w:hanging="425"/>
      </w:pPr>
      <w:r w:rsidRPr="00F31485">
        <w:t>1.</w:t>
      </w:r>
      <w:r w:rsidRPr="00F31485">
        <w:tab/>
      </w:r>
      <w:r w:rsidR="007618EC" w:rsidRPr="00867EB6">
        <w:rPr>
          <w:lang w:val="fr-FR"/>
        </w:rPr>
        <w:t xml:space="preserve">Utilisation des termes </w:t>
      </w:r>
      <w:r w:rsidR="007618EC">
        <w:rPr>
          <w:lang w:val="fr-FR"/>
        </w:rPr>
        <w:t>« </w:t>
      </w:r>
      <w:proofErr w:type="spellStart"/>
      <w:r w:rsidR="007618EC" w:rsidRPr="00867EB6">
        <w:rPr>
          <w:lang w:val="fr-FR"/>
        </w:rPr>
        <w:t>residual</w:t>
      </w:r>
      <w:proofErr w:type="spellEnd"/>
      <w:r w:rsidR="007618EC" w:rsidRPr="00867EB6">
        <w:rPr>
          <w:lang w:val="fr-FR"/>
        </w:rPr>
        <w:t xml:space="preserve"> cargo</w:t>
      </w:r>
      <w:r w:rsidR="007618EC">
        <w:rPr>
          <w:lang w:val="fr-FR"/>
        </w:rPr>
        <w:t> »</w:t>
      </w:r>
      <w:r w:rsidR="007618EC" w:rsidRPr="00867EB6">
        <w:rPr>
          <w:lang w:val="fr-FR"/>
        </w:rPr>
        <w:t xml:space="preserve"> et </w:t>
      </w:r>
      <w:r w:rsidR="007618EC">
        <w:rPr>
          <w:lang w:val="fr-FR"/>
        </w:rPr>
        <w:t>« </w:t>
      </w:r>
      <w:r w:rsidR="007618EC" w:rsidRPr="00867EB6">
        <w:rPr>
          <w:lang w:val="fr-FR"/>
        </w:rPr>
        <w:t xml:space="preserve">cargo </w:t>
      </w:r>
      <w:proofErr w:type="spellStart"/>
      <w:r w:rsidR="007618EC" w:rsidRPr="00867EB6">
        <w:rPr>
          <w:lang w:val="fr-FR"/>
        </w:rPr>
        <w:t>residues</w:t>
      </w:r>
      <w:proofErr w:type="spellEnd"/>
      <w:r w:rsidR="007618EC">
        <w:rPr>
          <w:lang w:val="fr-FR"/>
        </w:rPr>
        <w:t> »</w:t>
      </w:r>
      <w:r w:rsidRPr="00F31485">
        <w:tab/>
      </w:r>
      <w:r w:rsidRPr="00F31485">
        <w:tab/>
      </w:r>
      <w:r w:rsidR="00AF55F5">
        <w:t>37</w:t>
      </w:r>
      <w:r w:rsidRPr="00F31485">
        <w:tab/>
      </w:r>
      <w:r w:rsidR="007618EC">
        <w:t>9</w:t>
      </w:r>
    </w:p>
    <w:p w:rsidR="00A65B63" w:rsidRDefault="00A65B63" w:rsidP="00A65B63">
      <w:pPr>
        <w:tabs>
          <w:tab w:val="right" w:leader="dot" w:pos="7654"/>
          <w:tab w:val="right" w:pos="8929"/>
          <w:tab w:val="right" w:pos="9638"/>
        </w:tabs>
        <w:spacing w:after="120"/>
        <w:ind w:left="1984" w:hanging="425"/>
      </w:pPr>
      <w:r>
        <w:t>2</w:t>
      </w:r>
      <w:r w:rsidRPr="00F31485">
        <w:t>.</w:t>
      </w:r>
      <w:r w:rsidRPr="00F31485">
        <w:tab/>
      </w:r>
      <w:r w:rsidR="007618EC" w:rsidRPr="00867EB6">
        <w:rPr>
          <w:lang w:val="fr-FR"/>
        </w:rPr>
        <w:t>Amendement au chapitre 7.1</w:t>
      </w:r>
      <w:r w:rsidRPr="00F31485">
        <w:tab/>
      </w:r>
      <w:r w:rsidRPr="00F31485">
        <w:tab/>
      </w:r>
      <w:r w:rsidR="00AF55F5">
        <w:t>38</w:t>
      </w:r>
      <w:r w:rsidRPr="00F31485">
        <w:tab/>
      </w:r>
      <w:r w:rsidR="007618EC">
        <w:t>9</w:t>
      </w:r>
    </w:p>
    <w:p w:rsidR="00A65B63" w:rsidRDefault="00A65B63" w:rsidP="00A65B63">
      <w:pPr>
        <w:tabs>
          <w:tab w:val="right" w:leader="dot" w:pos="7654"/>
          <w:tab w:val="right" w:pos="8929"/>
          <w:tab w:val="right" w:pos="9638"/>
        </w:tabs>
        <w:spacing w:after="120"/>
        <w:ind w:left="1984" w:hanging="425"/>
      </w:pPr>
      <w:r>
        <w:t>3</w:t>
      </w:r>
      <w:r w:rsidRPr="00F31485">
        <w:t>.</w:t>
      </w:r>
      <w:r w:rsidRPr="00F31485">
        <w:tab/>
      </w:r>
      <w:r w:rsidR="007618EC" w:rsidRPr="00867EB6">
        <w:rPr>
          <w:lang w:val="fr-FR"/>
        </w:rPr>
        <w:t>Paragraphes 8.1.2.1 et 8.1.2.3</w:t>
      </w:r>
      <w:r w:rsidR="007618EC">
        <w:rPr>
          <w:lang w:val="fr-FR"/>
        </w:rPr>
        <w:t> :</w:t>
      </w:r>
      <w:r w:rsidR="007618EC" w:rsidRPr="00867EB6">
        <w:rPr>
          <w:lang w:val="fr-FR"/>
        </w:rPr>
        <w:t xml:space="preserve"> documents devant se trouver à bord</w:t>
      </w:r>
      <w:r w:rsidRPr="00F31485">
        <w:tab/>
      </w:r>
      <w:r w:rsidRPr="00F31485">
        <w:tab/>
      </w:r>
      <w:r w:rsidR="00AF55F5">
        <w:t>39−40</w:t>
      </w:r>
      <w:r w:rsidRPr="00F31485">
        <w:tab/>
      </w:r>
      <w:r w:rsidR="007618EC">
        <w:t>9</w:t>
      </w:r>
    </w:p>
    <w:p w:rsidR="00A65B63" w:rsidRDefault="00A65B63" w:rsidP="00A65B63">
      <w:pPr>
        <w:tabs>
          <w:tab w:val="right" w:leader="dot" w:pos="7654"/>
          <w:tab w:val="right" w:pos="8929"/>
          <w:tab w:val="right" w:pos="9638"/>
        </w:tabs>
        <w:spacing w:after="120"/>
        <w:ind w:left="1984" w:hanging="425"/>
      </w:pPr>
      <w:r>
        <w:t>4</w:t>
      </w:r>
      <w:r w:rsidRPr="00F31485">
        <w:t>.</w:t>
      </w:r>
      <w:r w:rsidRPr="00F31485">
        <w:tab/>
      </w:r>
      <w:r w:rsidR="007618EC" w:rsidRPr="00867EB6">
        <w:rPr>
          <w:lang w:val="fr-FR"/>
        </w:rPr>
        <w:t>Dimensions de la double coque prévue à l</w:t>
      </w:r>
      <w:r w:rsidR="007618EC">
        <w:rPr>
          <w:lang w:val="fr-FR"/>
        </w:rPr>
        <w:t>’</w:t>
      </w:r>
      <w:r w:rsidR="007618EC" w:rsidRPr="00867EB6">
        <w:rPr>
          <w:lang w:val="fr-FR"/>
        </w:rPr>
        <w:t>alinéa</w:t>
      </w:r>
      <w:r w:rsidR="007618EC">
        <w:rPr>
          <w:lang w:val="fr-FR"/>
        </w:rPr>
        <w:t> </w:t>
      </w:r>
      <w:r w:rsidR="007618EC" w:rsidRPr="00867EB6">
        <w:rPr>
          <w:lang w:val="fr-FR"/>
        </w:rPr>
        <w:t>a) du 9.3.2.11.2</w:t>
      </w:r>
      <w:r w:rsidRPr="00F31485">
        <w:tab/>
      </w:r>
      <w:r w:rsidRPr="00F31485">
        <w:tab/>
      </w:r>
      <w:r w:rsidR="00AF55F5">
        <w:t>41</w:t>
      </w:r>
      <w:r w:rsidRPr="00F31485">
        <w:tab/>
      </w:r>
      <w:r w:rsidR="007618EC">
        <w:t>9</w:t>
      </w:r>
    </w:p>
    <w:p w:rsidR="00A65B63" w:rsidRDefault="00A65B63" w:rsidP="00A65B63">
      <w:pPr>
        <w:tabs>
          <w:tab w:val="right" w:leader="dot" w:pos="7654"/>
          <w:tab w:val="right" w:pos="8929"/>
          <w:tab w:val="right" w:pos="9638"/>
        </w:tabs>
        <w:spacing w:after="120"/>
        <w:ind w:left="1984" w:hanging="425"/>
      </w:pPr>
      <w:r>
        <w:t>5</w:t>
      </w:r>
      <w:r w:rsidRPr="00F31485">
        <w:t>.</w:t>
      </w:r>
      <w:r w:rsidRPr="00F31485">
        <w:tab/>
      </w:r>
      <w:r w:rsidR="007618EC" w:rsidRPr="00867EB6">
        <w:rPr>
          <w:lang w:val="fr-FR"/>
        </w:rPr>
        <w:t>Pont ou pont découvert au 9.3.x.32.2 et au 1.6.7.2.2.2</w:t>
      </w:r>
      <w:r w:rsidRPr="00F31485">
        <w:tab/>
      </w:r>
      <w:r w:rsidRPr="00F31485">
        <w:tab/>
      </w:r>
      <w:r w:rsidR="00AF55F5">
        <w:t>42−43</w:t>
      </w:r>
      <w:r w:rsidRPr="00F31485">
        <w:tab/>
      </w:r>
      <w:r w:rsidR="007618EC">
        <w:t>10</w:t>
      </w:r>
    </w:p>
    <w:p w:rsidR="00A65B63" w:rsidRDefault="00A65B63" w:rsidP="00A65B63">
      <w:pPr>
        <w:tabs>
          <w:tab w:val="right" w:leader="dot" w:pos="7654"/>
          <w:tab w:val="right" w:pos="8929"/>
          <w:tab w:val="right" w:pos="9638"/>
        </w:tabs>
        <w:spacing w:after="120"/>
        <w:ind w:left="1984" w:hanging="425"/>
      </w:pPr>
      <w:r>
        <w:t>6</w:t>
      </w:r>
      <w:r w:rsidRPr="00F31485">
        <w:t>.</w:t>
      </w:r>
      <w:r w:rsidRPr="00F31485">
        <w:tab/>
      </w:r>
      <w:r w:rsidR="007618EC" w:rsidRPr="00867EB6">
        <w:rPr>
          <w:lang w:val="fr-FR"/>
        </w:rPr>
        <w:t>Utilisation du gaz naturel liquéfié (GNL) comme carburant (9.3.1.24.1)</w:t>
      </w:r>
      <w:r w:rsidR="007618EC">
        <w:tab/>
      </w:r>
      <w:r w:rsidR="00AF55F5">
        <w:t>44−45</w:t>
      </w:r>
      <w:r w:rsidRPr="00F31485">
        <w:tab/>
      </w:r>
      <w:r w:rsidR="007618EC">
        <w:t>10</w:t>
      </w:r>
    </w:p>
    <w:p w:rsidR="00A65B63" w:rsidRDefault="00A65B63" w:rsidP="00A65B63">
      <w:pPr>
        <w:tabs>
          <w:tab w:val="right" w:leader="dot" w:pos="7654"/>
          <w:tab w:val="right" w:pos="8929"/>
          <w:tab w:val="right" w:pos="9638"/>
        </w:tabs>
        <w:spacing w:after="120"/>
        <w:ind w:left="1984" w:hanging="425"/>
      </w:pPr>
      <w:r>
        <w:t>7</w:t>
      </w:r>
      <w:r w:rsidRPr="00F31485">
        <w:t>.</w:t>
      </w:r>
      <w:r w:rsidRPr="00F31485">
        <w:tab/>
      </w:r>
      <w:r w:rsidR="007618EC" w:rsidRPr="00867EB6">
        <w:rPr>
          <w:lang w:val="fr-FR"/>
        </w:rPr>
        <w:t>Sous-section 1.6.7.4</w:t>
      </w:r>
      <w:r w:rsidR="007618EC">
        <w:rPr>
          <w:lang w:val="fr-FR"/>
        </w:rPr>
        <w:t> :</w:t>
      </w:r>
      <w:r w:rsidR="007618EC" w:rsidRPr="00867EB6">
        <w:rPr>
          <w:lang w:val="fr-FR"/>
        </w:rPr>
        <w:t xml:space="preserve"> Prescriptions transitoires relatives au transport</w:t>
      </w:r>
      <w:r w:rsidR="007618EC">
        <w:rPr>
          <w:lang w:val="fr-FR"/>
        </w:rPr>
        <w:t xml:space="preserve"> </w:t>
      </w:r>
      <w:r w:rsidR="007618EC">
        <w:rPr>
          <w:lang w:val="fr-FR"/>
        </w:rPr>
        <w:br/>
      </w:r>
      <w:r w:rsidR="007618EC" w:rsidRPr="00867EB6">
        <w:rPr>
          <w:lang w:val="fr-FR"/>
        </w:rPr>
        <w:t>de matières dangereuses pour l</w:t>
      </w:r>
      <w:r w:rsidR="007618EC">
        <w:rPr>
          <w:lang w:val="fr-FR"/>
        </w:rPr>
        <w:t>’</w:t>
      </w:r>
      <w:r w:rsidR="007618EC" w:rsidRPr="00867EB6">
        <w:rPr>
          <w:lang w:val="fr-FR"/>
        </w:rPr>
        <w:t>environnement ou pour la santé</w:t>
      </w:r>
      <w:r w:rsidRPr="00F31485">
        <w:tab/>
      </w:r>
      <w:r w:rsidRPr="00F31485">
        <w:tab/>
      </w:r>
      <w:r w:rsidR="00AF55F5">
        <w:t>46</w:t>
      </w:r>
      <w:r w:rsidRPr="00F31485">
        <w:tab/>
      </w:r>
      <w:r w:rsidR="007618EC">
        <w:t>10</w:t>
      </w:r>
    </w:p>
    <w:p w:rsidR="00A65B63" w:rsidRDefault="00A65B63" w:rsidP="00A65B63">
      <w:pPr>
        <w:tabs>
          <w:tab w:val="right" w:leader="dot" w:pos="7654"/>
          <w:tab w:val="right" w:pos="8929"/>
          <w:tab w:val="right" w:pos="9638"/>
        </w:tabs>
        <w:spacing w:after="120"/>
        <w:ind w:left="1984" w:hanging="425"/>
      </w:pPr>
      <w:r>
        <w:t>8</w:t>
      </w:r>
      <w:r w:rsidRPr="00F31485">
        <w:t>.</w:t>
      </w:r>
      <w:r w:rsidRPr="00F31485">
        <w:tab/>
      </w:r>
      <w:r w:rsidR="007618EC" w:rsidRPr="00867EB6">
        <w:rPr>
          <w:lang w:val="fr-FR"/>
        </w:rPr>
        <w:t>Matériaux de construction</w:t>
      </w:r>
      <w:r w:rsidRPr="00F31485">
        <w:tab/>
      </w:r>
      <w:r w:rsidRPr="00F31485">
        <w:tab/>
      </w:r>
      <w:r w:rsidR="00AF55F5">
        <w:t>47−48</w:t>
      </w:r>
      <w:r w:rsidRPr="00F31485">
        <w:tab/>
      </w:r>
      <w:r w:rsidR="007618EC">
        <w:t>10</w:t>
      </w:r>
    </w:p>
    <w:p w:rsidR="00A65B63" w:rsidRDefault="00A65B63" w:rsidP="00A65B63">
      <w:pPr>
        <w:tabs>
          <w:tab w:val="right" w:leader="dot" w:pos="7654"/>
          <w:tab w:val="right" w:pos="8929"/>
          <w:tab w:val="right" w:pos="9638"/>
        </w:tabs>
        <w:spacing w:after="120"/>
        <w:ind w:left="1984" w:hanging="425"/>
      </w:pPr>
      <w:r>
        <w:t>9</w:t>
      </w:r>
      <w:r w:rsidRPr="00F31485">
        <w:t>.</w:t>
      </w:r>
      <w:r w:rsidRPr="00F31485">
        <w:tab/>
      </w:r>
      <w:r w:rsidR="007618EC" w:rsidRPr="00867EB6">
        <w:rPr>
          <w:lang w:val="fr-FR"/>
        </w:rPr>
        <w:t>Ambiguïtés dans le tableau C</w:t>
      </w:r>
      <w:r w:rsidRPr="00F31485">
        <w:tab/>
      </w:r>
      <w:r w:rsidRPr="00F31485">
        <w:tab/>
      </w:r>
      <w:r w:rsidR="00AF55F5">
        <w:t>49−53</w:t>
      </w:r>
      <w:r w:rsidRPr="00F31485">
        <w:tab/>
      </w:r>
      <w:r w:rsidR="007618EC">
        <w:t>10</w:t>
      </w:r>
    </w:p>
    <w:p w:rsidR="00A65B63" w:rsidRDefault="00A65B63" w:rsidP="00A65B63">
      <w:pPr>
        <w:tabs>
          <w:tab w:val="right" w:leader="dot" w:pos="7654"/>
          <w:tab w:val="right" w:pos="8929"/>
          <w:tab w:val="right" w:pos="9638"/>
        </w:tabs>
        <w:spacing w:after="120"/>
        <w:ind w:left="1984" w:hanging="425"/>
      </w:pPr>
      <w:r w:rsidRPr="00F31485">
        <w:t>1</w:t>
      </w:r>
      <w:r>
        <w:t>0</w:t>
      </w:r>
      <w:r w:rsidRPr="00F31485">
        <w:t>.</w:t>
      </w:r>
      <w:r w:rsidRPr="00F31485">
        <w:tab/>
      </w:r>
      <w:r w:rsidR="007618EC" w:rsidRPr="00867EB6">
        <w:rPr>
          <w:lang w:val="fr-FR"/>
        </w:rPr>
        <w:t>Transport des boues (MARPOL)</w:t>
      </w:r>
      <w:r w:rsidRPr="00F31485">
        <w:tab/>
      </w:r>
      <w:r w:rsidRPr="00F31485">
        <w:tab/>
      </w:r>
      <w:r w:rsidR="00AF55F5">
        <w:t>54−55</w:t>
      </w:r>
      <w:r w:rsidRPr="00F31485">
        <w:tab/>
      </w:r>
      <w:r w:rsidR="007618EC">
        <w:t>11</w:t>
      </w:r>
    </w:p>
    <w:p w:rsidR="00A65B63" w:rsidRDefault="00A65B63" w:rsidP="00A65B63">
      <w:pPr>
        <w:tabs>
          <w:tab w:val="right" w:leader="dot" w:pos="7654"/>
          <w:tab w:val="right" w:pos="8929"/>
          <w:tab w:val="right" w:pos="9638"/>
        </w:tabs>
        <w:spacing w:after="120"/>
        <w:ind w:left="1984" w:hanging="425"/>
      </w:pPr>
      <w:r>
        <w:t>11</w:t>
      </w:r>
      <w:r w:rsidRPr="00F31485">
        <w:t>.</w:t>
      </w:r>
      <w:r w:rsidRPr="00F31485">
        <w:tab/>
      </w:r>
      <w:r w:rsidR="007618EC" w:rsidRPr="00867EB6">
        <w:rPr>
          <w:lang w:val="fr-FR"/>
        </w:rPr>
        <w:t>Systèmes anti-incendie utilisant un agent extinct</w:t>
      </w:r>
      <w:r w:rsidR="007618EC">
        <w:rPr>
          <w:lang w:val="fr-FR"/>
        </w:rPr>
        <w:t xml:space="preserve">eur produisant </w:t>
      </w:r>
      <w:r w:rsidR="007618EC">
        <w:rPr>
          <w:lang w:val="fr-FR"/>
        </w:rPr>
        <w:br/>
        <w:t>un aérosol sec − </w:t>
      </w:r>
      <w:r w:rsidR="007618EC" w:rsidRPr="00867EB6">
        <w:rPr>
          <w:lang w:val="fr-FR"/>
        </w:rPr>
        <w:t>Amendements à la norme ES-TRIN et à l</w:t>
      </w:r>
      <w:r w:rsidR="007618EC">
        <w:rPr>
          <w:lang w:val="fr-FR"/>
        </w:rPr>
        <w:t>’</w:t>
      </w:r>
      <w:r w:rsidR="007618EC" w:rsidRPr="00867EB6">
        <w:rPr>
          <w:lang w:val="fr-FR"/>
        </w:rPr>
        <w:t>ADN</w:t>
      </w:r>
      <w:r w:rsidRPr="00F31485">
        <w:tab/>
      </w:r>
      <w:r w:rsidRPr="00F31485">
        <w:tab/>
      </w:r>
      <w:r w:rsidR="00AF55F5">
        <w:t>56</w:t>
      </w:r>
      <w:r w:rsidRPr="00F31485">
        <w:tab/>
      </w:r>
      <w:r w:rsidR="007618EC">
        <w:t>11</w:t>
      </w:r>
    </w:p>
    <w:p w:rsidR="00A65B63" w:rsidRDefault="00A65B63" w:rsidP="00A65B63">
      <w:pPr>
        <w:tabs>
          <w:tab w:val="right" w:leader="dot" w:pos="7654"/>
          <w:tab w:val="right" w:pos="8929"/>
          <w:tab w:val="right" w:pos="9638"/>
        </w:tabs>
        <w:spacing w:after="120"/>
        <w:ind w:left="1984" w:hanging="425"/>
      </w:pPr>
      <w:r>
        <w:t>12</w:t>
      </w:r>
      <w:r w:rsidRPr="00F31485">
        <w:t>.</w:t>
      </w:r>
      <w:r w:rsidRPr="00F31485">
        <w:tab/>
      </w:r>
      <w:r w:rsidR="007618EC" w:rsidRPr="00867EB6">
        <w:rPr>
          <w:lang w:val="fr-FR"/>
        </w:rPr>
        <w:t xml:space="preserve">Protection contre les explosions pendant le transbordement </w:t>
      </w:r>
      <w:r w:rsidR="007618EC">
        <w:rPr>
          <w:lang w:val="fr-FR"/>
        </w:rPr>
        <w:br/>
      </w:r>
      <w:r w:rsidR="007618EC" w:rsidRPr="00867EB6">
        <w:rPr>
          <w:lang w:val="fr-FR"/>
        </w:rPr>
        <w:t xml:space="preserve">et le transport des matières associées au numéro ONU 3256 </w:t>
      </w:r>
      <w:r w:rsidR="007618EC">
        <w:rPr>
          <w:lang w:val="fr-FR"/>
        </w:rPr>
        <w:br/>
      </w:r>
      <w:r w:rsidR="007618EC" w:rsidRPr="00867EB6">
        <w:rPr>
          <w:lang w:val="fr-FR"/>
        </w:rPr>
        <w:t>chargées alors que leur température est élevée</w:t>
      </w:r>
      <w:r w:rsidRPr="00F31485">
        <w:tab/>
      </w:r>
      <w:r w:rsidRPr="00F31485">
        <w:tab/>
      </w:r>
      <w:r w:rsidR="00AF55F5">
        <w:t>57−60</w:t>
      </w:r>
      <w:r w:rsidRPr="00F31485">
        <w:tab/>
      </w:r>
      <w:r w:rsidR="007618EC">
        <w:t>11</w:t>
      </w:r>
    </w:p>
    <w:p w:rsidR="00A65B63" w:rsidRDefault="00A65B63" w:rsidP="00A65B63">
      <w:pPr>
        <w:tabs>
          <w:tab w:val="right" w:leader="dot" w:pos="7654"/>
          <w:tab w:val="right" w:pos="8929"/>
          <w:tab w:val="right" w:pos="9638"/>
        </w:tabs>
        <w:spacing w:after="120"/>
        <w:ind w:left="1984" w:hanging="425"/>
      </w:pPr>
      <w:r>
        <w:t>13.</w:t>
      </w:r>
      <w:r w:rsidRPr="00F31485">
        <w:tab/>
      </w:r>
      <w:r w:rsidR="007618EC" w:rsidRPr="00867EB6">
        <w:rPr>
          <w:lang w:val="fr-FR"/>
        </w:rPr>
        <w:t>Protection contre les explosions à bord des bateaux-citernes</w:t>
      </w:r>
      <w:r w:rsidRPr="00F31485">
        <w:tab/>
      </w:r>
      <w:r w:rsidRPr="00F31485">
        <w:tab/>
      </w:r>
      <w:r w:rsidR="00AF55F5">
        <w:t>61−65</w:t>
      </w:r>
      <w:r w:rsidRPr="00F31485">
        <w:tab/>
      </w:r>
      <w:r w:rsidR="007618EC">
        <w:t>12</w:t>
      </w:r>
    </w:p>
    <w:p w:rsidR="00A65B63" w:rsidRDefault="00A65B63" w:rsidP="00A65B63">
      <w:pPr>
        <w:tabs>
          <w:tab w:val="right" w:leader="dot" w:pos="7654"/>
          <w:tab w:val="right" w:pos="8929"/>
          <w:tab w:val="right" w:pos="9638"/>
        </w:tabs>
        <w:spacing w:after="120"/>
        <w:ind w:left="1984" w:hanging="425"/>
      </w:pPr>
      <w:r>
        <w:t>14</w:t>
      </w:r>
      <w:r w:rsidRPr="00F31485">
        <w:t>.</w:t>
      </w:r>
      <w:r w:rsidRPr="00F31485">
        <w:tab/>
      </w:r>
      <w:r w:rsidR="007618EC" w:rsidRPr="00867EB6">
        <w:rPr>
          <w:lang w:val="fr-FR"/>
        </w:rPr>
        <w:t xml:space="preserve">Disposition transitoire aux fins de la mise en œuvre du concept </w:t>
      </w:r>
      <w:r w:rsidR="00074BDF">
        <w:rPr>
          <w:lang w:val="fr-FR"/>
        </w:rPr>
        <w:br/>
      </w:r>
      <w:r w:rsidR="007618EC" w:rsidRPr="00867EB6">
        <w:rPr>
          <w:lang w:val="fr-FR"/>
        </w:rPr>
        <w:t xml:space="preserve">modifié pour la protection contre les explosions à bord </w:t>
      </w:r>
      <w:r w:rsidR="00074BDF">
        <w:rPr>
          <w:lang w:val="fr-FR"/>
        </w:rPr>
        <w:br/>
      </w:r>
      <w:r w:rsidR="007618EC" w:rsidRPr="00867EB6">
        <w:rPr>
          <w:lang w:val="fr-FR"/>
        </w:rPr>
        <w:t>des bateaux-citernes</w:t>
      </w:r>
      <w:r w:rsidRPr="00F31485">
        <w:tab/>
      </w:r>
      <w:r w:rsidRPr="00F31485">
        <w:tab/>
      </w:r>
      <w:r w:rsidR="00AF55F5">
        <w:t>66−67</w:t>
      </w:r>
      <w:r w:rsidRPr="00F31485">
        <w:tab/>
      </w:r>
      <w:r w:rsidR="007618EC">
        <w:t>13</w:t>
      </w:r>
    </w:p>
    <w:p w:rsidR="00A65B63" w:rsidRDefault="00A65B63" w:rsidP="00A65B63">
      <w:pPr>
        <w:tabs>
          <w:tab w:val="right" w:leader="dot" w:pos="7654"/>
          <w:tab w:val="right" w:pos="8929"/>
          <w:tab w:val="right" w:pos="9638"/>
        </w:tabs>
        <w:spacing w:after="120"/>
        <w:ind w:left="1984" w:hanging="425"/>
      </w:pPr>
      <w:r>
        <w:t>15</w:t>
      </w:r>
      <w:r w:rsidRPr="00F31485">
        <w:t>.</w:t>
      </w:r>
      <w:r w:rsidRPr="00F31485">
        <w:tab/>
      </w:r>
      <w:r w:rsidR="007618EC" w:rsidRPr="00867EB6">
        <w:rPr>
          <w:lang w:val="fr-FR"/>
        </w:rPr>
        <w:t>Obligations du transporteur</w:t>
      </w:r>
      <w:r w:rsidRPr="00F31485">
        <w:tab/>
      </w:r>
      <w:r w:rsidRPr="00F31485">
        <w:tab/>
      </w:r>
      <w:r w:rsidR="00AF55F5">
        <w:t>68</w:t>
      </w:r>
      <w:r w:rsidRPr="00F31485">
        <w:tab/>
      </w:r>
      <w:r w:rsidR="007618EC">
        <w:t>13</w:t>
      </w:r>
    </w:p>
    <w:p w:rsidR="00A65B63" w:rsidRDefault="00A65B63" w:rsidP="00A65B63">
      <w:pPr>
        <w:tabs>
          <w:tab w:val="right" w:leader="dot" w:pos="7654"/>
          <w:tab w:val="right" w:pos="8929"/>
          <w:tab w:val="right" w:pos="9638"/>
        </w:tabs>
        <w:spacing w:after="120"/>
        <w:ind w:left="1984" w:hanging="425"/>
      </w:pPr>
      <w:r>
        <w:t>16</w:t>
      </w:r>
      <w:r w:rsidRPr="00F31485">
        <w:t>.</w:t>
      </w:r>
      <w:r w:rsidRPr="00F31485">
        <w:tab/>
      </w:r>
      <w:r w:rsidR="007618EC" w:rsidRPr="00867EB6">
        <w:rPr>
          <w:lang w:val="fr-FR"/>
        </w:rPr>
        <w:t>Correction du 5.4.1.1.2</w:t>
      </w:r>
      <w:r w:rsidRPr="00F31485">
        <w:tab/>
      </w:r>
      <w:r w:rsidRPr="00F31485">
        <w:tab/>
      </w:r>
      <w:r w:rsidR="00AF55F5">
        <w:t>69</w:t>
      </w:r>
      <w:r w:rsidRPr="00F31485">
        <w:tab/>
      </w:r>
      <w:r w:rsidR="007618EC">
        <w:t>13</w:t>
      </w:r>
    </w:p>
    <w:p w:rsidR="00A65B63" w:rsidRDefault="00A65B63" w:rsidP="00A65B63">
      <w:pPr>
        <w:tabs>
          <w:tab w:val="right" w:leader="dot" w:pos="7654"/>
          <w:tab w:val="right" w:pos="8929"/>
          <w:tab w:val="right" w:pos="9638"/>
        </w:tabs>
        <w:spacing w:after="120"/>
        <w:ind w:left="1984" w:hanging="425"/>
      </w:pPr>
      <w:r>
        <w:t>17</w:t>
      </w:r>
      <w:r w:rsidRPr="00F31485">
        <w:t>.</w:t>
      </w:r>
      <w:r w:rsidRPr="00F31485">
        <w:tab/>
      </w:r>
      <w:r w:rsidR="007618EC" w:rsidRPr="00867EB6">
        <w:rPr>
          <w:lang w:val="fr-FR"/>
        </w:rPr>
        <w:t>Amélioration de la lisibilité et de l</w:t>
      </w:r>
      <w:r w:rsidR="007618EC">
        <w:rPr>
          <w:lang w:val="fr-FR"/>
        </w:rPr>
        <w:t>’</w:t>
      </w:r>
      <w:r w:rsidR="007618EC" w:rsidRPr="00867EB6">
        <w:rPr>
          <w:lang w:val="fr-FR"/>
        </w:rPr>
        <w:t>utilité de l</w:t>
      </w:r>
      <w:r w:rsidR="007618EC">
        <w:rPr>
          <w:lang w:val="fr-FR"/>
        </w:rPr>
        <w:t>’</w:t>
      </w:r>
      <w:r w:rsidR="007618EC" w:rsidRPr="00867EB6">
        <w:rPr>
          <w:lang w:val="fr-FR"/>
        </w:rPr>
        <w:t>ADN</w:t>
      </w:r>
      <w:r w:rsidRPr="00F31485">
        <w:tab/>
      </w:r>
      <w:r w:rsidRPr="00F31485">
        <w:tab/>
      </w:r>
      <w:r w:rsidR="00AF55F5">
        <w:t>70−72</w:t>
      </w:r>
      <w:r w:rsidRPr="00F31485">
        <w:tab/>
      </w:r>
      <w:r w:rsidR="007618EC">
        <w:t>13</w:t>
      </w:r>
    </w:p>
    <w:p w:rsidR="00A65B63" w:rsidRDefault="00A65B63" w:rsidP="00A65B63">
      <w:pPr>
        <w:tabs>
          <w:tab w:val="right" w:leader="dot" w:pos="7654"/>
          <w:tab w:val="right" w:pos="8929"/>
          <w:tab w:val="right" w:pos="9638"/>
        </w:tabs>
        <w:spacing w:after="120"/>
        <w:ind w:left="1984" w:hanging="425"/>
      </w:pPr>
      <w:r>
        <w:t>18</w:t>
      </w:r>
      <w:r w:rsidRPr="00F31485">
        <w:t>.</w:t>
      </w:r>
      <w:r w:rsidRPr="00F31485">
        <w:tab/>
      </w:r>
      <w:r w:rsidR="007618EC" w:rsidRPr="00867EB6">
        <w:rPr>
          <w:lang w:val="fr-FR"/>
        </w:rPr>
        <w:t xml:space="preserve">Correction de la désignation officielle de transport </w:t>
      </w:r>
      <w:r w:rsidR="007618EC">
        <w:rPr>
          <w:lang w:val="fr-FR"/>
        </w:rPr>
        <w:br/>
      </w:r>
      <w:r w:rsidR="007618EC" w:rsidRPr="00867EB6">
        <w:rPr>
          <w:lang w:val="fr-FR"/>
        </w:rPr>
        <w:t>du numéro ONU 9001</w:t>
      </w:r>
      <w:r w:rsidR="007618EC">
        <w:tab/>
      </w:r>
      <w:r w:rsidR="007618EC">
        <w:tab/>
      </w:r>
      <w:r w:rsidR="00AF55F5">
        <w:t>73</w:t>
      </w:r>
      <w:r w:rsidRPr="00F31485">
        <w:tab/>
      </w:r>
      <w:r w:rsidR="007618EC">
        <w:t>14</w:t>
      </w:r>
    </w:p>
    <w:p w:rsidR="00A65B63" w:rsidRPr="00F31485" w:rsidRDefault="00A65B63" w:rsidP="00A65B63">
      <w:pPr>
        <w:tabs>
          <w:tab w:val="right" w:leader="dot" w:pos="7654"/>
          <w:tab w:val="right" w:pos="8929"/>
          <w:tab w:val="right" w:pos="9638"/>
        </w:tabs>
        <w:spacing w:after="120"/>
        <w:ind w:left="1559" w:hanging="425"/>
      </w:pPr>
      <w:r>
        <w:t>C</w:t>
      </w:r>
      <w:r w:rsidRPr="00F31485">
        <w:t>.</w:t>
      </w:r>
      <w:r w:rsidRPr="00F31485">
        <w:tab/>
      </w:r>
      <w:r w:rsidR="007618EC" w:rsidRPr="00867EB6">
        <w:rPr>
          <w:lang w:val="fr-FR"/>
        </w:rPr>
        <w:t>Vérification des amendements adoptés lors de sessions précédentes</w:t>
      </w:r>
      <w:r w:rsidRPr="00F31485">
        <w:tab/>
      </w:r>
      <w:r w:rsidRPr="00F31485">
        <w:tab/>
      </w:r>
      <w:r w:rsidR="00AF55F5">
        <w:t>74−76</w:t>
      </w:r>
      <w:r w:rsidRPr="00F31485">
        <w:tab/>
      </w:r>
      <w:r w:rsidR="007618EC">
        <w:t>14</w:t>
      </w:r>
    </w:p>
    <w:p w:rsidR="00A65B63" w:rsidRDefault="00A65B63" w:rsidP="00A65B63">
      <w:pPr>
        <w:tabs>
          <w:tab w:val="right" w:leader="dot" w:pos="7654"/>
          <w:tab w:val="right" w:pos="8929"/>
          <w:tab w:val="right" w:pos="9638"/>
        </w:tabs>
        <w:spacing w:after="120"/>
        <w:ind w:left="1984" w:hanging="425"/>
      </w:pPr>
      <w:r w:rsidRPr="00F31485">
        <w:t>1.</w:t>
      </w:r>
      <w:r w:rsidRPr="00F31485">
        <w:tab/>
      </w:r>
      <w:r w:rsidR="007618EC" w:rsidRPr="00867EB6">
        <w:rPr>
          <w:lang w:val="fr-FR"/>
        </w:rPr>
        <w:t>Révision d</w:t>
      </w:r>
      <w:r w:rsidR="007618EC">
        <w:rPr>
          <w:lang w:val="fr-FR"/>
        </w:rPr>
        <w:t>’</w:t>
      </w:r>
      <w:r w:rsidR="007618EC" w:rsidRPr="00867EB6">
        <w:rPr>
          <w:lang w:val="fr-FR"/>
        </w:rPr>
        <w:t>amendements adoptés</w:t>
      </w:r>
      <w:r w:rsidR="007618EC">
        <w:rPr>
          <w:lang w:val="fr-FR"/>
        </w:rPr>
        <w:t> :</w:t>
      </w:r>
      <w:r w:rsidR="007618EC" w:rsidRPr="00867EB6">
        <w:rPr>
          <w:lang w:val="fr-FR"/>
        </w:rPr>
        <w:t xml:space="preserve"> dégazage des citernes à cargaison</w:t>
      </w:r>
      <w:r w:rsidRPr="00F31485">
        <w:tab/>
      </w:r>
      <w:r w:rsidRPr="00F31485">
        <w:tab/>
      </w:r>
      <w:r w:rsidR="00AF55F5">
        <w:t>74</w:t>
      </w:r>
      <w:r w:rsidRPr="00F31485">
        <w:tab/>
      </w:r>
      <w:r w:rsidR="007618EC">
        <w:t>14</w:t>
      </w:r>
    </w:p>
    <w:p w:rsidR="00A65B63" w:rsidRDefault="00A65B63" w:rsidP="00A65B63">
      <w:pPr>
        <w:tabs>
          <w:tab w:val="right" w:leader="dot" w:pos="7654"/>
          <w:tab w:val="right" w:pos="8929"/>
          <w:tab w:val="right" w:pos="9638"/>
        </w:tabs>
        <w:spacing w:after="120"/>
        <w:ind w:left="1984" w:hanging="425"/>
      </w:pPr>
      <w:r>
        <w:t>2</w:t>
      </w:r>
      <w:r w:rsidRPr="00F31485">
        <w:t>.</w:t>
      </w:r>
      <w:r w:rsidRPr="00F31485">
        <w:tab/>
      </w:r>
      <w:r w:rsidR="007618EC" w:rsidRPr="00867EB6">
        <w:rPr>
          <w:lang w:val="fr-FR"/>
        </w:rPr>
        <w:t>Paragraphe 7.2.4.25.5</w:t>
      </w:r>
      <w:r w:rsidRPr="00F31485">
        <w:tab/>
      </w:r>
      <w:r w:rsidRPr="00F31485">
        <w:tab/>
      </w:r>
      <w:r w:rsidR="00AF55F5">
        <w:t>75</w:t>
      </w:r>
      <w:r w:rsidRPr="00F31485">
        <w:tab/>
      </w:r>
      <w:r w:rsidR="007618EC">
        <w:t>14</w:t>
      </w:r>
    </w:p>
    <w:p w:rsidR="00A65B63" w:rsidRDefault="00A65B63" w:rsidP="00A65B63">
      <w:pPr>
        <w:tabs>
          <w:tab w:val="right" w:leader="dot" w:pos="7654"/>
          <w:tab w:val="right" w:pos="8929"/>
          <w:tab w:val="right" w:pos="9638"/>
        </w:tabs>
        <w:spacing w:after="120"/>
        <w:ind w:left="1984" w:hanging="425"/>
      </w:pPr>
      <w:r>
        <w:t>3</w:t>
      </w:r>
      <w:r w:rsidRPr="00F31485">
        <w:t>.</w:t>
      </w:r>
      <w:r w:rsidRPr="00F31485">
        <w:tab/>
      </w:r>
      <w:r w:rsidR="007618EC" w:rsidRPr="00867EB6">
        <w:rPr>
          <w:lang w:val="fr-FR"/>
        </w:rPr>
        <w:t>Propositions d</w:t>
      </w:r>
      <w:r w:rsidR="007618EC">
        <w:rPr>
          <w:lang w:val="fr-FR"/>
        </w:rPr>
        <w:t>’</w:t>
      </w:r>
      <w:r w:rsidR="007618EC" w:rsidRPr="00867EB6">
        <w:rPr>
          <w:lang w:val="fr-FR"/>
        </w:rPr>
        <w:t>amendements au Règlement annexé à l</w:t>
      </w:r>
      <w:r w:rsidR="007618EC">
        <w:rPr>
          <w:lang w:val="fr-FR"/>
        </w:rPr>
        <w:t>’</w:t>
      </w:r>
      <w:r w:rsidR="007618EC" w:rsidRPr="00867EB6">
        <w:rPr>
          <w:lang w:val="fr-FR"/>
        </w:rPr>
        <w:t xml:space="preserve">ADN </w:t>
      </w:r>
      <w:r w:rsidR="007618EC">
        <w:rPr>
          <w:lang w:val="fr-FR"/>
        </w:rPr>
        <w:br/>
      </w:r>
      <w:r w:rsidR="007618EC" w:rsidRPr="00867EB6">
        <w:rPr>
          <w:lang w:val="fr-FR"/>
        </w:rPr>
        <w:t xml:space="preserve">pour </w:t>
      </w:r>
      <w:proofErr w:type="spellStart"/>
      <w:r w:rsidR="007618EC" w:rsidRPr="00867EB6">
        <w:rPr>
          <w:lang w:val="fr-FR"/>
        </w:rPr>
        <w:t>entrée</w:t>
      </w:r>
      <w:proofErr w:type="spellEnd"/>
      <w:r w:rsidR="007618EC" w:rsidRPr="00867EB6">
        <w:rPr>
          <w:lang w:val="fr-FR"/>
        </w:rPr>
        <w:t xml:space="preserve"> en vigueur</w:t>
      </w:r>
      <w:r w:rsidR="007618EC">
        <w:rPr>
          <w:lang w:val="fr-FR"/>
        </w:rPr>
        <w:t xml:space="preserve"> </w:t>
      </w:r>
      <w:r w:rsidR="007618EC" w:rsidRPr="00867EB6">
        <w:rPr>
          <w:lang w:val="fr-FR"/>
        </w:rPr>
        <w:t>le 1</w:t>
      </w:r>
      <w:r w:rsidR="007618EC" w:rsidRPr="00867EB6">
        <w:rPr>
          <w:vertAlign w:val="superscript"/>
          <w:lang w:val="fr-FR"/>
        </w:rPr>
        <w:t>er</w:t>
      </w:r>
      <w:r w:rsidR="007618EC">
        <w:rPr>
          <w:vertAlign w:val="superscript"/>
          <w:lang w:val="fr-FR"/>
        </w:rPr>
        <w:t> </w:t>
      </w:r>
      <w:r w:rsidR="007618EC" w:rsidRPr="00867EB6">
        <w:rPr>
          <w:lang w:val="fr-FR"/>
        </w:rPr>
        <w:t>janvier 2019</w:t>
      </w:r>
      <w:r w:rsidRPr="00F31485">
        <w:tab/>
      </w:r>
      <w:r w:rsidRPr="00F31485">
        <w:tab/>
      </w:r>
      <w:r w:rsidR="00AF55F5">
        <w:t>76</w:t>
      </w:r>
      <w:r w:rsidRPr="00F31485">
        <w:tab/>
      </w:r>
      <w:r w:rsidR="007618EC">
        <w:t>14</w:t>
      </w:r>
    </w:p>
    <w:p w:rsidR="00A65B63" w:rsidRPr="00F31485" w:rsidRDefault="00A65B63" w:rsidP="00A65B63">
      <w:pPr>
        <w:tabs>
          <w:tab w:val="right" w:pos="850"/>
          <w:tab w:val="right" w:leader="dot" w:pos="7654"/>
          <w:tab w:val="right" w:pos="8929"/>
          <w:tab w:val="right" w:pos="9638"/>
        </w:tabs>
        <w:spacing w:after="120"/>
        <w:ind w:left="1134" w:hanging="1134"/>
      </w:pPr>
      <w:r>
        <w:tab/>
        <w:t>VII</w:t>
      </w:r>
      <w:r w:rsidRPr="00F31485">
        <w:t>.</w:t>
      </w:r>
      <w:r w:rsidRPr="00F31485">
        <w:tab/>
      </w:r>
      <w:r w:rsidR="007618EC" w:rsidRPr="00867EB6">
        <w:rPr>
          <w:lang w:val="fr-FR"/>
        </w:rPr>
        <w:t>Rapports des groupes de travail informels</w:t>
      </w:r>
      <w:r w:rsidR="007618EC">
        <w:rPr>
          <w:lang w:val="fr-FR"/>
        </w:rPr>
        <w:t xml:space="preserve"> </w:t>
      </w:r>
      <w:r w:rsidR="007618EC" w:rsidRPr="00867EB6">
        <w:rPr>
          <w:lang w:val="fr-FR"/>
        </w:rPr>
        <w:t>(point 6 de l</w:t>
      </w:r>
      <w:r w:rsidR="007618EC">
        <w:rPr>
          <w:lang w:val="fr-FR"/>
        </w:rPr>
        <w:t>’</w:t>
      </w:r>
      <w:r w:rsidR="007618EC" w:rsidRPr="00867EB6">
        <w:rPr>
          <w:lang w:val="fr-FR"/>
        </w:rPr>
        <w:t>ordre du jour)</w:t>
      </w:r>
      <w:r w:rsidRPr="00F31485">
        <w:tab/>
      </w:r>
      <w:r w:rsidRPr="00F31485">
        <w:tab/>
      </w:r>
      <w:r w:rsidR="00AF55F5">
        <w:t>77−82</w:t>
      </w:r>
      <w:r w:rsidRPr="00F31485">
        <w:tab/>
      </w:r>
      <w:r w:rsidR="007618EC">
        <w:t>14</w:t>
      </w:r>
    </w:p>
    <w:p w:rsidR="00A65B63" w:rsidRDefault="00A65B63" w:rsidP="00A65B63">
      <w:pPr>
        <w:tabs>
          <w:tab w:val="right" w:leader="dot" w:pos="7654"/>
          <w:tab w:val="right" w:pos="8929"/>
          <w:tab w:val="right" w:pos="9638"/>
        </w:tabs>
        <w:spacing w:after="120"/>
        <w:ind w:left="1984" w:hanging="425"/>
      </w:pPr>
      <w:r w:rsidRPr="00F31485">
        <w:t>A.</w:t>
      </w:r>
      <w:r w:rsidRPr="00F31485">
        <w:tab/>
      </w:r>
      <w:r w:rsidR="007618EC" w:rsidRPr="00867EB6">
        <w:rPr>
          <w:lang w:val="fr-FR"/>
        </w:rPr>
        <w:t>Rapport de la première réunion du groupe de travail informel</w:t>
      </w:r>
      <w:r w:rsidR="007618EC">
        <w:rPr>
          <w:lang w:val="fr-FR"/>
        </w:rPr>
        <w:t xml:space="preserve"> </w:t>
      </w:r>
      <w:r w:rsidR="007618EC">
        <w:rPr>
          <w:lang w:val="fr-FR"/>
        </w:rPr>
        <w:br/>
      </w:r>
      <w:r w:rsidR="007618EC" w:rsidRPr="00867EB6">
        <w:rPr>
          <w:lang w:val="fr-FR"/>
        </w:rPr>
        <w:t>du mélange de cargaisons à bord des barges</w:t>
      </w:r>
      <w:r w:rsidRPr="00F31485">
        <w:tab/>
      </w:r>
      <w:r w:rsidRPr="00F31485">
        <w:tab/>
      </w:r>
      <w:r w:rsidR="00AF55F5">
        <w:t>77−81</w:t>
      </w:r>
      <w:r w:rsidRPr="00F31485">
        <w:tab/>
      </w:r>
      <w:r w:rsidR="007618EC">
        <w:t>14</w:t>
      </w:r>
    </w:p>
    <w:p w:rsidR="00A65B63" w:rsidRDefault="00A65B63" w:rsidP="00A65B63">
      <w:pPr>
        <w:tabs>
          <w:tab w:val="right" w:leader="dot" w:pos="7654"/>
          <w:tab w:val="right" w:pos="8929"/>
          <w:tab w:val="right" w:pos="9638"/>
        </w:tabs>
        <w:spacing w:after="120"/>
        <w:ind w:left="1984" w:hanging="425"/>
      </w:pPr>
      <w:r>
        <w:t>B</w:t>
      </w:r>
      <w:r w:rsidRPr="00F31485">
        <w:t>.</w:t>
      </w:r>
      <w:r w:rsidRPr="00F31485">
        <w:tab/>
      </w:r>
      <w:r w:rsidR="007618EC" w:rsidRPr="00867EB6">
        <w:rPr>
          <w:lang w:val="fr-FR"/>
        </w:rPr>
        <w:t xml:space="preserve">Quatorzième réunion du groupe de travail informel des sociétés </w:t>
      </w:r>
      <w:r w:rsidR="007618EC">
        <w:rPr>
          <w:lang w:val="fr-FR"/>
        </w:rPr>
        <w:br/>
      </w:r>
      <w:r w:rsidR="007618EC" w:rsidRPr="00867EB6">
        <w:rPr>
          <w:lang w:val="fr-FR"/>
        </w:rPr>
        <w:t>de classification recommandées ADN</w:t>
      </w:r>
      <w:r w:rsidRPr="00F31485">
        <w:tab/>
      </w:r>
      <w:r w:rsidRPr="00F31485">
        <w:tab/>
      </w:r>
      <w:r w:rsidR="00AF55F5">
        <w:t>82</w:t>
      </w:r>
      <w:r w:rsidRPr="00F31485">
        <w:tab/>
      </w:r>
      <w:r w:rsidR="007618EC">
        <w:t>15</w:t>
      </w:r>
    </w:p>
    <w:p w:rsidR="00A65B63" w:rsidRDefault="00A65B63" w:rsidP="00A65B63">
      <w:pPr>
        <w:tabs>
          <w:tab w:val="right" w:pos="850"/>
          <w:tab w:val="right" w:leader="dot" w:pos="7654"/>
          <w:tab w:val="right" w:pos="8929"/>
          <w:tab w:val="right" w:pos="9638"/>
        </w:tabs>
        <w:spacing w:after="120"/>
        <w:ind w:left="1134" w:hanging="1134"/>
      </w:pPr>
      <w:r>
        <w:tab/>
        <w:t>VIII</w:t>
      </w:r>
      <w:r w:rsidRPr="00F31485">
        <w:t>.</w:t>
      </w:r>
      <w:r w:rsidRPr="00F31485">
        <w:tab/>
      </w:r>
      <w:r w:rsidR="007618EC" w:rsidRPr="00867EB6">
        <w:rPr>
          <w:lang w:val="fr-FR"/>
        </w:rPr>
        <w:t>Programme de travail et calendrier des réunions</w:t>
      </w:r>
      <w:r w:rsidR="007618EC">
        <w:rPr>
          <w:lang w:val="fr-FR"/>
        </w:rPr>
        <w:t xml:space="preserve"> </w:t>
      </w:r>
      <w:r w:rsidR="007618EC" w:rsidRPr="00867EB6">
        <w:rPr>
          <w:lang w:val="fr-FR"/>
        </w:rPr>
        <w:t>(point 7 de l</w:t>
      </w:r>
      <w:r w:rsidR="007618EC">
        <w:rPr>
          <w:lang w:val="fr-FR"/>
        </w:rPr>
        <w:t>’</w:t>
      </w:r>
      <w:r w:rsidR="008674EC">
        <w:rPr>
          <w:lang w:val="fr-FR"/>
        </w:rPr>
        <w:t>ordre du</w:t>
      </w:r>
      <w:r w:rsidR="007618EC" w:rsidRPr="00867EB6">
        <w:rPr>
          <w:lang w:val="fr-FR"/>
        </w:rPr>
        <w:t xml:space="preserve"> jour)</w:t>
      </w:r>
      <w:r w:rsidRPr="00F31485">
        <w:tab/>
      </w:r>
      <w:r w:rsidRPr="00F31485">
        <w:tab/>
      </w:r>
      <w:r w:rsidR="00AF55F5">
        <w:t>83−84</w:t>
      </w:r>
      <w:r w:rsidRPr="00F31485">
        <w:tab/>
      </w:r>
      <w:r w:rsidR="007618EC">
        <w:t>15</w:t>
      </w:r>
    </w:p>
    <w:p w:rsidR="00A65B63" w:rsidRDefault="00A65B63" w:rsidP="00A65B63">
      <w:pPr>
        <w:tabs>
          <w:tab w:val="right" w:pos="850"/>
          <w:tab w:val="right" w:leader="dot" w:pos="7654"/>
          <w:tab w:val="right" w:pos="8929"/>
          <w:tab w:val="right" w:pos="9638"/>
        </w:tabs>
        <w:spacing w:after="120"/>
        <w:ind w:left="1134" w:hanging="1134"/>
      </w:pPr>
      <w:r>
        <w:tab/>
        <w:t>IX</w:t>
      </w:r>
      <w:r w:rsidRPr="00F31485">
        <w:t>.</w:t>
      </w:r>
      <w:r w:rsidRPr="00F31485">
        <w:tab/>
      </w:r>
      <w:r w:rsidR="007618EC" w:rsidRPr="00867EB6">
        <w:rPr>
          <w:lang w:val="fr-FR"/>
        </w:rPr>
        <w:t>Questions diverses (point 8 de l</w:t>
      </w:r>
      <w:r w:rsidR="007618EC">
        <w:rPr>
          <w:lang w:val="fr-FR"/>
        </w:rPr>
        <w:t>’</w:t>
      </w:r>
      <w:r w:rsidR="007618EC" w:rsidRPr="00867EB6">
        <w:rPr>
          <w:lang w:val="fr-FR"/>
        </w:rPr>
        <w:t>ordre du jour)</w:t>
      </w:r>
      <w:r w:rsidRPr="00F31485">
        <w:tab/>
      </w:r>
      <w:r w:rsidRPr="00F31485">
        <w:tab/>
      </w:r>
      <w:r w:rsidR="00AF55F5">
        <w:t>85</w:t>
      </w:r>
      <w:r w:rsidRPr="00F31485">
        <w:tab/>
      </w:r>
      <w:r w:rsidR="007618EC">
        <w:t>15</w:t>
      </w:r>
    </w:p>
    <w:p w:rsidR="00A65B63" w:rsidRPr="00F31485" w:rsidRDefault="00A65B63" w:rsidP="00A65B63">
      <w:pPr>
        <w:tabs>
          <w:tab w:val="right" w:pos="850"/>
          <w:tab w:val="right" w:leader="dot" w:pos="7654"/>
          <w:tab w:val="right" w:pos="8929"/>
          <w:tab w:val="right" w:pos="9638"/>
        </w:tabs>
        <w:spacing w:after="120"/>
        <w:ind w:left="1134" w:hanging="1134"/>
      </w:pPr>
      <w:r>
        <w:tab/>
        <w:t>X</w:t>
      </w:r>
      <w:r w:rsidRPr="00F31485">
        <w:t>.</w:t>
      </w:r>
      <w:r w:rsidRPr="00F31485">
        <w:tab/>
      </w:r>
      <w:r w:rsidR="007618EC" w:rsidRPr="00867EB6">
        <w:rPr>
          <w:lang w:val="fr-FR"/>
        </w:rPr>
        <w:t>Adoption du rapport (point 9 de l</w:t>
      </w:r>
      <w:r w:rsidR="007618EC">
        <w:rPr>
          <w:lang w:val="fr-FR"/>
        </w:rPr>
        <w:t>’</w:t>
      </w:r>
      <w:r w:rsidR="007618EC" w:rsidRPr="00867EB6">
        <w:rPr>
          <w:lang w:val="fr-FR"/>
        </w:rPr>
        <w:t>ordre du jour)</w:t>
      </w:r>
      <w:r w:rsidRPr="00F31485">
        <w:tab/>
      </w:r>
      <w:r w:rsidRPr="00F31485">
        <w:tab/>
      </w:r>
      <w:r w:rsidR="00AF55F5">
        <w:t>86</w:t>
      </w:r>
      <w:r w:rsidRPr="00F31485">
        <w:tab/>
      </w:r>
      <w:r w:rsidR="007618EC">
        <w:t>15</w:t>
      </w:r>
    </w:p>
    <w:p w:rsidR="00F77ECC" w:rsidRPr="00867EB6" w:rsidRDefault="00A65B63" w:rsidP="007829D5">
      <w:pPr>
        <w:pStyle w:val="HChG"/>
        <w:rPr>
          <w:lang w:val="fr-FR"/>
        </w:rPr>
      </w:pPr>
      <w:r>
        <w:br w:type="page"/>
      </w:r>
      <w:r w:rsidR="00F77ECC" w:rsidRPr="00867EB6">
        <w:rPr>
          <w:lang w:val="fr-FR"/>
        </w:rPr>
        <w:lastRenderedPageBreak/>
        <w:tab/>
        <w:t>I.</w:t>
      </w:r>
      <w:r w:rsidR="00F77ECC" w:rsidRPr="00867EB6">
        <w:rPr>
          <w:lang w:val="fr-FR"/>
        </w:rPr>
        <w:tab/>
        <w:t>Participation</w:t>
      </w:r>
      <w:bookmarkStart w:id="5" w:name="_Toc505688400"/>
      <w:bookmarkEnd w:id="5"/>
    </w:p>
    <w:p w:rsidR="00F77ECC" w:rsidRPr="00867EB6" w:rsidRDefault="00F77ECC" w:rsidP="007829D5">
      <w:pPr>
        <w:pStyle w:val="SingleTxtG"/>
        <w:rPr>
          <w:lang w:val="fr-FR"/>
        </w:rPr>
      </w:pPr>
      <w:r w:rsidRPr="00867EB6">
        <w:rPr>
          <w:lang w:val="fr-FR"/>
        </w:rPr>
        <w:t>1.</w:t>
      </w:r>
      <w:r w:rsidRPr="00867EB6">
        <w:rPr>
          <w:lang w:val="fr-FR"/>
        </w:rPr>
        <w:tab/>
        <w:t>La Réunion commune d</w:t>
      </w:r>
      <w:r>
        <w:rPr>
          <w:lang w:val="fr-FR"/>
        </w:rPr>
        <w:t>’</w:t>
      </w:r>
      <w:r w:rsidRPr="00867EB6">
        <w:rPr>
          <w:lang w:val="fr-FR"/>
        </w:rPr>
        <w:t>experts sur le Règlement annexé à l</w:t>
      </w:r>
      <w:r>
        <w:rPr>
          <w:lang w:val="fr-FR"/>
        </w:rPr>
        <w:t>’</w:t>
      </w:r>
      <w:r w:rsidRPr="00867EB6">
        <w:rPr>
          <w:lang w:val="fr-FR"/>
        </w:rPr>
        <w:t>Accord européen relatif au transport international des marchandises dangereuses par voies de navigation intérieures (ADN) (Comité de sécurité de l</w:t>
      </w:r>
      <w:r>
        <w:rPr>
          <w:lang w:val="fr-FR"/>
        </w:rPr>
        <w:t>’</w:t>
      </w:r>
      <w:r w:rsidRPr="00867EB6">
        <w:rPr>
          <w:lang w:val="fr-FR"/>
        </w:rPr>
        <w:t>ADN) a tenu sa trente-deuxième session à Genève du 22 au 26</w:t>
      </w:r>
      <w:r w:rsidR="00112211">
        <w:rPr>
          <w:lang w:val="fr-FR"/>
        </w:rPr>
        <w:t> </w:t>
      </w:r>
      <w:r w:rsidRPr="00867EB6">
        <w:rPr>
          <w:lang w:val="fr-FR"/>
        </w:rPr>
        <w:t>janvier 2018. Des représentants des pays suivants ont pris part aux travaux de cette session</w:t>
      </w:r>
      <w:r w:rsidR="00112211">
        <w:rPr>
          <w:lang w:val="fr-FR"/>
        </w:rPr>
        <w:t> </w:t>
      </w:r>
      <w:r>
        <w:rPr>
          <w:lang w:val="fr-FR"/>
        </w:rPr>
        <w:t>:</w:t>
      </w:r>
      <w:r w:rsidRPr="00867EB6">
        <w:rPr>
          <w:lang w:val="fr-FR"/>
        </w:rPr>
        <w:t xml:space="preserve"> Allemagne, Autriche, Belgique, Fédération de R</w:t>
      </w:r>
      <w:r w:rsidR="00112211">
        <w:rPr>
          <w:lang w:val="fr-FR"/>
        </w:rPr>
        <w:t>ussie, France, Luxembourg, Pays</w:t>
      </w:r>
      <w:r w:rsidR="00112211">
        <w:rPr>
          <w:lang w:val="fr-FR"/>
        </w:rPr>
        <w:noBreakHyphen/>
      </w:r>
      <w:r w:rsidRPr="00867EB6">
        <w:rPr>
          <w:lang w:val="fr-FR"/>
        </w:rPr>
        <w:t>Bas, Roumanie, Serbie, Slovaquie, Suisse et Ukraine. Étaient représentées les organisations intergouvernementales ci-après</w:t>
      </w:r>
      <w:r w:rsidR="00112211">
        <w:rPr>
          <w:lang w:val="fr-FR"/>
        </w:rPr>
        <w:t> </w:t>
      </w:r>
      <w:r>
        <w:rPr>
          <w:lang w:val="fr-FR"/>
        </w:rPr>
        <w:t>:</w:t>
      </w:r>
      <w:r w:rsidRPr="00867EB6">
        <w:rPr>
          <w:lang w:val="fr-FR"/>
        </w:rPr>
        <w:t xml:space="preserve"> la Commission centrale pour la navigation du Rhin (CCNR), la Commission du Danube (CD) et l</w:t>
      </w:r>
      <w:r>
        <w:rPr>
          <w:lang w:val="fr-FR"/>
        </w:rPr>
        <w:t>’</w:t>
      </w:r>
      <w:r w:rsidRPr="00867EB6">
        <w:rPr>
          <w:lang w:val="fr-FR"/>
        </w:rPr>
        <w:t>Union européenne. Les</w:t>
      </w:r>
      <w:r w:rsidR="00DE72AA">
        <w:rPr>
          <w:lang w:val="fr-FR"/>
        </w:rPr>
        <w:t> </w:t>
      </w:r>
      <w:r w:rsidRPr="00867EB6">
        <w:rPr>
          <w:lang w:val="fr-FR"/>
        </w:rPr>
        <w:t>organisations non gouvernementales suivantes étaient également représentées</w:t>
      </w:r>
      <w:r w:rsidR="00DE72AA">
        <w:rPr>
          <w:lang w:val="fr-FR"/>
        </w:rPr>
        <w:t> </w:t>
      </w:r>
      <w:r>
        <w:rPr>
          <w:lang w:val="fr-FR"/>
        </w:rPr>
        <w:t>:</w:t>
      </w:r>
      <w:r w:rsidRPr="00867EB6">
        <w:rPr>
          <w:lang w:val="fr-FR"/>
        </w:rPr>
        <w:t xml:space="preserve"> Comité international de prévention des accidents du travail de la navigation intérieure (CIPA), Conseil européen de l</w:t>
      </w:r>
      <w:r>
        <w:rPr>
          <w:lang w:val="fr-FR"/>
        </w:rPr>
        <w:t>’</w:t>
      </w:r>
      <w:r w:rsidRPr="00867EB6">
        <w:rPr>
          <w:lang w:val="fr-FR"/>
        </w:rPr>
        <w:t xml:space="preserve">industrie chimique (CEFIC), </w:t>
      </w:r>
      <w:proofErr w:type="spellStart"/>
      <w:r w:rsidRPr="00867EB6">
        <w:rPr>
          <w:lang w:val="fr-FR"/>
        </w:rPr>
        <w:t>European</w:t>
      </w:r>
      <w:proofErr w:type="spellEnd"/>
      <w:r w:rsidRPr="00867EB6">
        <w:rPr>
          <w:lang w:val="fr-FR"/>
        </w:rPr>
        <w:t xml:space="preserve"> Bulk </w:t>
      </w:r>
      <w:proofErr w:type="spellStart"/>
      <w:r w:rsidRPr="00867EB6">
        <w:rPr>
          <w:lang w:val="fr-FR"/>
        </w:rPr>
        <w:t>Oil</w:t>
      </w:r>
      <w:proofErr w:type="spellEnd"/>
      <w:r w:rsidRPr="00867EB6">
        <w:rPr>
          <w:lang w:val="fr-FR"/>
        </w:rPr>
        <w:t xml:space="preserve"> Traders</w:t>
      </w:r>
      <w:r>
        <w:rPr>
          <w:lang w:val="fr-FR"/>
        </w:rPr>
        <w:t>’</w:t>
      </w:r>
      <w:r w:rsidRPr="00867EB6">
        <w:rPr>
          <w:lang w:val="fr-FR"/>
        </w:rPr>
        <w:t xml:space="preserve"> Association (EBOTA), </w:t>
      </w:r>
      <w:proofErr w:type="spellStart"/>
      <w:r w:rsidRPr="00867EB6">
        <w:rPr>
          <w:lang w:val="fr-FR"/>
        </w:rPr>
        <w:t>Federation</w:t>
      </w:r>
      <w:proofErr w:type="spellEnd"/>
      <w:r w:rsidRPr="00867EB6">
        <w:rPr>
          <w:lang w:val="fr-FR"/>
        </w:rPr>
        <w:t xml:space="preserve"> of </w:t>
      </w:r>
      <w:proofErr w:type="spellStart"/>
      <w:r w:rsidRPr="00867EB6">
        <w:rPr>
          <w:lang w:val="fr-FR"/>
        </w:rPr>
        <w:t>European</w:t>
      </w:r>
      <w:proofErr w:type="spellEnd"/>
      <w:r w:rsidRPr="00867EB6">
        <w:rPr>
          <w:lang w:val="fr-FR"/>
        </w:rPr>
        <w:t xml:space="preserve"> Tank Storage Associations (FETSA), </w:t>
      </w:r>
      <w:proofErr w:type="spellStart"/>
      <w:r w:rsidRPr="00867EB6">
        <w:rPr>
          <w:lang w:val="fr-FR"/>
        </w:rPr>
        <w:t>FuelsEurope</w:t>
      </w:r>
      <w:proofErr w:type="spellEnd"/>
      <w:r w:rsidRPr="00867EB6">
        <w:rPr>
          <w:lang w:val="fr-FR"/>
        </w:rPr>
        <w:t>, Organisation européenne des bateliers (OEB), sociétés de classification recommandées ADN et Union européenne de navigation fluviale (UENF).</w:t>
      </w:r>
    </w:p>
    <w:p w:rsidR="00F77ECC" w:rsidRPr="00867EB6" w:rsidRDefault="00F77ECC" w:rsidP="007829D5">
      <w:pPr>
        <w:pStyle w:val="HChG"/>
        <w:rPr>
          <w:lang w:val="fr-FR"/>
        </w:rPr>
      </w:pPr>
      <w:r w:rsidRPr="00867EB6">
        <w:rPr>
          <w:lang w:val="fr-FR"/>
        </w:rPr>
        <w:tab/>
        <w:t>II.</w:t>
      </w:r>
      <w:r w:rsidRPr="00867EB6">
        <w:rPr>
          <w:lang w:val="fr-FR"/>
        </w:rPr>
        <w:tab/>
        <w:t>Adoption de l</w:t>
      </w:r>
      <w:r>
        <w:rPr>
          <w:lang w:val="fr-FR"/>
        </w:rPr>
        <w:t>’</w:t>
      </w:r>
      <w:r w:rsidRPr="00867EB6">
        <w:rPr>
          <w:lang w:val="fr-FR"/>
        </w:rPr>
        <w:t>ordre du jour (point 1 de l</w:t>
      </w:r>
      <w:r>
        <w:rPr>
          <w:lang w:val="fr-FR"/>
        </w:rPr>
        <w:t>’</w:t>
      </w:r>
      <w:r w:rsidRPr="00867EB6">
        <w:rPr>
          <w:lang w:val="fr-FR"/>
        </w:rPr>
        <w:t>ordre du jour)</w:t>
      </w:r>
      <w:bookmarkStart w:id="6" w:name="_Toc505688401"/>
      <w:bookmarkEnd w:id="6"/>
    </w:p>
    <w:p w:rsidR="00F77ECC" w:rsidRPr="00867EB6" w:rsidRDefault="00F77ECC" w:rsidP="007829D5">
      <w:pPr>
        <w:pStyle w:val="SingleTxtG"/>
        <w:tabs>
          <w:tab w:val="left" w:pos="3119"/>
        </w:tabs>
        <w:rPr>
          <w:lang w:val="fr-FR"/>
        </w:rPr>
      </w:pPr>
      <w:r w:rsidRPr="00867EB6">
        <w:rPr>
          <w:i/>
          <w:lang w:val="fr-FR"/>
        </w:rPr>
        <w:t>Document</w:t>
      </w:r>
      <w:r w:rsidR="00D42E5D">
        <w:rPr>
          <w:i/>
          <w:lang w:val="fr-FR"/>
        </w:rPr>
        <w:t>(</w:t>
      </w:r>
      <w:r w:rsidRPr="00867EB6">
        <w:rPr>
          <w:i/>
          <w:lang w:val="fr-FR"/>
        </w:rPr>
        <w:t>s</w:t>
      </w:r>
      <w:r w:rsidR="00D42E5D">
        <w:rPr>
          <w:i/>
          <w:lang w:val="fr-FR"/>
        </w:rPr>
        <w:t>)</w:t>
      </w:r>
      <w:r w:rsidR="007829D5">
        <w:rPr>
          <w:i/>
          <w:lang w:val="fr-FR"/>
        </w:rPr>
        <w:t> </w:t>
      </w:r>
      <w:r>
        <w:rPr>
          <w:lang w:val="fr-FR"/>
        </w:rPr>
        <w:t>:</w:t>
      </w:r>
      <w:r w:rsidR="007829D5">
        <w:rPr>
          <w:lang w:val="fr-FR"/>
        </w:rPr>
        <w:tab/>
      </w:r>
      <w:r w:rsidRPr="00867EB6">
        <w:rPr>
          <w:lang w:val="fr-FR"/>
        </w:rPr>
        <w:t>ECE/TRANS/WP.15/AC.2/65 et Add.1 (secrétariat).</w:t>
      </w:r>
    </w:p>
    <w:p w:rsidR="00F77ECC" w:rsidRPr="00867EB6" w:rsidRDefault="00F77ECC" w:rsidP="007829D5">
      <w:pPr>
        <w:pStyle w:val="SingleTxtG"/>
        <w:tabs>
          <w:tab w:val="left" w:pos="3119"/>
        </w:tabs>
        <w:rPr>
          <w:lang w:val="fr-FR"/>
        </w:rPr>
      </w:pPr>
      <w:r w:rsidRPr="00867EB6">
        <w:rPr>
          <w:i/>
          <w:lang w:val="fr-FR"/>
        </w:rPr>
        <w:t>Document informel</w:t>
      </w:r>
      <w:r w:rsidR="007829D5">
        <w:rPr>
          <w:i/>
          <w:lang w:val="fr-FR"/>
        </w:rPr>
        <w:t> </w:t>
      </w:r>
      <w:r w:rsidRPr="007829D5">
        <w:rPr>
          <w:lang w:val="fr-FR"/>
        </w:rPr>
        <w:t>:</w:t>
      </w:r>
      <w:r w:rsidRPr="00867EB6">
        <w:rPr>
          <w:lang w:val="fr-FR"/>
        </w:rPr>
        <w:tab/>
        <w:t>INF.1 (secrétariat).</w:t>
      </w:r>
    </w:p>
    <w:p w:rsidR="00F77ECC" w:rsidRPr="00867EB6" w:rsidRDefault="00F77ECC" w:rsidP="00D42E5D">
      <w:pPr>
        <w:pStyle w:val="SingleTxtG"/>
        <w:rPr>
          <w:lang w:val="fr-FR"/>
        </w:rPr>
      </w:pPr>
      <w:r w:rsidRPr="00867EB6">
        <w:rPr>
          <w:lang w:val="fr-FR"/>
        </w:rPr>
        <w:t>2.</w:t>
      </w:r>
      <w:r w:rsidRPr="00867EB6">
        <w:rPr>
          <w:lang w:val="fr-FR"/>
        </w:rPr>
        <w:tab/>
        <w:t>Le Comité de sécurité a adopté l</w:t>
      </w:r>
      <w:r>
        <w:rPr>
          <w:lang w:val="fr-FR"/>
        </w:rPr>
        <w:t>’</w:t>
      </w:r>
      <w:r w:rsidRPr="00867EB6">
        <w:rPr>
          <w:lang w:val="fr-FR"/>
        </w:rPr>
        <w:t>ordre du jour établi par le secrétariat, tel que modifié par le document informel INF.1 pour tenir compte des d</w:t>
      </w:r>
      <w:r w:rsidR="00112211">
        <w:rPr>
          <w:lang w:val="fr-FR"/>
        </w:rPr>
        <w:t>ocuments informels INF.1 à INF.</w:t>
      </w:r>
      <w:r w:rsidRPr="00867EB6">
        <w:rPr>
          <w:lang w:val="fr-FR"/>
        </w:rPr>
        <w:t>31.</w:t>
      </w:r>
    </w:p>
    <w:p w:rsidR="00F77ECC" w:rsidRPr="00867EB6" w:rsidRDefault="00F77ECC" w:rsidP="00D42E5D">
      <w:pPr>
        <w:pStyle w:val="HChG"/>
        <w:rPr>
          <w:lang w:val="fr-FR"/>
        </w:rPr>
      </w:pPr>
      <w:r w:rsidRPr="00867EB6">
        <w:rPr>
          <w:lang w:val="fr-FR"/>
        </w:rPr>
        <w:tab/>
        <w:t>III.</w:t>
      </w:r>
      <w:r w:rsidRPr="00867EB6">
        <w:rPr>
          <w:lang w:val="fr-FR"/>
        </w:rPr>
        <w:tab/>
        <w:t>Élection du bureau pour 2018 (point 2 de l</w:t>
      </w:r>
      <w:r>
        <w:rPr>
          <w:lang w:val="fr-FR"/>
        </w:rPr>
        <w:t>’</w:t>
      </w:r>
      <w:r w:rsidRPr="00867EB6">
        <w:rPr>
          <w:lang w:val="fr-FR"/>
        </w:rPr>
        <w:t>ordre du jour)</w:t>
      </w:r>
      <w:bookmarkStart w:id="7" w:name="_Toc505688402"/>
      <w:bookmarkEnd w:id="7"/>
    </w:p>
    <w:p w:rsidR="00F77ECC" w:rsidRPr="00867EB6" w:rsidRDefault="00F77ECC" w:rsidP="00D42E5D">
      <w:pPr>
        <w:pStyle w:val="SingleTxtG"/>
        <w:rPr>
          <w:lang w:val="fr-FR"/>
        </w:rPr>
      </w:pPr>
      <w:r w:rsidRPr="00867EB6">
        <w:rPr>
          <w:lang w:val="fr-FR"/>
        </w:rPr>
        <w:t>3.</w:t>
      </w:r>
      <w:r w:rsidRPr="00867EB6">
        <w:rPr>
          <w:lang w:val="fr-FR"/>
        </w:rPr>
        <w:tab/>
        <w:t>Sur proposition des représentants du Luxembourg et de la Suisse, le Comité de sécurité a élu M.</w:t>
      </w:r>
      <w:r w:rsidR="00112211">
        <w:rPr>
          <w:lang w:val="fr-FR"/>
        </w:rPr>
        <w:t> </w:t>
      </w:r>
      <w:r w:rsidRPr="00867EB6">
        <w:rPr>
          <w:lang w:val="fr-FR"/>
        </w:rPr>
        <w:t>H.</w:t>
      </w:r>
      <w:r w:rsidR="00112211">
        <w:rPr>
          <w:lang w:val="fr-FR"/>
        </w:rPr>
        <w:t> </w:t>
      </w:r>
      <w:r w:rsidRPr="00867EB6">
        <w:rPr>
          <w:lang w:val="fr-FR"/>
        </w:rPr>
        <w:t>Rein (Allemagne) Président et MM.</w:t>
      </w:r>
      <w:r w:rsidR="00112211">
        <w:rPr>
          <w:lang w:val="fr-FR"/>
        </w:rPr>
        <w:t> </w:t>
      </w:r>
      <w:r w:rsidRPr="00867EB6">
        <w:rPr>
          <w:lang w:val="fr-FR"/>
        </w:rPr>
        <w:t>B.</w:t>
      </w:r>
      <w:r w:rsidR="00112211">
        <w:rPr>
          <w:lang w:val="fr-FR"/>
        </w:rPr>
        <w:t> </w:t>
      </w:r>
      <w:proofErr w:type="spellStart"/>
      <w:r w:rsidRPr="00867EB6">
        <w:rPr>
          <w:lang w:val="fr-FR"/>
        </w:rPr>
        <w:t>Birklhuber</w:t>
      </w:r>
      <w:proofErr w:type="spellEnd"/>
      <w:r w:rsidRPr="00867EB6">
        <w:rPr>
          <w:lang w:val="fr-FR"/>
        </w:rPr>
        <w:t xml:space="preserve"> (Autriche) et H.</w:t>
      </w:r>
      <w:r w:rsidR="00112211">
        <w:rPr>
          <w:lang w:val="fr-FR"/>
        </w:rPr>
        <w:t> </w:t>
      </w:r>
      <w:proofErr w:type="spellStart"/>
      <w:r w:rsidRPr="00867EB6">
        <w:rPr>
          <w:lang w:val="fr-FR"/>
        </w:rPr>
        <w:t>Langenberg</w:t>
      </w:r>
      <w:proofErr w:type="spellEnd"/>
      <w:r w:rsidRPr="00867EB6">
        <w:rPr>
          <w:lang w:val="fr-FR"/>
        </w:rPr>
        <w:t xml:space="preserve"> (Pays-Bas) Vice-Présidents pour ses sessions de 2018.</w:t>
      </w:r>
    </w:p>
    <w:p w:rsidR="00F77ECC" w:rsidRPr="00867EB6" w:rsidRDefault="00F77ECC" w:rsidP="00D42E5D">
      <w:pPr>
        <w:pStyle w:val="HChG"/>
        <w:rPr>
          <w:lang w:val="fr-FR"/>
        </w:rPr>
      </w:pPr>
      <w:r w:rsidRPr="00867EB6">
        <w:rPr>
          <w:lang w:val="fr-FR"/>
        </w:rPr>
        <w:tab/>
        <w:t>IV.</w:t>
      </w:r>
      <w:r w:rsidRPr="00867EB6">
        <w:rPr>
          <w:lang w:val="fr-FR"/>
        </w:rPr>
        <w:tab/>
        <w:t>Questions découlant des travaux d</w:t>
      </w:r>
      <w:r>
        <w:rPr>
          <w:lang w:val="fr-FR"/>
        </w:rPr>
        <w:t>’</w:t>
      </w:r>
      <w:r w:rsidRPr="00867EB6">
        <w:rPr>
          <w:lang w:val="fr-FR"/>
        </w:rPr>
        <w:t>organes des Nations Unies ou d</w:t>
      </w:r>
      <w:r>
        <w:rPr>
          <w:lang w:val="fr-FR"/>
        </w:rPr>
        <w:t>’</w:t>
      </w:r>
      <w:r w:rsidRPr="00867EB6">
        <w:rPr>
          <w:lang w:val="fr-FR"/>
        </w:rPr>
        <w:t>autres organisations (point 3 de l</w:t>
      </w:r>
      <w:r>
        <w:rPr>
          <w:lang w:val="fr-FR"/>
        </w:rPr>
        <w:t>’</w:t>
      </w:r>
      <w:r w:rsidRPr="00867EB6">
        <w:rPr>
          <w:lang w:val="fr-FR"/>
        </w:rPr>
        <w:t>ordre du jour)</w:t>
      </w:r>
      <w:bookmarkStart w:id="8" w:name="_Toc505688403"/>
      <w:bookmarkEnd w:id="8"/>
    </w:p>
    <w:p w:rsidR="00F77ECC" w:rsidRPr="00867EB6" w:rsidRDefault="00F77ECC" w:rsidP="00D42E5D">
      <w:pPr>
        <w:pStyle w:val="SingleTxtG"/>
        <w:rPr>
          <w:lang w:val="fr-FR"/>
        </w:rPr>
      </w:pPr>
      <w:r w:rsidRPr="00867EB6">
        <w:rPr>
          <w:lang w:val="fr-FR"/>
        </w:rPr>
        <w:t>4.</w:t>
      </w:r>
      <w:r w:rsidRPr="00867EB6">
        <w:rPr>
          <w:lang w:val="fr-FR"/>
        </w:rPr>
        <w:tab/>
        <w:t>Le représentant de la Commission du Danube a informé le Comité de sécurité qu</w:t>
      </w:r>
      <w:r>
        <w:rPr>
          <w:lang w:val="fr-FR"/>
        </w:rPr>
        <w:t>’</w:t>
      </w:r>
      <w:r w:rsidRPr="00867EB6">
        <w:rPr>
          <w:lang w:val="fr-FR"/>
        </w:rPr>
        <w:t>à l</w:t>
      </w:r>
      <w:r>
        <w:rPr>
          <w:lang w:val="fr-FR"/>
        </w:rPr>
        <w:t>’</w:t>
      </w:r>
      <w:r w:rsidRPr="00867EB6">
        <w:rPr>
          <w:lang w:val="fr-FR"/>
        </w:rPr>
        <w:t>occasion du soixante-dixième anniversaire de la Commission, une réunion ministérielle se tiendrait à Belgrade le 29</w:t>
      </w:r>
      <w:r w:rsidR="00112211">
        <w:rPr>
          <w:lang w:val="fr-FR"/>
        </w:rPr>
        <w:t> </w:t>
      </w:r>
      <w:r w:rsidRPr="00867EB6">
        <w:rPr>
          <w:lang w:val="fr-FR"/>
        </w:rPr>
        <w:t>juin 2018.</w:t>
      </w:r>
    </w:p>
    <w:p w:rsidR="00F77ECC" w:rsidRPr="00867EB6" w:rsidRDefault="00F77ECC" w:rsidP="00D42E5D">
      <w:pPr>
        <w:pStyle w:val="SingleTxtG"/>
        <w:rPr>
          <w:lang w:val="fr-FR"/>
        </w:rPr>
      </w:pPr>
      <w:r w:rsidRPr="00867EB6">
        <w:rPr>
          <w:lang w:val="fr-FR"/>
        </w:rPr>
        <w:t>5.</w:t>
      </w:r>
      <w:r w:rsidRPr="00867EB6">
        <w:rPr>
          <w:lang w:val="fr-FR"/>
        </w:rPr>
        <w:tab/>
        <w:t>S</w:t>
      </w:r>
      <w:r>
        <w:rPr>
          <w:lang w:val="fr-FR"/>
        </w:rPr>
        <w:t>’</w:t>
      </w:r>
      <w:r w:rsidRPr="00867EB6">
        <w:rPr>
          <w:lang w:val="fr-FR"/>
        </w:rPr>
        <w:t>agissant de l</w:t>
      </w:r>
      <w:r>
        <w:rPr>
          <w:lang w:val="fr-FR"/>
        </w:rPr>
        <w:t>’</w:t>
      </w:r>
      <w:r w:rsidRPr="00867EB6">
        <w:rPr>
          <w:lang w:val="fr-FR"/>
        </w:rPr>
        <w:t>élaboration d</w:t>
      </w:r>
      <w:r>
        <w:rPr>
          <w:lang w:val="fr-FR"/>
        </w:rPr>
        <w:t>’</w:t>
      </w:r>
      <w:r w:rsidRPr="00867EB6">
        <w:rPr>
          <w:lang w:val="fr-FR"/>
        </w:rPr>
        <w:t>un manuel et d</w:t>
      </w:r>
      <w:r>
        <w:rPr>
          <w:lang w:val="fr-FR"/>
        </w:rPr>
        <w:t>’</w:t>
      </w:r>
      <w:r w:rsidRPr="00867EB6">
        <w:rPr>
          <w:lang w:val="fr-FR"/>
        </w:rPr>
        <w:t>un catalogue de questions pour la formation des conseillers à la sécurité (voir les paragraphes 17 à 19 du rapport du Comité de sécurité sur sa trente et unième session, document ECE/TRANS/WP.15/AC.2/64), il a informé le Comité que ces activités avaient été suspendues pour l</w:t>
      </w:r>
      <w:r>
        <w:rPr>
          <w:lang w:val="fr-FR"/>
        </w:rPr>
        <w:t>’</w:t>
      </w:r>
      <w:r w:rsidRPr="00867EB6">
        <w:rPr>
          <w:lang w:val="fr-FR"/>
        </w:rPr>
        <w:t>heure et qu</w:t>
      </w:r>
      <w:r>
        <w:rPr>
          <w:lang w:val="fr-FR"/>
        </w:rPr>
        <w:t>’</w:t>
      </w:r>
      <w:r w:rsidRPr="00867EB6">
        <w:rPr>
          <w:lang w:val="fr-FR"/>
        </w:rPr>
        <w:t>elles reprendraient une fois qu</w:t>
      </w:r>
      <w:r>
        <w:rPr>
          <w:lang w:val="fr-FR"/>
        </w:rPr>
        <w:t>’</w:t>
      </w:r>
      <w:r w:rsidRPr="00867EB6">
        <w:rPr>
          <w:lang w:val="fr-FR"/>
        </w:rPr>
        <w:t>un consensus plus large aurait été trouvé.</w:t>
      </w:r>
    </w:p>
    <w:p w:rsidR="00F77ECC" w:rsidRPr="00867EB6" w:rsidRDefault="00F77ECC" w:rsidP="00D42E5D">
      <w:pPr>
        <w:pStyle w:val="SingleTxtG"/>
        <w:tabs>
          <w:tab w:val="left" w:pos="3119"/>
        </w:tabs>
        <w:rPr>
          <w:lang w:val="fr-FR"/>
        </w:rPr>
      </w:pPr>
      <w:r w:rsidRPr="00867EB6">
        <w:rPr>
          <w:i/>
          <w:lang w:val="fr-FR"/>
        </w:rPr>
        <w:t>Document informel</w:t>
      </w:r>
      <w:r w:rsidR="00D42E5D">
        <w:rPr>
          <w:i/>
          <w:lang w:val="fr-FR"/>
        </w:rPr>
        <w:t> </w:t>
      </w:r>
      <w:r>
        <w:rPr>
          <w:lang w:val="fr-FR"/>
        </w:rPr>
        <w:t>:</w:t>
      </w:r>
      <w:r w:rsidRPr="00867EB6">
        <w:rPr>
          <w:lang w:val="fr-FR"/>
        </w:rPr>
        <w:tab/>
        <w:t>INF.15 (secrétariat).</w:t>
      </w:r>
    </w:p>
    <w:p w:rsidR="00F77ECC" w:rsidRPr="00867EB6" w:rsidRDefault="00F77ECC" w:rsidP="00D42E5D">
      <w:pPr>
        <w:pStyle w:val="SingleTxtG"/>
        <w:rPr>
          <w:lang w:val="fr-FR"/>
        </w:rPr>
      </w:pPr>
      <w:r w:rsidRPr="00867EB6">
        <w:rPr>
          <w:lang w:val="fr-FR"/>
        </w:rPr>
        <w:t>6.</w:t>
      </w:r>
      <w:r w:rsidRPr="00867EB6">
        <w:rPr>
          <w:lang w:val="fr-FR"/>
        </w:rPr>
        <w:tab/>
        <w:t>Le Comité de sécurité a pris note des informations relatives à la Conférence ministérielle internationale sur la navigation intérieure qui se tiendrait à Wrocław (Pologne) les 18 et 19</w:t>
      </w:r>
      <w:r w:rsidR="00112211">
        <w:rPr>
          <w:lang w:val="fr-FR"/>
        </w:rPr>
        <w:t> </w:t>
      </w:r>
      <w:r w:rsidRPr="00867EB6">
        <w:rPr>
          <w:lang w:val="fr-FR"/>
        </w:rPr>
        <w:t xml:space="preserve">avril 2018. </w:t>
      </w:r>
    </w:p>
    <w:p w:rsidR="00F77ECC" w:rsidRPr="00867EB6" w:rsidRDefault="00F77ECC" w:rsidP="00D42E5D">
      <w:pPr>
        <w:pStyle w:val="SingleTxtG"/>
        <w:rPr>
          <w:lang w:val="fr-FR"/>
        </w:rPr>
      </w:pPr>
      <w:r w:rsidRPr="00867EB6">
        <w:rPr>
          <w:lang w:val="fr-FR"/>
        </w:rPr>
        <w:t>7.</w:t>
      </w:r>
      <w:r w:rsidRPr="00867EB6">
        <w:rPr>
          <w:lang w:val="fr-FR"/>
        </w:rPr>
        <w:tab/>
        <w:t>Le Comité de sécurité a noté également que le Groupe de travail des transports par voie navigable (SC.3) avait adopté des amendements à l</w:t>
      </w:r>
      <w:r>
        <w:rPr>
          <w:lang w:val="fr-FR"/>
        </w:rPr>
        <w:t>’</w:t>
      </w:r>
      <w:r w:rsidRPr="00867EB6">
        <w:rPr>
          <w:lang w:val="fr-FR"/>
        </w:rPr>
        <w:t>Accord européen sur les grandes voies navigables d</w:t>
      </w:r>
      <w:r>
        <w:rPr>
          <w:lang w:val="fr-FR"/>
        </w:rPr>
        <w:t>’</w:t>
      </w:r>
      <w:r w:rsidRPr="00867EB6">
        <w:rPr>
          <w:lang w:val="fr-FR"/>
        </w:rPr>
        <w:t>importance internationale (AGN) et au Code européen des voies de navigation intérieure</w:t>
      </w:r>
      <w:r w:rsidR="008674EC">
        <w:rPr>
          <w:lang w:val="fr-FR"/>
        </w:rPr>
        <w:t>s</w:t>
      </w:r>
      <w:r w:rsidRPr="00867EB6">
        <w:rPr>
          <w:lang w:val="fr-FR"/>
        </w:rPr>
        <w:t xml:space="preserve"> (CEVNI) et avait commencé à examiner un projet de chapitre contenant des dispositions spéciales applicables aux bateaux munis de systèmes de </w:t>
      </w:r>
      <w:r w:rsidRPr="00867EB6">
        <w:rPr>
          <w:lang w:val="fr-FR"/>
        </w:rPr>
        <w:lastRenderedPageBreak/>
        <w:t>propulsion ou de systèmes auxiliaires utilisant des combustibles dont le point d</w:t>
      </w:r>
      <w:r>
        <w:rPr>
          <w:lang w:val="fr-FR"/>
        </w:rPr>
        <w:t>’</w:t>
      </w:r>
      <w:r w:rsidRPr="00867EB6">
        <w:rPr>
          <w:lang w:val="fr-FR"/>
        </w:rPr>
        <w:t>éclair est égal ou inférieur à 55</w:t>
      </w:r>
      <w:r w:rsidR="00112211">
        <w:rPr>
          <w:lang w:val="fr-FR"/>
        </w:rPr>
        <w:t> </w:t>
      </w:r>
      <w:r w:rsidRPr="00867EB6">
        <w:rPr>
          <w:lang w:val="fr-FR"/>
        </w:rPr>
        <w:t>°C, ainsi qu</w:t>
      </w:r>
      <w:r>
        <w:rPr>
          <w:lang w:val="fr-FR"/>
        </w:rPr>
        <w:t>’</w:t>
      </w:r>
      <w:r w:rsidRPr="00867EB6">
        <w:rPr>
          <w:lang w:val="fr-FR"/>
        </w:rPr>
        <w:t>un nouvel appendice.</w:t>
      </w:r>
      <w:bookmarkStart w:id="9" w:name="_Hlk505709283"/>
      <w:bookmarkEnd w:id="9"/>
    </w:p>
    <w:p w:rsidR="00F77ECC" w:rsidRPr="00867EB6" w:rsidRDefault="00F77ECC" w:rsidP="00D42E5D">
      <w:pPr>
        <w:pStyle w:val="SingleTxtG"/>
        <w:rPr>
          <w:lang w:val="fr-FR"/>
        </w:rPr>
      </w:pPr>
      <w:r w:rsidRPr="00867EB6">
        <w:rPr>
          <w:lang w:val="fr-FR"/>
        </w:rPr>
        <w:t>8.</w:t>
      </w:r>
      <w:r w:rsidRPr="00867EB6">
        <w:rPr>
          <w:lang w:val="fr-FR"/>
        </w:rPr>
        <w:tab/>
        <w:t>Enfin, le Comité a noté que la version russe de l</w:t>
      </w:r>
      <w:r>
        <w:rPr>
          <w:lang w:val="fr-FR"/>
        </w:rPr>
        <w:t>’</w:t>
      </w:r>
      <w:r w:rsidRPr="00867EB6">
        <w:rPr>
          <w:lang w:val="fr-FR"/>
        </w:rPr>
        <w:t>édition 2015 du Standard européen établissant les prescriptions techniques des bateaux de navigation intérieure (ES-TRIN) de la Commission européenne était désormais disponible et que le secrétariat du SC.3 avait l</w:t>
      </w:r>
      <w:r>
        <w:rPr>
          <w:lang w:val="fr-FR"/>
        </w:rPr>
        <w:t>’</w:t>
      </w:r>
      <w:r w:rsidRPr="00867EB6">
        <w:rPr>
          <w:lang w:val="fr-FR"/>
        </w:rPr>
        <w:t>intention d</w:t>
      </w:r>
      <w:r>
        <w:rPr>
          <w:lang w:val="fr-FR"/>
        </w:rPr>
        <w:t>’</w:t>
      </w:r>
      <w:r w:rsidRPr="00867EB6">
        <w:rPr>
          <w:lang w:val="fr-FR"/>
        </w:rPr>
        <w:t>entamer la traduction de l</w:t>
      </w:r>
      <w:r>
        <w:rPr>
          <w:lang w:val="fr-FR"/>
        </w:rPr>
        <w:t>’</w:t>
      </w:r>
      <w:r w:rsidRPr="00867EB6">
        <w:rPr>
          <w:lang w:val="fr-FR"/>
        </w:rPr>
        <w:t xml:space="preserve">édition 2017 du Standard en 2018. </w:t>
      </w:r>
    </w:p>
    <w:p w:rsidR="00F77ECC" w:rsidRPr="00867EB6" w:rsidRDefault="00F77ECC" w:rsidP="00D42E5D">
      <w:pPr>
        <w:pStyle w:val="HChG"/>
        <w:rPr>
          <w:lang w:val="fr-FR"/>
        </w:rPr>
      </w:pPr>
      <w:r w:rsidRPr="00867EB6">
        <w:rPr>
          <w:lang w:val="fr-FR"/>
        </w:rPr>
        <w:tab/>
        <w:t>V.</w:t>
      </w:r>
      <w:r w:rsidRPr="00867EB6">
        <w:rPr>
          <w:lang w:val="fr-FR"/>
        </w:rPr>
        <w:tab/>
        <w:t>Mise en œuvre de l</w:t>
      </w:r>
      <w:r>
        <w:rPr>
          <w:lang w:val="fr-FR"/>
        </w:rPr>
        <w:t>’</w:t>
      </w:r>
      <w:r w:rsidRPr="00867EB6">
        <w:rPr>
          <w:lang w:val="fr-FR"/>
        </w:rPr>
        <w:t xml:space="preserve">Accord européen relatif au transport international des marchandises dangereuses par voies </w:t>
      </w:r>
      <w:r w:rsidR="00D42E5D">
        <w:rPr>
          <w:lang w:val="fr-FR"/>
        </w:rPr>
        <w:br/>
      </w:r>
      <w:r w:rsidRPr="00867EB6">
        <w:rPr>
          <w:lang w:val="fr-FR"/>
        </w:rPr>
        <w:t>de navigation intérieures (ADN) (point 4 de l</w:t>
      </w:r>
      <w:r>
        <w:rPr>
          <w:lang w:val="fr-FR"/>
        </w:rPr>
        <w:t>’</w:t>
      </w:r>
      <w:r w:rsidRPr="00867EB6">
        <w:rPr>
          <w:lang w:val="fr-FR"/>
        </w:rPr>
        <w:t>ordre du jour)</w:t>
      </w:r>
      <w:bookmarkStart w:id="10" w:name="_Toc505688404"/>
      <w:bookmarkEnd w:id="10"/>
    </w:p>
    <w:p w:rsidR="00F77ECC" w:rsidRPr="00867EB6" w:rsidRDefault="00D42E5D" w:rsidP="00D42E5D">
      <w:pPr>
        <w:pStyle w:val="H1G"/>
        <w:rPr>
          <w:lang w:val="fr-FR"/>
        </w:rPr>
      </w:pPr>
      <w:r>
        <w:rPr>
          <w:lang w:val="fr-FR"/>
        </w:rPr>
        <w:tab/>
        <w:t>A.</w:t>
      </w:r>
      <w:r w:rsidR="00F77ECC" w:rsidRPr="00867EB6">
        <w:rPr>
          <w:lang w:val="fr-FR"/>
        </w:rPr>
        <w:tab/>
        <w:t>État de l</w:t>
      </w:r>
      <w:r w:rsidR="00F77ECC">
        <w:rPr>
          <w:lang w:val="fr-FR"/>
        </w:rPr>
        <w:t>’</w:t>
      </w:r>
      <w:r w:rsidR="00F77ECC" w:rsidRPr="00867EB6">
        <w:rPr>
          <w:lang w:val="fr-FR"/>
        </w:rPr>
        <w:t>ADN</w:t>
      </w:r>
      <w:bookmarkStart w:id="11" w:name="_Toc505688405"/>
      <w:bookmarkEnd w:id="11"/>
    </w:p>
    <w:p w:rsidR="00F77ECC" w:rsidRPr="00867EB6" w:rsidRDefault="00F77ECC" w:rsidP="00D42E5D">
      <w:pPr>
        <w:pStyle w:val="SingleTxtG"/>
        <w:rPr>
          <w:lang w:val="fr-FR"/>
        </w:rPr>
      </w:pPr>
      <w:r w:rsidRPr="00867EB6">
        <w:rPr>
          <w:lang w:val="fr-FR"/>
        </w:rPr>
        <w:t>9.</w:t>
      </w:r>
      <w:r w:rsidRPr="00867EB6">
        <w:rPr>
          <w:lang w:val="fr-FR"/>
        </w:rPr>
        <w:tab/>
        <w:t>Le Comité de sécurité a noté que l</w:t>
      </w:r>
      <w:r>
        <w:rPr>
          <w:lang w:val="fr-FR"/>
        </w:rPr>
        <w:t>’</w:t>
      </w:r>
      <w:r w:rsidRPr="00867EB6">
        <w:rPr>
          <w:lang w:val="fr-FR"/>
        </w:rPr>
        <w:t>Accord ne comptait pas de nouvelles Parties contractantes. Le nombre de celles-ci s</w:t>
      </w:r>
      <w:r>
        <w:rPr>
          <w:lang w:val="fr-FR"/>
        </w:rPr>
        <w:t>’</w:t>
      </w:r>
      <w:r w:rsidRPr="00867EB6">
        <w:rPr>
          <w:lang w:val="fr-FR"/>
        </w:rPr>
        <w:t>élevait donc toujours à 18.</w:t>
      </w:r>
    </w:p>
    <w:p w:rsidR="00F77ECC" w:rsidRPr="00867EB6" w:rsidRDefault="00F77ECC" w:rsidP="00D42E5D">
      <w:pPr>
        <w:pStyle w:val="H1G"/>
        <w:rPr>
          <w:lang w:val="fr-FR"/>
        </w:rPr>
      </w:pPr>
      <w:r w:rsidRPr="00867EB6">
        <w:rPr>
          <w:lang w:val="fr-FR"/>
        </w:rPr>
        <w:tab/>
        <w:t>B.</w:t>
      </w:r>
      <w:r w:rsidRPr="00867EB6">
        <w:rPr>
          <w:lang w:val="fr-FR"/>
        </w:rPr>
        <w:tab/>
        <w:t>Autorisations spéciales, dérogations et équivalences</w:t>
      </w:r>
      <w:bookmarkStart w:id="12" w:name="_Toc505688406"/>
      <w:bookmarkEnd w:id="12"/>
    </w:p>
    <w:p w:rsidR="00F77ECC" w:rsidRPr="00867EB6" w:rsidRDefault="00F77ECC" w:rsidP="00D42E5D">
      <w:pPr>
        <w:pStyle w:val="H23G"/>
        <w:rPr>
          <w:lang w:val="fr-FR"/>
        </w:rPr>
      </w:pPr>
      <w:r w:rsidRPr="00867EB6">
        <w:rPr>
          <w:lang w:val="fr-FR"/>
        </w:rPr>
        <w:tab/>
      </w:r>
      <w:r w:rsidRPr="00867EB6">
        <w:rPr>
          <w:lang w:val="fr-FR"/>
        </w:rPr>
        <w:tab/>
        <w:t>Dérogation temporaire relative à l</w:t>
      </w:r>
      <w:r>
        <w:rPr>
          <w:lang w:val="fr-FR"/>
        </w:rPr>
        <w:t>’</w:t>
      </w:r>
      <w:r w:rsidRPr="00867EB6">
        <w:rPr>
          <w:lang w:val="fr-FR"/>
        </w:rPr>
        <w:t>utilisation à bord du bateau-citerne</w:t>
      </w:r>
      <w:r>
        <w:rPr>
          <w:lang w:val="fr-FR"/>
        </w:rPr>
        <w:t xml:space="preserve"> </w:t>
      </w:r>
      <w:r w:rsidR="00D42E5D">
        <w:rPr>
          <w:lang w:val="fr-FR"/>
        </w:rPr>
        <w:br/>
      </w:r>
      <w:r>
        <w:rPr>
          <w:lang w:val="fr-FR"/>
        </w:rPr>
        <w:t>«</w:t>
      </w:r>
      <w:r w:rsidR="00D42E5D">
        <w:rPr>
          <w:lang w:val="fr-FR"/>
        </w:rPr>
        <w:t> </w:t>
      </w:r>
      <w:r w:rsidRPr="00867EB6">
        <w:rPr>
          <w:lang w:val="fr-FR"/>
        </w:rPr>
        <w:t>Marconi</w:t>
      </w:r>
      <w:r w:rsidR="00D42E5D">
        <w:rPr>
          <w:lang w:val="fr-FR"/>
        </w:rPr>
        <w:t> </w:t>
      </w:r>
      <w:r>
        <w:rPr>
          <w:lang w:val="fr-FR"/>
        </w:rPr>
        <w:t>»</w:t>
      </w:r>
      <w:r w:rsidRPr="00867EB6">
        <w:rPr>
          <w:lang w:val="fr-FR"/>
        </w:rPr>
        <w:t xml:space="preserve"> d</w:t>
      </w:r>
      <w:r>
        <w:rPr>
          <w:lang w:val="fr-FR"/>
        </w:rPr>
        <w:t>’</w:t>
      </w:r>
      <w:r w:rsidRPr="00867EB6">
        <w:rPr>
          <w:lang w:val="fr-FR"/>
        </w:rPr>
        <w:t>une installation d</w:t>
      </w:r>
      <w:r>
        <w:rPr>
          <w:lang w:val="fr-FR"/>
        </w:rPr>
        <w:t>’</w:t>
      </w:r>
      <w:r w:rsidRPr="00867EB6">
        <w:rPr>
          <w:lang w:val="fr-FR"/>
        </w:rPr>
        <w:t>extinction d</w:t>
      </w:r>
      <w:r>
        <w:rPr>
          <w:lang w:val="fr-FR"/>
        </w:rPr>
        <w:t>’</w:t>
      </w:r>
      <w:r w:rsidRPr="00867EB6">
        <w:rPr>
          <w:lang w:val="fr-FR"/>
        </w:rPr>
        <w:t xml:space="preserve">incendie avec agent </w:t>
      </w:r>
      <w:r w:rsidR="00D42E5D">
        <w:rPr>
          <w:lang w:val="fr-FR"/>
        </w:rPr>
        <w:br/>
      </w:r>
      <w:r w:rsidRPr="00867EB6">
        <w:rPr>
          <w:lang w:val="fr-FR"/>
        </w:rPr>
        <w:t>extincteur formant un aérosol sec</w:t>
      </w:r>
      <w:bookmarkStart w:id="13" w:name="_Toc505688407"/>
      <w:bookmarkEnd w:id="13"/>
    </w:p>
    <w:p w:rsidR="00F77ECC" w:rsidRPr="00867EB6" w:rsidRDefault="00F77ECC" w:rsidP="00D42E5D">
      <w:pPr>
        <w:pStyle w:val="SingleTxtG"/>
        <w:tabs>
          <w:tab w:val="left" w:pos="3119"/>
        </w:tabs>
        <w:rPr>
          <w:lang w:val="fr-FR"/>
        </w:rPr>
      </w:pPr>
      <w:r w:rsidRPr="00867EB6">
        <w:rPr>
          <w:i/>
          <w:lang w:val="fr-FR"/>
        </w:rPr>
        <w:t>Documents informels</w:t>
      </w:r>
      <w:r w:rsidR="00D42E5D">
        <w:rPr>
          <w:i/>
          <w:lang w:val="fr-FR"/>
        </w:rPr>
        <w:t> </w:t>
      </w:r>
      <w:r>
        <w:rPr>
          <w:lang w:val="fr-FR"/>
        </w:rPr>
        <w:t>:</w:t>
      </w:r>
      <w:r w:rsidR="00D42E5D">
        <w:rPr>
          <w:lang w:val="fr-FR"/>
        </w:rPr>
        <w:t xml:space="preserve"> </w:t>
      </w:r>
      <w:r w:rsidR="00D42E5D">
        <w:rPr>
          <w:lang w:val="fr-FR"/>
        </w:rPr>
        <w:tab/>
      </w:r>
      <w:r w:rsidRPr="00867EB6">
        <w:rPr>
          <w:lang w:val="fr-FR"/>
        </w:rPr>
        <w:t>INF.22 et INF.22/Add.1 (Serbie).</w:t>
      </w:r>
    </w:p>
    <w:p w:rsidR="00F77ECC" w:rsidRPr="00867EB6" w:rsidRDefault="00F77ECC" w:rsidP="00D42E5D">
      <w:pPr>
        <w:pStyle w:val="SingleTxtG"/>
        <w:rPr>
          <w:snapToGrid w:val="0"/>
          <w:lang w:val="fr-FR"/>
        </w:rPr>
      </w:pPr>
      <w:r w:rsidRPr="00867EB6">
        <w:rPr>
          <w:lang w:val="fr-FR"/>
        </w:rPr>
        <w:t>10.</w:t>
      </w:r>
      <w:r w:rsidRPr="00867EB6">
        <w:rPr>
          <w:lang w:val="fr-FR"/>
        </w:rPr>
        <w:tab/>
        <w:t>Le Comité de sécurité a recommandé au Comité d</w:t>
      </w:r>
      <w:r>
        <w:rPr>
          <w:lang w:val="fr-FR"/>
        </w:rPr>
        <w:t>’</w:t>
      </w:r>
      <w:r w:rsidRPr="00867EB6">
        <w:rPr>
          <w:lang w:val="fr-FR"/>
        </w:rPr>
        <w:t>administration d</w:t>
      </w:r>
      <w:r>
        <w:rPr>
          <w:lang w:val="fr-FR"/>
        </w:rPr>
        <w:t>’</w:t>
      </w:r>
      <w:r w:rsidRPr="00867EB6">
        <w:rPr>
          <w:lang w:val="fr-FR"/>
        </w:rPr>
        <w:t xml:space="preserve">adopter une décision de dérogation temporaire pour le bateau-citerne </w:t>
      </w:r>
      <w:r>
        <w:rPr>
          <w:lang w:val="fr-FR"/>
        </w:rPr>
        <w:t>«</w:t>
      </w:r>
      <w:r w:rsidR="00D42E5D">
        <w:rPr>
          <w:lang w:val="fr-FR"/>
        </w:rPr>
        <w:t> </w:t>
      </w:r>
      <w:r w:rsidRPr="00867EB6">
        <w:rPr>
          <w:lang w:val="fr-FR"/>
        </w:rPr>
        <w:t>Marconi</w:t>
      </w:r>
      <w:r w:rsidR="00D42E5D">
        <w:rPr>
          <w:lang w:val="fr-FR"/>
        </w:rPr>
        <w:t> </w:t>
      </w:r>
      <w:r>
        <w:rPr>
          <w:lang w:val="fr-FR"/>
        </w:rPr>
        <w:t>»</w:t>
      </w:r>
      <w:r w:rsidRPr="00867EB6">
        <w:rPr>
          <w:lang w:val="fr-FR"/>
        </w:rPr>
        <w:t>, telle que présentée dans le document INF.22/Add.1, lui permettant d</w:t>
      </w:r>
      <w:r>
        <w:rPr>
          <w:lang w:val="fr-FR"/>
        </w:rPr>
        <w:t>’</w:t>
      </w:r>
      <w:r w:rsidRPr="00867EB6">
        <w:rPr>
          <w:lang w:val="fr-FR"/>
        </w:rPr>
        <w:t>utiliser une installation d</w:t>
      </w:r>
      <w:r>
        <w:rPr>
          <w:lang w:val="fr-FR"/>
        </w:rPr>
        <w:t>’</w:t>
      </w:r>
      <w:r w:rsidRPr="00867EB6">
        <w:rPr>
          <w:lang w:val="fr-FR"/>
        </w:rPr>
        <w:t>extinction d</w:t>
      </w:r>
      <w:r>
        <w:rPr>
          <w:lang w:val="fr-FR"/>
        </w:rPr>
        <w:t>’</w:t>
      </w:r>
      <w:r w:rsidRPr="00867EB6">
        <w:rPr>
          <w:lang w:val="fr-FR"/>
        </w:rPr>
        <w:t>incendie avec agent extincteur formant un aérosol sec (</w:t>
      </w:r>
      <w:proofErr w:type="spellStart"/>
      <w:r w:rsidRPr="00867EB6">
        <w:rPr>
          <w:lang w:val="fr-FR"/>
        </w:rPr>
        <w:t>Fire</w:t>
      </w:r>
      <w:proofErr w:type="spellEnd"/>
      <w:r w:rsidRPr="00867EB6">
        <w:rPr>
          <w:lang w:val="fr-FR"/>
        </w:rPr>
        <w:t xml:space="preserve"> Pro).</w:t>
      </w:r>
    </w:p>
    <w:p w:rsidR="00F77ECC" w:rsidRPr="00867EB6" w:rsidRDefault="00F77ECC" w:rsidP="00D42E5D">
      <w:pPr>
        <w:pStyle w:val="H1G"/>
        <w:rPr>
          <w:lang w:val="fr-FR"/>
        </w:rPr>
      </w:pPr>
      <w:r w:rsidRPr="00867EB6">
        <w:rPr>
          <w:lang w:val="fr-FR"/>
        </w:rPr>
        <w:tab/>
        <w:t>C.</w:t>
      </w:r>
      <w:r w:rsidRPr="00867EB6">
        <w:rPr>
          <w:lang w:val="fr-FR"/>
        </w:rPr>
        <w:tab/>
        <w:t>Interprétation du Règlement annexé à l</w:t>
      </w:r>
      <w:r>
        <w:rPr>
          <w:lang w:val="fr-FR"/>
        </w:rPr>
        <w:t>’</w:t>
      </w:r>
      <w:r w:rsidRPr="00867EB6">
        <w:rPr>
          <w:lang w:val="fr-FR"/>
        </w:rPr>
        <w:t>ADN</w:t>
      </w:r>
      <w:bookmarkStart w:id="14" w:name="_Toc505688408"/>
      <w:bookmarkEnd w:id="14"/>
    </w:p>
    <w:p w:rsidR="00F77ECC" w:rsidRPr="00867EB6" w:rsidRDefault="00F77ECC" w:rsidP="00D42E5D">
      <w:pPr>
        <w:pStyle w:val="H23G"/>
        <w:rPr>
          <w:lang w:val="fr-FR"/>
        </w:rPr>
      </w:pPr>
      <w:r w:rsidRPr="00867EB6">
        <w:rPr>
          <w:lang w:val="fr-FR"/>
        </w:rPr>
        <w:tab/>
        <w:t>1.</w:t>
      </w:r>
      <w:r w:rsidRPr="00867EB6">
        <w:rPr>
          <w:lang w:val="fr-FR"/>
        </w:rPr>
        <w:tab/>
        <w:t>Interprétation du paragraphe 7.1.4.4.3 de l</w:t>
      </w:r>
      <w:r>
        <w:rPr>
          <w:lang w:val="fr-FR"/>
        </w:rPr>
        <w:t>’</w:t>
      </w:r>
      <w:r w:rsidRPr="00867EB6">
        <w:rPr>
          <w:lang w:val="fr-FR"/>
        </w:rPr>
        <w:t>ADN concernant la distance</w:t>
      </w:r>
      <w:r>
        <w:rPr>
          <w:lang w:val="fr-FR"/>
        </w:rPr>
        <w:t xml:space="preserve"> </w:t>
      </w:r>
      <w:r w:rsidR="00D42E5D">
        <w:rPr>
          <w:lang w:val="fr-FR"/>
        </w:rPr>
        <w:br/>
      </w:r>
      <w:r w:rsidRPr="00867EB6">
        <w:rPr>
          <w:lang w:val="fr-FR"/>
        </w:rPr>
        <w:t>de séparation minimale entre les conteneurs pour vrac souples</w:t>
      </w:r>
      <w:bookmarkStart w:id="15" w:name="_Toc505688409"/>
      <w:bookmarkEnd w:id="15"/>
    </w:p>
    <w:p w:rsidR="00F77ECC" w:rsidRPr="00867EB6" w:rsidRDefault="00F77ECC" w:rsidP="00D42E5D">
      <w:pPr>
        <w:pStyle w:val="SingleTxtG"/>
        <w:tabs>
          <w:tab w:val="left" w:pos="3119"/>
        </w:tabs>
        <w:rPr>
          <w:lang w:val="fr-FR"/>
        </w:rPr>
      </w:pPr>
      <w:r w:rsidRPr="00867EB6">
        <w:rPr>
          <w:i/>
          <w:lang w:val="fr-FR"/>
        </w:rPr>
        <w:t>Document</w:t>
      </w:r>
      <w:r w:rsidR="00D42E5D">
        <w:rPr>
          <w:i/>
          <w:lang w:val="fr-FR"/>
        </w:rPr>
        <w:t>(s) </w:t>
      </w:r>
      <w:r>
        <w:rPr>
          <w:lang w:val="fr-FR"/>
        </w:rPr>
        <w:t>:</w:t>
      </w:r>
      <w:r w:rsidRPr="00867EB6">
        <w:rPr>
          <w:lang w:val="fr-FR"/>
        </w:rPr>
        <w:tab/>
        <w:t>ECE/TRANS/WP.15/AC.2/2018/4 (CCNR).</w:t>
      </w:r>
    </w:p>
    <w:p w:rsidR="00F77ECC" w:rsidRPr="00867EB6" w:rsidRDefault="00F77ECC" w:rsidP="00D42E5D">
      <w:pPr>
        <w:pStyle w:val="SingleTxtG"/>
        <w:rPr>
          <w:lang w:val="fr-FR"/>
        </w:rPr>
      </w:pPr>
      <w:r w:rsidRPr="00867EB6">
        <w:rPr>
          <w:lang w:val="fr-FR"/>
        </w:rPr>
        <w:t>11.</w:t>
      </w:r>
      <w:r w:rsidRPr="00867EB6">
        <w:rPr>
          <w:lang w:val="fr-FR"/>
        </w:rPr>
        <w:tab/>
        <w:t>Le Comité de sécurité a estimé que, même si les conteneurs pour vrac souples n</w:t>
      </w:r>
      <w:r>
        <w:rPr>
          <w:lang w:val="fr-FR"/>
        </w:rPr>
        <w:t>’</w:t>
      </w:r>
      <w:r w:rsidRPr="00867EB6">
        <w:rPr>
          <w:lang w:val="fr-FR"/>
        </w:rPr>
        <w:t xml:space="preserve">étaient pas initialement visés par le terme </w:t>
      </w:r>
      <w:r>
        <w:rPr>
          <w:lang w:val="fr-FR"/>
        </w:rPr>
        <w:t>«</w:t>
      </w:r>
      <w:r w:rsidR="00D42E5D">
        <w:rPr>
          <w:lang w:val="fr-FR"/>
        </w:rPr>
        <w:t> </w:t>
      </w:r>
      <w:r w:rsidRPr="00867EB6">
        <w:rPr>
          <w:lang w:val="fr-FR"/>
        </w:rPr>
        <w:t>conteneurs</w:t>
      </w:r>
      <w:r w:rsidR="00D42E5D">
        <w:rPr>
          <w:lang w:val="fr-FR"/>
        </w:rPr>
        <w:t> </w:t>
      </w:r>
      <w:r>
        <w:rPr>
          <w:lang w:val="fr-FR"/>
        </w:rPr>
        <w:t>»</w:t>
      </w:r>
      <w:r w:rsidRPr="00867EB6">
        <w:rPr>
          <w:lang w:val="fr-FR"/>
        </w:rPr>
        <w:t xml:space="preserve"> mentionné aux 7.1.4.4.1 et 7.1.4.4.2, on pouvait comprendre qu</w:t>
      </w:r>
      <w:r>
        <w:rPr>
          <w:lang w:val="fr-FR"/>
        </w:rPr>
        <w:t>’</w:t>
      </w:r>
      <w:r w:rsidRPr="00867EB6">
        <w:rPr>
          <w:lang w:val="fr-FR"/>
        </w:rPr>
        <w:t>ils entraient dans le champ d</w:t>
      </w:r>
      <w:r>
        <w:rPr>
          <w:lang w:val="fr-FR"/>
        </w:rPr>
        <w:t>’</w:t>
      </w:r>
      <w:r w:rsidRPr="00867EB6">
        <w:rPr>
          <w:lang w:val="fr-FR"/>
        </w:rPr>
        <w:t>application du paragraphe 7.1.4.4.3 et donc que la distance de séparation de 3</w:t>
      </w:r>
      <w:r w:rsidR="00D42E5D">
        <w:rPr>
          <w:lang w:val="fr-FR"/>
        </w:rPr>
        <w:t> </w:t>
      </w:r>
      <w:r w:rsidRPr="00867EB6">
        <w:rPr>
          <w:lang w:val="fr-FR"/>
        </w:rPr>
        <w:t>m prescrite au 7.1.4.3.1 pouvait être réduite à 2,40</w:t>
      </w:r>
      <w:r w:rsidR="00D42E5D">
        <w:rPr>
          <w:lang w:val="fr-FR"/>
        </w:rPr>
        <w:t> </w:t>
      </w:r>
      <w:r w:rsidRPr="00867EB6">
        <w:rPr>
          <w:lang w:val="fr-FR"/>
        </w:rPr>
        <w:t>m. Le Comité de sécurité a cependant jugé que cela n</w:t>
      </w:r>
      <w:r>
        <w:rPr>
          <w:lang w:val="fr-FR"/>
        </w:rPr>
        <w:t>’</w:t>
      </w:r>
      <w:r w:rsidRPr="00867EB6">
        <w:rPr>
          <w:lang w:val="fr-FR"/>
        </w:rPr>
        <w:t>était pas souhaitable et s</w:t>
      </w:r>
      <w:r>
        <w:rPr>
          <w:lang w:val="fr-FR"/>
        </w:rPr>
        <w:t>’</w:t>
      </w:r>
      <w:r w:rsidRPr="00867EB6">
        <w:rPr>
          <w:lang w:val="fr-FR"/>
        </w:rPr>
        <w:t xml:space="preserve">est dit prêt à examiner de nouvelles propositions portant sur les conteneurs pour vrac souples dans ce contexte. </w:t>
      </w:r>
    </w:p>
    <w:p w:rsidR="00F77ECC" w:rsidRPr="00867EB6" w:rsidRDefault="00F77ECC" w:rsidP="00D42E5D">
      <w:pPr>
        <w:pStyle w:val="H23G"/>
        <w:rPr>
          <w:lang w:val="fr-FR"/>
        </w:rPr>
      </w:pPr>
      <w:r w:rsidRPr="00867EB6">
        <w:rPr>
          <w:lang w:val="fr-FR"/>
        </w:rPr>
        <w:tab/>
        <w:t>2.</w:t>
      </w:r>
      <w:r w:rsidRPr="00867EB6">
        <w:rPr>
          <w:lang w:val="fr-FR"/>
        </w:rPr>
        <w:tab/>
        <w:t>Tableau C et sous-section 7.2.1.21 de l</w:t>
      </w:r>
      <w:r>
        <w:rPr>
          <w:lang w:val="fr-FR"/>
        </w:rPr>
        <w:t>’</w:t>
      </w:r>
      <w:r w:rsidR="00D42E5D">
        <w:rPr>
          <w:lang w:val="fr-FR"/>
        </w:rPr>
        <w:t>ADN −</w:t>
      </w:r>
      <w:r w:rsidRPr="00867EB6">
        <w:rPr>
          <w:lang w:val="fr-FR"/>
        </w:rPr>
        <w:t xml:space="preserve"> Type de bateau-citerne </w:t>
      </w:r>
      <w:r w:rsidR="00D42E5D">
        <w:rPr>
          <w:lang w:val="fr-FR"/>
        </w:rPr>
        <w:br/>
      </w:r>
      <w:r w:rsidRPr="00867EB6">
        <w:rPr>
          <w:lang w:val="fr-FR"/>
        </w:rPr>
        <w:t>à utiliser au minimum</w:t>
      </w:r>
      <w:bookmarkStart w:id="16" w:name="_Toc505688410"/>
      <w:bookmarkEnd w:id="16"/>
    </w:p>
    <w:p w:rsidR="00F77ECC" w:rsidRPr="00867EB6" w:rsidRDefault="00F77ECC" w:rsidP="00D42E5D">
      <w:pPr>
        <w:pStyle w:val="SingleTxtG"/>
        <w:tabs>
          <w:tab w:val="left" w:pos="3119"/>
        </w:tabs>
        <w:rPr>
          <w:lang w:val="fr-FR"/>
        </w:rPr>
      </w:pPr>
      <w:r w:rsidRPr="00867EB6">
        <w:rPr>
          <w:i/>
          <w:lang w:val="fr-FR"/>
        </w:rPr>
        <w:t>Document</w:t>
      </w:r>
      <w:r w:rsidR="00D42E5D">
        <w:rPr>
          <w:i/>
          <w:lang w:val="fr-FR"/>
        </w:rPr>
        <w:t>(s) </w:t>
      </w:r>
      <w:r>
        <w:rPr>
          <w:lang w:val="fr-FR"/>
        </w:rPr>
        <w:t>:</w:t>
      </w:r>
      <w:r w:rsidR="00D42E5D">
        <w:rPr>
          <w:lang w:val="fr-FR"/>
        </w:rPr>
        <w:tab/>
      </w:r>
      <w:r w:rsidRPr="00867EB6">
        <w:rPr>
          <w:lang w:val="fr-FR"/>
        </w:rPr>
        <w:t>ECE/TRANS/WP.15/AC.2/2018/6 (Allemagne).</w:t>
      </w:r>
    </w:p>
    <w:p w:rsidR="00F77ECC" w:rsidRPr="00867EB6" w:rsidRDefault="00F77ECC" w:rsidP="00D42E5D">
      <w:pPr>
        <w:pStyle w:val="SingleTxtG"/>
        <w:rPr>
          <w:lang w:val="fr-FR"/>
        </w:rPr>
      </w:pPr>
      <w:r w:rsidRPr="00867EB6">
        <w:rPr>
          <w:lang w:val="fr-FR"/>
        </w:rPr>
        <w:t>12.</w:t>
      </w:r>
      <w:r w:rsidRPr="00867EB6">
        <w:rPr>
          <w:lang w:val="fr-FR"/>
        </w:rPr>
        <w:tab/>
        <w:t>Le Comité de sécurité a estimé que le bateau devait toujours être conforme à son certificat d</w:t>
      </w:r>
      <w:r>
        <w:rPr>
          <w:lang w:val="fr-FR"/>
        </w:rPr>
        <w:t>’</w:t>
      </w:r>
      <w:r w:rsidRPr="00867EB6">
        <w:rPr>
          <w:lang w:val="fr-FR"/>
        </w:rPr>
        <w:t>agrément, mais qu</w:t>
      </w:r>
      <w:r>
        <w:rPr>
          <w:lang w:val="fr-FR"/>
        </w:rPr>
        <w:t>’</w:t>
      </w:r>
      <w:r w:rsidRPr="00867EB6">
        <w:rPr>
          <w:lang w:val="fr-FR"/>
        </w:rPr>
        <w:t>il pouvait être utilisé dans différentes configurations d</w:t>
      </w:r>
      <w:r>
        <w:rPr>
          <w:lang w:val="fr-FR"/>
        </w:rPr>
        <w:t>’</w:t>
      </w:r>
      <w:r w:rsidRPr="00867EB6">
        <w:rPr>
          <w:lang w:val="fr-FR"/>
        </w:rPr>
        <w:t>exploitation à condition qu</w:t>
      </w:r>
      <w:r>
        <w:rPr>
          <w:lang w:val="fr-FR"/>
        </w:rPr>
        <w:t>’</w:t>
      </w:r>
      <w:r w:rsidRPr="00867EB6">
        <w:rPr>
          <w:lang w:val="fr-FR"/>
        </w:rPr>
        <w:t>il ne soit pas nécessaire pour cela de modifier son équipement (les coupe-flammes, par exemple) ou sa structure afin de permettre le transport d</w:t>
      </w:r>
      <w:r>
        <w:rPr>
          <w:lang w:val="fr-FR"/>
        </w:rPr>
        <w:t>’</w:t>
      </w:r>
      <w:r w:rsidRPr="00867EB6">
        <w:rPr>
          <w:lang w:val="fr-FR"/>
        </w:rPr>
        <w:t>une matière donnée. Il a toutefois jugé qu</w:t>
      </w:r>
      <w:r>
        <w:rPr>
          <w:lang w:val="fr-FR"/>
        </w:rPr>
        <w:t>’</w:t>
      </w:r>
      <w:r w:rsidRPr="00867EB6">
        <w:rPr>
          <w:lang w:val="fr-FR"/>
        </w:rPr>
        <w:t>il avait besoin d</w:t>
      </w:r>
      <w:r>
        <w:rPr>
          <w:lang w:val="fr-FR"/>
        </w:rPr>
        <w:t>’</w:t>
      </w:r>
      <w:r w:rsidRPr="00867EB6">
        <w:rPr>
          <w:lang w:val="fr-FR"/>
        </w:rPr>
        <w:t>informations complémentaires avant de pouvoir prendre une décision sur la nécessité et la portée d</w:t>
      </w:r>
      <w:r>
        <w:rPr>
          <w:lang w:val="fr-FR"/>
        </w:rPr>
        <w:t>’</w:t>
      </w:r>
      <w:r w:rsidRPr="00867EB6">
        <w:rPr>
          <w:lang w:val="fr-FR"/>
        </w:rPr>
        <w:t xml:space="preserve">un amendement visant à clarifier les dispositions actuelles. </w:t>
      </w:r>
    </w:p>
    <w:p w:rsidR="00F77ECC" w:rsidRPr="00867EB6" w:rsidRDefault="00F77ECC" w:rsidP="00112211">
      <w:pPr>
        <w:pStyle w:val="SingleTxtG"/>
        <w:keepNext/>
        <w:keepLines/>
        <w:rPr>
          <w:lang w:val="fr-FR"/>
        </w:rPr>
      </w:pPr>
      <w:r w:rsidRPr="00867EB6">
        <w:rPr>
          <w:lang w:val="fr-FR"/>
        </w:rPr>
        <w:lastRenderedPageBreak/>
        <w:t>13.</w:t>
      </w:r>
      <w:r w:rsidRPr="00867EB6">
        <w:rPr>
          <w:lang w:val="fr-FR"/>
        </w:rPr>
        <w:tab/>
        <w:t>Le Comité de sécurité a invité les sociétés de classification recommandées dans l</w:t>
      </w:r>
      <w:r>
        <w:rPr>
          <w:lang w:val="fr-FR"/>
        </w:rPr>
        <w:t>’</w:t>
      </w:r>
      <w:r w:rsidRPr="00867EB6">
        <w:rPr>
          <w:lang w:val="fr-FR"/>
        </w:rPr>
        <w:t>ADN et les autres parties intéressées à fournir des exemples de cas dans lesquels des bateaux étaient exploités dans différentes configurations (prise d</w:t>
      </w:r>
      <w:r>
        <w:rPr>
          <w:lang w:val="fr-FR"/>
        </w:rPr>
        <w:t>’</w:t>
      </w:r>
      <w:r w:rsidRPr="00867EB6">
        <w:rPr>
          <w:lang w:val="fr-FR"/>
        </w:rPr>
        <w:t>échantillons, par exemple), de façon à montrer comment ces situations étaient gérées actuellement sur le plan réglementaire et à déterminer les lacunes qui subsistaient. Le représentant de l</w:t>
      </w:r>
      <w:r>
        <w:rPr>
          <w:lang w:val="fr-FR"/>
        </w:rPr>
        <w:t>’</w:t>
      </w:r>
      <w:r w:rsidRPr="00867EB6">
        <w:rPr>
          <w:lang w:val="fr-FR"/>
        </w:rPr>
        <w:t>UENF s</w:t>
      </w:r>
      <w:r>
        <w:rPr>
          <w:lang w:val="fr-FR"/>
        </w:rPr>
        <w:t>’</w:t>
      </w:r>
      <w:r w:rsidRPr="00867EB6">
        <w:rPr>
          <w:lang w:val="fr-FR"/>
        </w:rPr>
        <w:t>est proposé pour diriger ce travail entre les sessions.</w:t>
      </w:r>
    </w:p>
    <w:p w:rsidR="00F77ECC" w:rsidRPr="00867EB6" w:rsidRDefault="00F77ECC" w:rsidP="00D42E5D">
      <w:pPr>
        <w:pStyle w:val="H23G"/>
        <w:rPr>
          <w:lang w:val="fr-FR"/>
        </w:rPr>
      </w:pPr>
      <w:r w:rsidRPr="00867EB6">
        <w:rPr>
          <w:lang w:val="fr-FR"/>
        </w:rPr>
        <w:tab/>
        <w:t>3.</w:t>
      </w:r>
      <w:r w:rsidRPr="00867EB6">
        <w:rPr>
          <w:lang w:val="fr-FR"/>
        </w:rPr>
        <w:tab/>
        <w:t>Section 1.16.0 de l</w:t>
      </w:r>
      <w:r>
        <w:rPr>
          <w:lang w:val="fr-FR"/>
        </w:rPr>
        <w:t>’</w:t>
      </w:r>
      <w:r w:rsidRPr="00867EB6">
        <w:rPr>
          <w:lang w:val="fr-FR"/>
        </w:rPr>
        <w:t>ADN − Propriétaire et opérateur</w:t>
      </w:r>
      <w:bookmarkStart w:id="17" w:name="_Toc505688411"/>
      <w:bookmarkEnd w:id="17"/>
    </w:p>
    <w:p w:rsidR="00F77ECC" w:rsidRPr="00867EB6" w:rsidRDefault="00F77ECC" w:rsidP="00D42E5D">
      <w:pPr>
        <w:pStyle w:val="SingleTxtG"/>
        <w:tabs>
          <w:tab w:val="left" w:pos="3119"/>
        </w:tabs>
        <w:rPr>
          <w:lang w:val="fr-FR"/>
        </w:rPr>
      </w:pPr>
      <w:r w:rsidRPr="00867EB6">
        <w:rPr>
          <w:i/>
          <w:lang w:val="fr-FR"/>
        </w:rPr>
        <w:t>Document</w:t>
      </w:r>
      <w:r w:rsidR="00D42E5D">
        <w:rPr>
          <w:i/>
          <w:lang w:val="fr-FR"/>
        </w:rPr>
        <w:t>(s) </w:t>
      </w:r>
      <w:r>
        <w:rPr>
          <w:lang w:val="fr-FR"/>
        </w:rPr>
        <w:t>:</w:t>
      </w:r>
      <w:r w:rsidR="00D42E5D">
        <w:rPr>
          <w:lang w:val="fr-FR"/>
        </w:rPr>
        <w:tab/>
      </w:r>
      <w:r w:rsidRPr="00867EB6">
        <w:rPr>
          <w:lang w:val="fr-FR"/>
        </w:rPr>
        <w:t>ECE/TRANS/WP.15/AC.2/2018/7 (Allemagne).</w:t>
      </w:r>
    </w:p>
    <w:p w:rsidR="00F77ECC" w:rsidRPr="00867EB6" w:rsidRDefault="00F77ECC" w:rsidP="00D42E5D">
      <w:pPr>
        <w:pStyle w:val="SingleTxtG"/>
        <w:rPr>
          <w:lang w:val="fr-FR"/>
        </w:rPr>
      </w:pPr>
      <w:r w:rsidRPr="00867EB6">
        <w:rPr>
          <w:lang w:val="fr-FR"/>
        </w:rPr>
        <w:t>14.</w:t>
      </w:r>
      <w:r w:rsidRPr="00867EB6">
        <w:rPr>
          <w:lang w:val="fr-FR"/>
        </w:rPr>
        <w:tab/>
        <w:t>Le Comité de sécurité a estimé que l</w:t>
      </w:r>
      <w:r>
        <w:rPr>
          <w:lang w:val="fr-FR"/>
        </w:rPr>
        <w:t>’</w:t>
      </w:r>
      <w:r w:rsidRPr="00867EB6">
        <w:rPr>
          <w:lang w:val="fr-FR"/>
        </w:rPr>
        <w:t>opérateur visé à la section</w:t>
      </w:r>
      <w:r w:rsidR="00D42E5D">
        <w:rPr>
          <w:lang w:val="fr-FR"/>
        </w:rPr>
        <w:t> </w:t>
      </w:r>
      <w:r w:rsidRPr="00867EB6">
        <w:rPr>
          <w:lang w:val="fr-FR"/>
        </w:rPr>
        <w:t>1.16.0 était la partie responsable juridiquement et économiquement de l</w:t>
      </w:r>
      <w:r>
        <w:rPr>
          <w:lang w:val="fr-FR"/>
        </w:rPr>
        <w:t>’</w:t>
      </w:r>
      <w:r w:rsidRPr="00867EB6">
        <w:rPr>
          <w:lang w:val="fr-FR"/>
        </w:rPr>
        <w:t>équipement technique du bateau. Il ne pouvait donc être qu</w:t>
      </w:r>
      <w:r>
        <w:rPr>
          <w:lang w:val="fr-FR"/>
        </w:rPr>
        <w:t>’</w:t>
      </w:r>
      <w:r w:rsidRPr="00867EB6">
        <w:rPr>
          <w:lang w:val="fr-FR"/>
        </w:rPr>
        <w:t>une partie utilisant un bateau selon les conditions d</w:t>
      </w:r>
      <w:r>
        <w:rPr>
          <w:lang w:val="fr-FR"/>
        </w:rPr>
        <w:t>’</w:t>
      </w:r>
      <w:r w:rsidRPr="00867EB6">
        <w:rPr>
          <w:lang w:val="fr-FR"/>
        </w:rPr>
        <w:t>affrètement coque nue, et non une partie utilisant un bateau selon les conditions d</w:t>
      </w:r>
      <w:r>
        <w:rPr>
          <w:lang w:val="fr-FR"/>
        </w:rPr>
        <w:t>’</w:t>
      </w:r>
      <w:r w:rsidRPr="00867EB6">
        <w:rPr>
          <w:lang w:val="fr-FR"/>
        </w:rPr>
        <w:t>affrètement à temps. Le</w:t>
      </w:r>
      <w:r w:rsidR="00D42E5D">
        <w:rPr>
          <w:lang w:val="fr-FR"/>
        </w:rPr>
        <w:t> </w:t>
      </w:r>
      <w:r w:rsidRPr="00867EB6">
        <w:rPr>
          <w:lang w:val="fr-FR"/>
        </w:rPr>
        <w:t>Comité a également estimé que d</w:t>
      </w:r>
      <w:r>
        <w:rPr>
          <w:lang w:val="fr-FR"/>
        </w:rPr>
        <w:t>’</w:t>
      </w:r>
      <w:r w:rsidRPr="00867EB6">
        <w:rPr>
          <w:lang w:val="fr-FR"/>
        </w:rPr>
        <w:t>autres relations contractuelles devaient être prises en compte dans le cas de l</w:t>
      </w:r>
      <w:r>
        <w:rPr>
          <w:lang w:val="fr-FR"/>
        </w:rPr>
        <w:t>’</w:t>
      </w:r>
      <w:r w:rsidRPr="00867EB6">
        <w:rPr>
          <w:lang w:val="fr-FR"/>
        </w:rPr>
        <w:t xml:space="preserve">opérateur. </w:t>
      </w:r>
    </w:p>
    <w:p w:rsidR="00F77ECC" w:rsidRPr="00867EB6" w:rsidRDefault="00F77ECC" w:rsidP="00D42E5D">
      <w:pPr>
        <w:pStyle w:val="SingleTxtG"/>
        <w:rPr>
          <w:lang w:val="fr-FR"/>
        </w:rPr>
      </w:pPr>
      <w:r w:rsidRPr="00867EB6">
        <w:rPr>
          <w:lang w:val="fr-FR"/>
        </w:rPr>
        <w:t>15.</w:t>
      </w:r>
      <w:r w:rsidRPr="00867EB6">
        <w:rPr>
          <w:lang w:val="fr-FR"/>
        </w:rPr>
        <w:tab/>
        <w:t>Le Comité de sécurité a jugé que cette interprétation ne s</w:t>
      </w:r>
      <w:r>
        <w:rPr>
          <w:lang w:val="fr-FR"/>
        </w:rPr>
        <w:t>’</w:t>
      </w:r>
      <w:r w:rsidRPr="00867EB6">
        <w:rPr>
          <w:lang w:val="fr-FR"/>
        </w:rPr>
        <w:t>appliquait qu</w:t>
      </w:r>
      <w:r>
        <w:rPr>
          <w:lang w:val="fr-FR"/>
        </w:rPr>
        <w:t>’</w:t>
      </w:r>
      <w:r w:rsidRPr="00867EB6">
        <w:rPr>
          <w:lang w:val="fr-FR"/>
        </w:rPr>
        <w:t>à la définition de l</w:t>
      </w:r>
      <w:r>
        <w:rPr>
          <w:lang w:val="fr-FR"/>
        </w:rPr>
        <w:t>’</w:t>
      </w:r>
      <w:r w:rsidRPr="00867EB6">
        <w:rPr>
          <w:lang w:val="fr-FR"/>
        </w:rPr>
        <w:t>opérateur dans le contexte du chapitre</w:t>
      </w:r>
      <w:r w:rsidR="00D42E5D">
        <w:rPr>
          <w:lang w:val="fr-FR"/>
        </w:rPr>
        <w:t> </w:t>
      </w:r>
      <w:r w:rsidRPr="00867EB6">
        <w:rPr>
          <w:lang w:val="fr-FR"/>
        </w:rPr>
        <w:t>1.16 et des renvois à ce dernier dans d</w:t>
      </w:r>
      <w:r>
        <w:rPr>
          <w:lang w:val="fr-FR"/>
        </w:rPr>
        <w:t>’</w:t>
      </w:r>
      <w:r w:rsidRPr="00867EB6">
        <w:rPr>
          <w:lang w:val="fr-FR"/>
        </w:rPr>
        <w:t>autres parties de l</w:t>
      </w:r>
      <w:r>
        <w:rPr>
          <w:lang w:val="fr-FR"/>
        </w:rPr>
        <w:t>’</w:t>
      </w:r>
      <w:r w:rsidRPr="00867EB6">
        <w:rPr>
          <w:lang w:val="fr-FR"/>
        </w:rPr>
        <w:t xml:space="preserve">ADN. </w:t>
      </w:r>
    </w:p>
    <w:p w:rsidR="00F77ECC" w:rsidRPr="00867EB6" w:rsidRDefault="00F77ECC" w:rsidP="00D42E5D">
      <w:pPr>
        <w:pStyle w:val="H23G"/>
        <w:rPr>
          <w:lang w:val="fr-FR"/>
        </w:rPr>
      </w:pPr>
      <w:r w:rsidRPr="00867EB6">
        <w:rPr>
          <w:lang w:val="fr-FR"/>
        </w:rPr>
        <w:tab/>
        <w:t>4.</w:t>
      </w:r>
      <w:r w:rsidRPr="00867EB6">
        <w:rPr>
          <w:lang w:val="fr-FR"/>
        </w:rPr>
        <w:tab/>
        <w:t>Vanne de sectionnement rapide</w:t>
      </w:r>
      <w:bookmarkStart w:id="18" w:name="_Toc505688412"/>
      <w:bookmarkEnd w:id="18"/>
      <w:r w:rsidRPr="00867EB6">
        <w:rPr>
          <w:lang w:val="fr-FR"/>
        </w:rPr>
        <w:t>/vanne à fermeture rapide</w:t>
      </w:r>
    </w:p>
    <w:p w:rsidR="00F77ECC" w:rsidRPr="00867EB6" w:rsidRDefault="00F77ECC" w:rsidP="00D42E5D">
      <w:pPr>
        <w:pStyle w:val="SingleTxtG"/>
        <w:tabs>
          <w:tab w:val="left" w:pos="3119"/>
        </w:tabs>
        <w:ind w:left="3119" w:hanging="1985"/>
        <w:rPr>
          <w:lang w:val="fr-FR"/>
        </w:rPr>
      </w:pPr>
      <w:r w:rsidRPr="00867EB6">
        <w:rPr>
          <w:i/>
          <w:lang w:val="fr-FR"/>
        </w:rPr>
        <w:t>Document</w:t>
      </w:r>
      <w:r w:rsidR="00D42E5D">
        <w:rPr>
          <w:i/>
          <w:lang w:val="fr-FR"/>
        </w:rPr>
        <w:t>(s) </w:t>
      </w:r>
      <w:r>
        <w:rPr>
          <w:lang w:val="fr-FR"/>
        </w:rPr>
        <w:t>:</w:t>
      </w:r>
      <w:r w:rsidR="00D42E5D">
        <w:rPr>
          <w:lang w:val="fr-FR"/>
        </w:rPr>
        <w:tab/>
      </w:r>
      <w:r w:rsidRPr="00867EB6">
        <w:rPr>
          <w:lang w:val="fr-FR"/>
        </w:rPr>
        <w:t>ECE/TRANS/WP.15/AC.2/2018/16</w:t>
      </w:r>
      <w:r>
        <w:rPr>
          <w:lang w:val="fr-FR"/>
        </w:rPr>
        <w:t xml:space="preserve"> </w:t>
      </w:r>
      <w:r w:rsidRPr="00867EB6">
        <w:rPr>
          <w:lang w:val="fr-FR"/>
        </w:rPr>
        <w:t>(sociétés de classification recommandées dans l</w:t>
      </w:r>
      <w:r>
        <w:rPr>
          <w:lang w:val="fr-FR"/>
        </w:rPr>
        <w:t>’</w:t>
      </w:r>
      <w:r w:rsidRPr="00867EB6">
        <w:rPr>
          <w:lang w:val="fr-FR"/>
        </w:rPr>
        <w:t>ADN).</w:t>
      </w:r>
    </w:p>
    <w:p w:rsidR="00F77ECC" w:rsidRPr="00867EB6" w:rsidRDefault="00F77ECC" w:rsidP="00D42E5D">
      <w:pPr>
        <w:pStyle w:val="SingleTxtG"/>
        <w:rPr>
          <w:lang w:val="fr-FR"/>
        </w:rPr>
      </w:pPr>
      <w:r w:rsidRPr="00867EB6">
        <w:rPr>
          <w:lang w:val="fr-FR"/>
        </w:rPr>
        <w:t>16.</w:t>
      </w:r>
      <w:r w:rsidRPr="00867EB6">
        <w:rPr>
          <w:lang w:val="fr-FR"/>
        </w:rPr>
        <w:tab/>
        <w:t>Le Comité de sécurité a considéré que, comme toutes les vannes à fermeture rapide étaient commandées à distance, cette mention était superflue</w:t>
      </w:r>
      <w:r w:rsidR="00DE72AA">
        <w:rPr>
          <w:lang w:val="fr-FR"/>
        </w:rPr>
        <w:t> </w:t>
      </w:r>
      <w:r>
        <w:rPr>
          <w:lang w:val="fr-FR"/>
        </w:rPr>
        <w:t>;</w:t>
      </w:r>
      <w:r w:rsidRPr="00867EB6">
        <w:rPr>
          <w:lang w:val="fr-FR"/>
        </w:rPr>
        <w:t xml:space="preserve"> il a donc décidé de la supprimer du texte proposé pour le 9.3.2.1.25.2</w:t>
      </w:r>
      <w:r w:rsidR="00112211">
        <w:rPr>
          <w:lang w:val="fr-FR"/>
        </w:rPr>
        <w:t> </w:t>
      </w:r>
      <w:r w:rsidRPr="00867EB6">
        <w:rPr>
          <w:lang w:val="fr-FR"/>
        </w:rPr>
        <w:t>d). Toutes les autres propositions énoncées dans le document ECE/TRANS/WP.15/AC.2/2018/16 ont été adoptées sans modifications (voir annexe I).</w:t>
      </w:r>
    </w:p>
    <w:p w:rsidR="00F77ECC" w:rsidRPr="00867EB6" w:rsidRDefault="00F77ECC" w:rsidP="00D42E5D">
      <w:pPr>
        <w:pStyle w:val="H23G"/>
        <w:rPr>
          <w:lang w:val="fr-FR"/>
        </w:rPr>
      </w:pPr>
      <w:r w:rsidRPr="00867EB6">
        <w:rPr>
          <w:lang w:val="fr-FR"/>
        </w:rPr>
        <w:tab/>
        <w:t>5.</w:t>
      </w:r>
      <w:r w:rsidRPr="00867EB6">
        <w:rPr>
          <w:lang w:val="fr-FR"/>
        </w:rPr>
        <w:tab/>
        <w:t>Transport du numéro ONU 1965 − Hydrocarbures gazeux en mélange</w:t>
      </w:r>
      <w:r>
        <w:rPr>
          <w:lang w:val="fr-FR"/>
        </w:rPr>
        <w:t xml:space="preserve"> </w:t>
      </w:r>
      <w:r w:rsidRPr="00867EB6">
        <w:rPr>
          <w:lang w:val="fr-FR"/>
        </w:rPr>
        <w:t xml:space="preserve">liquéfié, </w:t>
      </w:r>
      <w:r w:rsidR="00D42E5D">
        <w:rPr>
          <w:lang w:val="fr-FR"/>
        </w:rPr>
        <w:br/>
      </w:r>
      <w:proofErr w:type="spellStart"/>
      <w:r w:rsidRPr="00867EB6">
        <w:rPr>
          <w:lang w:val="fr-FR"/>
        </w:rPr>
        <w:t>n.s.a</w:t>
      </w:r>
      <w:proofErr w:type="spellEnd"/>
      <w:r w:rsidRPr="00867EB6">
        <w:rPr>
          <w:lang w:val="fr-FR"/>
        </w:rPr>
        <w:t>.</w:t>
      </w:r>
      <w:r w:rsidR="00D42E5D">
        <w:rPr>
          <w:lang w:val="fr-FR"/>
        </w:rPr>
        <w:t> </w:t>
      </w:r>
      <w:r>
        <w:rPr>
          <w:lang w:val="fr-FR"/>
        </w:rPr>
        <w:t>:</w:t>
      </w:r>
      <w:r w:rsidRPr="00867EB6">
        <w:rPr>
          <w:lang w:val="fr-FR"/>
        </w:rPr>
        <w:t xml:space="preserve"> mention </w:t>
      </w:r>
      <w:r>
        <w:rPr>
          <w:lang w:val="fr-FR"/>
        </w:rPr>
        <w:t>«</w:t>
      </w:r>
      <w:r w:rsidR="00D42E5D">
        <w:rPr>
          <w:lang w:val="fr-FR"/>
        </w:rPr>
        <w:t> </w:t>
      </w:r>
      <w:r w:rsidRPr="00867EB6">
        <w:rPr>
          <w:lang w:val="fr-FR"/>
        </w:rPr>
        <w:t>CMR</w:t>
      </w:r>
      <w:bookmarkStart w:id="19" w:name="_Toc505688413"/>
      <w:bookmarkEnd w:id="19"/>
      <w:r w:rsidR="00D42E5D">
        <w:rPr>
          <w:lang w:val="fr-FR"/>
        </w:rPr>
        <w:t> </w:t>
      </w:r>
      <w:r>
        <w:rPr>
          <w:lang w:val="fr-FR"/>
        </w:rPr>
        <w:t>»</w:t>
      </w:r>
      <w:r w:rsidRPr="00867EB6">
        <w:rPr>
          <w:lang w:val="fr-FR"/>
        </w:rPr>
        <w:t xml:space="preserve"> dans la colonne (5), </w:t>
      </w:r>
      <w:r>
        <w:rPr>
          <w:lang w:val="fr-FR"/>
        </w:rPr>
        <w:t>«</w:t>
      </w:r>
      <w:r w:rsidR="00D42E5D">
        <w:rPr>
          <w:lang w:val="fr-FR"/>
        </w:rPr>
        <w:t> </w:t>
      </w:r>
      <w:r w:rsidRPr="00867EB6">
        <w:rPr>
          <w:lang w:val="fr-FR"/>
        </w:rPr>
        <w:t>Dangers</w:t>
      </w:r>
      <w:r w:rsidR="00D42E5D">
        <w:rPr>
          <w:lang w:val="fr-FR"/>
        </w:rPr>
        <w:t> </w:t>
      </w:r>
      <w:r>
        <w:rPr>
          <w:lang w:val="fr-FR"/>
        </w:rPr>
        <w:t>»</w:t>
      </w:r>
    </w:p>
    <w:p w:rsidR="00F77ECC" w:rsidRPr="00D42E5D" w:rsidRDefault="00F77ECC" w:rsidP="00D42E5D">
      <w:pPr>
        <w:pStyle w:val="SingleTxtG"/>
        <w:tabs>
          <w:tab w:val="left" w:pos="3119"/>
        </w:tabs>
        <w:ind w:left="3119" w:hanging="1985"/>
        <w:rPr>
          <w:lang w:val="en-US"/>
        </w:rPr>
      </w:pPr>
      <w:r w:rsidRPr="00D42E5D">
        <w:rPr>
          <w:i/>
          <w:lang w:val="en-US"/>
        </w:rPr>
        <w:t>Document</w:t>
      </w:r>
      <w:r w:rsidR="00D42E5D" w:rsidRPr="00D42E5D">
        <w:rPr>
          <w:i/>
          <w:lang w:val="en-US"/>
        </w:rPr>
        <w:t>(s) </w:t>
      </w:r>
      <w:r w:rsidRPr="00D42E5D">
        <w:rPr>
          <w:lang w:val="en-US"/>
        </w:rPr>
        <w:t>:</w:t>
      </w:r>
      <w:r w:rsidRPr="00D42E5D">
        <w:rPr>
          <w:lang w:val="en-US"/>
        </w:rPr>
        <w:tab/>
        <w:t>ECE/TRANS/WP.15/AC.2/2018/20 (CEFIC).</w:t>
      </w:r>
    </w:p>
    <w:p w:rsidR="00F77ECC" w:rsidRPr="00867EB6" w:rsidRDefault="00F77ECC" w:rsidP="00391361">
      <w:pPr>
        <w:pStyle w:val="SingleTxtG"/>
        <w:rPr>
          <w:lang w:val="fr-FR"/>
        </w:rPr>
      </w:pPr>
      <w:r w:rsidRPr="00867EB6">
        <w:rPr>
          <w:lang w:val="fr-FR"/>
        </w:rPr>
        <w:t>17.</w:t>
      </w:r>
      <w:r w:rsidRPr="00867EB6">
        <w:rPr>
          <w:lang w:val="fr-FR"/>
        </w:rPr>
        <w:tab/>
        <w:t>Le Comité de sécurité a adopté la proposition sans modifications (voir annexe I).</w:t>
      </w:r>
    </w:p>
    <w:p w:rsidR="00F77ECC" w:rsidRPr="00867EB6" w:rsidRDefault="00F77ECC" w:rsidP="00391361">
      <w:pPr>
        <w:pStyle w:val="H23G"/>
        <w:rPr>
          <w:lang w:val="fr-FR"/>
        </w:rPr>
      </w:pPr>
      <w:r w:rsidRPr="00867EB6">
        <w:rPr>
          <w:lang w:val="fr-FR"/>
        </w:rPr>
        <w:tab/>
        <w:t>6.</w:t>
      </w:r>
      <w:r w:rsidRPr="00867EB6">
        <w:rPr>
          <w:lang w:val="fr-FR"/>
        </w:rPr>
        <w:tab/>
        <w:t>Systèmes de sûreté des voies de navigation intérieure</w:t>
      </w:r>
      <w:r w:rsidR="008674EC">
        <w:rPr>
          <w:lang w:val="fr-FR"/>
        </w:rPr>
        <w:t>s</w:t>
      </w:r>
      <w:r w:rsidRPr="00867EB6">
        <w:rPr>
          <w:lang w:val="fr-FR"/>
        </w:rPr>
        <w:t xml:space="preserve"> et ADN</w:t>
      </w:r>
      <w:bookmarkStart w:id="20" w:name="_Toc505688414"/>
      <w:bookmarkEnd w:id="20"/>
    </w:p>
    <w:p w:rsidR="00F77ECC" w:rsidRPr="00867EB6" w:rsidRDefault="00F77ECC" w:rsidP="00391361">
      <w:pPr>
        <w:pStyle w:val="SingleTxtG"/>
        <w:tabs>
          <w:tab w:val="left" w:pos="3119"/>
        </w:tabs>
        <w:ind w:left="3119" w:hanging="1985"/>
        <w:rPr>
          <w:lang w:val="fr-FR"/>
        </w:rPr>
      </w:pPr>
      <w:r w:rsidRPr="00867EB6">
        <w:rPr>
          <w:i/>
          <w:lang w:val="fr-FR"/>
        </w:rPr>
        <w:t>Document</w:t>
      </w:r>
      <w:r w:rsidR="00391361">
        <w:rPr>
          <w:i/>
          <w:lang w:val="fr-FR"/>
        </w:rPr>
        <w:t>(s)</w:t>
      </w:r>
      <w:r w:rsidR="00391361">
        <w:t> </w:t>
      </w:r>
      <w:r>
        <w:rPr>
          <w:lang w:val="fr-FR"/>
        </w:rPr>
        <w:t>:</w:t>
      </w:r>
      <w:r w:rsidRPr="00867EB6">
        <w:rPr>
          <w:lang w:val="fr-FR"/>
        </w:rPr>
        <w:tab/>
        <w:t>ECE/TRANS/WP.15/AC.2/2018/23 (Commission du Danube).</w:t>
      </w:r>
    </w:p>
    <w:p w:rsidR="00F77ECC" w:rsidRPr="00867EB6" w:rsidRDefault="00F77ECC" w:rsidP="00391361">
      <w:pPr>
        <w:pStyle w:val="SingleTxtG"/>
        <w:tabs>
          <w:tab w:val="left" w:pos="3119"/>
        </w:tabs>
        <w:ind w:left="3119" w:hanging="1985"/>
        <w:rPr>
          <w:lang w:val="fr-FR"/>
        </w:rPr>
      </w:pPr>
      <w:r w:rsidRPr="00867EB6">
        <w:rPr>
          <w:i/>
          <w:lang w:val="fr-FR"/>
        </w:rPr>
        <w:t>Document informel</w:t>
      </w:r>
      <w:r w:rsidR="00391361">
        <w:rPr>
          <w:i/>
          <w:lang w:val="fr-FR"/>
        </w:rPr>
        <w:t> </w:t>
      </w:r>
      <w:r>
        <w:rPr>
          <w:lang w:val="fr-FR"/>
        </w:rPr>
        <w:t>:</w:t>
      </w:r>
      <w:r w:rsidR="00391361">
        <w:rPr>
          <w:lang w:val="fr-FR"/>
        </w:rPr>
        <w:tab/>
      </w:r>
      <w:r w:rsidRPr="00867EB6">
        <w:rPr>
          <w:lang w:val="fr-FR"/>
        </w:rPr>
        <w:t>INF.2 (Commission du Danube).</w:t>
      </w:r>
    </w:p>
    <w:p w:rsidR="00F77ECC" w:rsidRPr="00867EB6" w:rsidRDefault="00F77ECC" w:rsidP="00831A38">
      <w:pPr>
        <w:pStyle w:val="SingleTxtG"/>
        <w:rPr>
          <w:lang w:val="fr-FR"/>
        </w:rPr>
      </w:pPr>
      <w:r w:rsidRPr="00867EB6">
        <w:rPr>
          <w:lang w:val="fr-FR"/>
        </w:rPr>
        <w:t>18.</w:t>
      </w:r>
      <w:r w:rsidRPr="00867EB6">
        <w:rPr>
          <w:lang w:val="fr-FR"/>
        </w:rPr>
        <w:tab/>
        <w:t>Le Comité de sécurité a pris note des informations sur les activités menées par la</w:t>
      </w:r>
      <w:r w:rsidR="00831A38">
        <w:rPr>
          <w:lang w:val="fr-FR"/>
        </w:rPr>
        <w:t> </w:t>
      </w:r>
      <w:r w:rsidRPr="00867EB6">
        <w:rPr>
          <w:lang w:val="fr-FR"/>
        </w:rPr>
        <w:t>Commission du Danube en vue de mettre en place un système de sûreté pour les transports par voie navigable et d</w:t>
      </w:r>
      <w:r>
        <w:rPr>
          <w:lang w:val="fr-FR"/>
        </w:rPr>
        <w:t>’</w:t>
      </w:r>
      <w:r w:rsidRPr="00867EB6">
        <w:rPr>
          <w:lang w:val="fr-FR"/>
        </w:rPr>
        <w:t>élaborer des recommandations visant à assurer la sûreté de la navigation sur le Danube. Il a été noté que tous les documents seraient examinés à une prochaine réunion qui se tiendrait à Budapest le 7</w:t>
      </w:r>
      <w:r w:rsidR="00831A38">
        <w:rPr>
          <w:lang w:val="fr-FR"/>
        </w:rPr>
        <w:t> </w:t>
      </w:r>
      <w:r w:rsidRPr="00867EB6">
        <w:rPr>
          <w:lang w:val="fr-FR"/>
        </w:rPr>
        <w:t>février 2018, après quoi ils pourraient être consultés sur le site Web de la Commission du Danube.</w:t>
      </w:r>
    </w:p>
    <w:p w:rsidR="00F77ECC" w:rsidRPr="00867EB6" w:rsidRDefault="00F77ECC" w:rsidP="00831A38">
      <w:pPr>
        <w:pStyle w:val="H23G"/>
        <w:rPr>
          <w:lang w:val="fr-FR"/>
        </w:rPr>
      </w:pPr>
      <w:r w:rsidRPr="00867EB6">
        <w:rPr>
          <w:lang w:val="fr-FR"/>
        </w:rPr>
        <w:tab/>
        <w:t>7.</w:t>
      </w:r>
      <w:r w:rsidRPr="00867EB6">
        <w:rPr>
          <w:lang w:val="fr-FR"/>
        </w:rPr>
        <w:tab/>
        <w:t>Utilisation de conduites de retour de gaz pendant le déchargement</w:t>
      </w:r>
      <w:bookmarkStart w:id="21" w:name="_Toc505688415"/>
      <w:bookmarkEnd w:id="21"/>
    </w:p>
    <w:p w:rsidR="00F77ECC" w:rsidRPr="00867EB6" w:rsidRDefault="00F77ECC" w:rsidP="00831A38">
      <w:pPr>
        <w:pStyle w:val="SingleTxtG"/>
        <w:tabs>
          <w:tab w:val="left" w:pos="3119"/>
        </w:tabs>
        <w:ind w:left="3119" w:hanging="1985"/>
        <w:rPr>
          <w:lang w:val="fr-FR"/>
        </w:rPr>
      </w:pPr>
      <w:r w:rsidRPr="00867EB6">
        <w:rPr>
          <w:i/>
          <w:lang w:val="fr-FR"/>
        </w:rPr>
        <w:t>Document informel</w:t>
      </w:r>
      <w:r w:rsidR="00831A38">
        <w:rPr>
          <w:i/>
          <w:lang w:val="fr-FR"/>
        </w:rPr>
        <w:t> </w:t>
      </w:r>
      <w:r>
        <w:rPr>
          <w:lang w:val="fr-FR"/>
        </w:rPr>
        <w:t>:</w:t>
      </w:r>
      <w:r w:rsidRPr="00867EB6">
        <w:rPr>
          <w:lang w:val="fr-FR"/>
        </w:rPr>
        <w:tab/>
        <w:t>INF.7 (Pays-Bas).</w:t>
      </w:r>
    </w:p>
    <w:p w:rsidR="00F77ECC" w:rsidRPr="00867EB6" w:rsidRDefault="00F77ECC" w:rsidP="00831A38">
      <w:pPr>
        <w:pStyle w:val="SingleTxtG"/>
        <w:rPr>
          <w:lang w:val="fr-FR"/>
        </w:rPr>
      </w:pPr>
      <w:r w:rsidRPr="00867EB6">
        <w:rPr>
          <w:lang w:val="fr-FR"/>
        </w:rPr>
        <w:t>19.</w:t>
      </w:r>
      <w:r w:rsidRPr="00867EB6">
        <w:rPr>
          <w:lang w:val="fr-FR"/>
        </w:rPr>
        <w:tab/>
        <w:t>Le Comité de sécurité a noté que les conduites de retour de gaz n</w:t>
      </w:r>
      <w:r>
        <w:rPr>
          <w:lang w:val="fr-FR"/>
        </w:rPr>
        <w:t>’</w:t>
      </w:r>
      <w:r w:rsidRPr="00867EB6">
        <w:rPr>
          <w:lang w:val="fr-FR"/>
        </w:rPr>
        <w:t>étaient pas disponibles partout et qu</w:t>
      </w:r>
      <w:r>
        <w:rPr>
          <w:lang w:val="fr-FR"/>
        </w:rPr>
        <w:t>’</w:t>
      </w:r>
      <w:r w:rsidRPr="00867EB6">
        <w:rPr>
          <w:lang w:val="fr-FR"/>
        </w:rPr>
        <w:t>il n</w:t>
      </w:r>
      <w:r>
        <w:rPr>
          <w:lang w:val="fr-FR"/>
        </w:rPr>
        <w:t>’</w:t>
      </w:r>
      <w:r w:rsidRPr="00867EB6">
        <w:rPr>
          <w:lang w:val="fr-FR"/>
        </w:rPr>
        <w:t>était pas possible d</w:t>
      </w:r>
      <w:r>
        <w:rPr>
          <w:lang w:val="fr-FR"/>
        </w:rPr>
        <w:t>’</w:t>
      </w:r>
      <w:r w:rsidRPr="00867EB6">
        <w:rPr>
          <w:lang w:val="fr-FR"/>
        </w:rPr>
        <w:t>en utiliser dans tous les cas. Il a également été souligné que l</w:t>
      </w:r>
      <w:r>
        <w:rPr>
          <w:lang w:val="fr-FR"/>
        </w:rPr>
        <w:t>’</w:t>
      </w:r>
      <w:r w:rsidRPr="00867EB6">
        <w:rPr>
          <w:lang w:val="fr-FR"/>
        </w:rPr>
        <w:t xml:space="preserve">utilisation de conduites de retour de gaz pouvait entraîner la création de mélanges gazeux indéterminés susceptibles de donner lieu à une réaction dangereuse dans la citerne avec les vapeurs de la matière déchargée, et que cela devait être évité. </w:t>
      </w:r>
    </w:p>
    <w:p w:rsidR="00F77ECC" w:rsidRPr="00867EB6" w:rsidRDefault="00F77ECC" w:rsidP="00831A38">
      <w:pPr>
        <w:pStyle w:val="SingleTxtG"/>
        <w:rPr>
          <w:lang w:val="fr-FR"/>
        </w:rPr>
      </w:pPr>
      <w:r w:rsidRPr="00867EB6">
        <w:rPr>
          <w:lang w:val="fr-FR"/>
        </w:rPr>
        <w:t>20.</w:t>
      </w:r>
      <w:r w:rsidRPr="00867EB6">
        <w:rPr>
          <w:lang w:val="fr-FR"/>
        </w:rPr>
        <w:tab/>
        <w:t>Le Comité de sécurité a en outre relevé que les dispositions actuelles des alinéas</w:t>
      </w:r>
      <w:r w:rsidR="00831A38">
        <w:rPr>
          <w:lang w:val="fr-FR"/>
        </w:rPr>
        <w:t> </w:t>
      </w:r>
      <w:r w:rsidRPr="00867EB6">
        <w:rPr>
          <w:lang w:val="fr-FR"/>
        </w:rPr>
        <w:t>i) et</w:t>
      </w:r>
      <w:r w:rsidR="00831A38">
        <w:rPr>
          <w:lang w:val="fr-FR"/>
        </w:rPr>
        <w:t> </w:t>
      </w:r>
      <w:r w:rsidRPr="00867EB6">
        <w:rPr>
          <w:lang w:val="fr-FR"/>
        </w:rPr>
        <w:t>j) du 1.4.3.7.1 de l</w:t>
      </w:r>
      <w:r>
        <w:rPr>
          <w:lang w:val="fr-FR"/>
        </w:rPr>
        <w:t>’</w:t>
      </w:r>
      <w:r w:rsidRPr="00867EB6">
        <w:rPr>
          <w:lang w:val="fr-FR"/>
        </w:rPr>
        <w:t>ADN exigeaient que le déchargeur s</w:t>
      </w:r>
      <w:r>
        <w:rPr>
          <w:lang w:val="fr-FR"/>
        </w:rPr>
        <w:t>’</w:t>
      </w:r>
      <w:r w:rsidRPr="00867EB6">
        <w:rPr>
          <w:lang w:val="fr-FR"/>
        </w:rPr>
        <w:t>assure que lorsqu</w:t>
      </w:r>
      <w:r>
        <w:rPr>
          <w:lang w:val="fr-FR"/>
        </w:rPr>
        <w:t>’</w:t>
      </w:r>
      <w:r w:rsidRPr="00867EB6">
        <w:rPr>
          <w:lang w:val="fr-FR"/>
        </w:rPr>
        <w:t>une conduite de retour de gaz était prescrite conformément au 7.2.4.25.5, elle soit équipée d</w:t>
      </w:r>
      <w:r>
        <w:rPr>
          <w:lang w:val="fr-FR"/>
        </w:rPr>
        <w:t>’</w:t>
      </w:r>
      <w:r w:rsidRPr="00867EB6">
        <w:rPr>
          <w:lang w:val="fr-FR"/>
        </w:rPr>
        <w:t xml:space="preserve">un </w:t>
      </w:r>
      <w:r w:rsidRPr="00867EB6">
        <w:rPr>
          <w:lang w:val="fr-FR"/>
        </w:rPr>
        <w:lastRenderedPageBreak/>
        <w:t>coupe</w:t>
      </w:r>
      <w:r w:rsidR="00831A38">
        <w:rPr>
          <w:lang w:val="fr-FR"/>
        </w:rPr>
        <w:noBreakHyphen/>
      </w:r>
      <w:r w:rsidRPr="00867EB6">
        <w:rPr>
          <w:lang w:val="fr-FR"/>
        </w:rPr>
        <w:t>flammes, mais que cette obligation ne figurait pas dans la liste de contrôle visée au</w:t>
      </w:r>
      <w:r w:rsidR="00831A38">
        <w:rPr>
          <w:lang w:val="fr-FR"/>
        </w:rPr>
        <w:t> </w:t>
      </w:r>
      <w:r w:rsidRPr="00867EB6">
        <w:rPr>
          <w:lang w:val="fr-FR"/>
        </w:rPr>
        <w:t>7.2.4.10. Il a également été signalé que les dispositions du 1.4.3.7 concernaient le déchargement, alors que la liste de contrôle s</w:t>
      </w:r>
      <w:r>
        <w:rPr>
          <w:lang w:val="fr-FR"/>
        </w:rPr>
        <w:t>’</w:t>
      </w:r>
      <w:r w:rsidRPr="00867EB6">
        <w:rPr>
          <w:lang w:val="fr-FR"/>
        </w:rPr>
        <w:t xml:space="preserve">appliquait au chargement. Les représentants de </w:t>
      </w:r>
      <w:proofErr w:type="spellStart"/>
      <w:r w:rsidRPr="00867EB6">
        <w:rPr>
          <w:lang w:val="fr-FR"/>
        </w:rPr>
        <w:t>FuelsEurope</w:t>
      </w:r>
      <w:proofErr w:type="spellEnd"/>
      <w:r w:rsidRPr="00867EB6">
        <w:rPr>
          <w:lang w:val="fr-FR"/>
        </w:rPr>
        <w:t xml:space="preserve"> et du CEFIC ont proposé de soumettre une proposition pour la prochaine session.</w:t>
      </w:r>
    </w:p>
    <w:p w:rsidR="00F77ECC" w:rsidRPr="00867EB6" w:rsidRDefault="00F77ECC" w:rsidP="00831A38">
      <w:pPr>
        <w:pStyle w:val="H23G"/>
        <w:rPr>
          <w:lang w:val="fr-FR"/>
        </w:rPr>
      </w:pPr>
      <w:r w:rsidRPr="00867EB6">
        <w:rPr>
          <w:lang w:val="fr-FR"/>
        </w:rPr>
        <w:tab/>
        <w:t>8.</w:t>
      </w:r>
      <w:r w:rsidRPr="00867EB6">
        <w:rPr>
          <w:lang w:val="fr-FR"/>
        </w:rPr>
        <w:tab/>
        <w:t>Transport de tourte</w:t>
      </w:r>
      <w:r w:rsidR="00831A38">
        <w:rPr>
          <w:lang w:val="fr-FR"/>
        </w:rPr>
        <w:t>aux de pression de palmiste (N</w:t>
      </w:r>
      <w:r w:rsidR="00831A38" w:rsidRPr="00831A38">
        <w:rPr>
          <w:vertAlign w:val="superscript"/>
          <w:lang w:val="fr-FR"/>
        </w:rPr>
        <w:t>o</w:t>
      </w:r>
      <w:r w:rsidR="00831A38">
        <w:rPr>
          <w:lang w:val="fr-FR"/>
        </w:rPr>
        <w:t> </w:t>
      </w:r>
      <w:r w:rsidRPr="00867EB6">
        <w:rPr>
          <w:lang w:val="fr-FR"/>
        </w:rPr>
        <w:t>ONU 1386)</w:t>
      </w:r>
      <w:bookmarkStart w:id="22" w:name="_Toc505688416"/>
      <w:bookmarkEnd w:id="22"/>
    </w:p>
    <w:p w:rsidR="00F77ECC" w:rsidRPr="00867EB6" w:rsidRDefault="00F77ECC" w:rsidP="00831A38">
      <w:pPr>
        <w:pStyle w:val="SingleTxtG"/>
        <w:tabs>
          <w:tab w:val="left" w:pos="3119"/>
        </w:tabs>
        <w:ind w:left="3119" w:hanging="1985"/>
        <w:rPr>
          <w:lang w:val="fr-FR"/>
        </w:rPr>
      </w:pPr>
      <w:r w:rsidRPr="00867EB6">
        <w:rPr>
          <w:i/>
          <w:lang w:val="fr-FR"/>
        </w:rPr>
        <w:t>Document informel</w:t>
      </w:r>
      <w:r w:rsidR="00831A38">
        <w:rPr>
          <w:i/>
          <w:lang w:val="fr-FR"/>
        </w:rPr>
        <w:t> </w:t>
      </w:r>
      <w:r>
        <w:rPr>
          <w:lang w:val="fr-FR"/>
        </w:rPr>
        <w:t>:</w:t>
      </w:r>
      <w:r w:rsidRPr="00867EB6">
        <w:rPr>
          <w:lang w:val="fr-FR"/>
        </w:rPr>
        <w:tab/>
        <w:t>INF.23 (ERSTU, OEB et UENF).</w:t>
      </w:r>
    </w:p>
    <w:p w:rsidR="00F77ECC" w:rsidRPr="00867EB6" w:rsidRDefault="00F77ECC" w:rsidP="00BF4EE1">
      <w:pPr>
        <w:pStyle w:val="SingleTxtG"/>
        <w:rPr>
          <w:lang w:val="fr-FR"/>
        </w:rPr>
      </w:pPr>
      <w:r w:rsidRPr="00867EB6">
        <w:rPr>
          <w:lang w:val="fr-FR"/>
        </w:rPr>
        <w:t>21.</w:t>
      </w:r>
      <w:r w:rsidRPr="00867EB6">
        <w:rPr>
          <w:lang w:val="fr-FR"/>
        </w:rPr>
        <w:tab/>
        <w:t>Le Comité de sécurité a estimé que la question de savoir si les tourteaux contenant plus de 1,5</w:t>
      </w:r>
      <w:r w:rsidR="00BF4EE1">
        <w:rPr>
          <w:lang w:val="fr-FR"/>
        </w:rPr>
        <w:t> </w:t>
      </w:r>
      <w:r w:rsidRPr="00867EB6">
        <w:rPr>
          <w:lang w:val="fr-FR"/>
        </w:rPr>
        <w:t>% d</w:t>
      </w:r>
      <w:r>
        <w:rPr>
          <w:lang w:val="fr-FR"/>
        </w:rPr>
        <w:t>’</w:t>
      </w:r>
      <w:r w:rsidRPr="00867EB6">
        <w:rPr>
          <w:lang w:val="fr-FR"/>
        </w:rPr>
        <w:t>huile et plus de 11</w:t>
      </w:r>
      <w:r w:rsidR="00BF4EE1">
        <w:rPr>
          <w:lang w:val="fr-FR"/>
        </w:rPr>
        <w:t> </w:t>
      </w:r>
      <w:r w:rsidRPr="00867EB6">
        <w:rPr>
          <w:lang w:val="fr-FR"/>
        </w:rPr>
        <w:t>% d</w:t>
      </w:r>
      <w:r>
        <w:rPr>
          <w:lang w:val="fr-FR"/>
        </w:rPr>
        <w:t>’</w:t>
      </w:r>
      <w:r w:rsidRPr="00867EB6">
        <w:rPr>
          <w:lang w:val="fr-FR"/>
        </w:rPr>
        <w:t>humidité devaient être exemptés de la réglementation applicable au transport des marchandises dangereuses devait être soumise au Sous-Comité d</w:t>
      </w:r>
      <w:r>
        <w:rPr>
          <w:lang w:val="fr-FR"/>
        </w:rPr>
        <w:t>’</w:t>
      </w:r>
      <w:r w:rsidRPr="00867EB6">
        <w:rPr>
          <w:lang w:val="fr-FR"/>
        </w:rPr>
        <w:t xml:space="preserve">experts du transport des marchandises dangereuses. </w:t>
      </w:r>
    </w:p>
    <w:p w:rsidR="00F77ECC" w:rsidRPr="00867EB6" w:rsidRDefault="00F77ECC" w:rsidP="00BF4EE1">
      <w:pPr>
        <w:pStyle w:val="SingleTxtG"/>
        <w:rPr>
          <w:lang w:val="fr-FR"/>
        </w:rPr>
      </w:pPr>
      <w:r w:rsidRPr="00867EB6">
        <w:rPr>
          <w:lang w:val="fr-FR"/>
        </w:rPr>
        <w:t>22.</w:t>
      </w:r>
      <w:r w:rsidRPr="00867EB6">
        <w:rPr>
          <w:lang w:val="fr-FR"/>
        </w:rPr>
        <w:tab/>
        <w:t>S</w:t>
      </w:r>
      <w:r>
        <w:rPr>
          <w:lang w:val="fr-FR"/>
        </w:rPr>
        <w:t>’</w:t>
      </w:r>
      <w:r w:rsidRPr="00867EB6">
        <w:rPr>
          <w:lang w:val="fr-FR"/>
        </w:rPr>
        <w:t>agissant de l</w:t>
      </w:r>
      <w:r>
        <w:rPr>
          <w:lang w:val="fr-FR"/>
        </w:rPr>
        <w:t>’</w:t>
      </w:r>
      <w:r w:rsidRPr="00867EB6">
        <w:rPr>
          <w:lang w:val="fr-FR"/>
        </w:rPr>
        <w:t>interprétation du 2.2.42.1.7, le Comité de sécurité a estimé qu</w:t>
      </w:r>
      <w:r>
        <w:rPr>
          <w:lang w:val="fr-FR"/>
        </w:rPr>
        <w:t>’</w:t>
      </w:r>
      <w:r w:rsidRPr="00867EB6">
        <w:rPr>
          <w:lang w:val="fr-FR"/>
        </w:rPr>
        <w:t>il n</w:t>
      </w:r>
      <w:r>
        <w:rPr>
          <w:lang w:val="fr-FR"/>
        </w:rPr>
        <w:t>’</w:t>
      </w:r>
      <w:r w:rsidRPr="00867EB6">
        <w:rPr>
          <w:lang w:val="fr-FR"/>
        </w:rPr>
        <w:t>y</w:t>
      </w:r>
      <w:r w:rsidR="00112211">
        <w:rPr>
          <w:lang w:val="fr-FR"/>
        </w:rPr>
        <w:t> </w:t>
      </w:r>
      <w:r w:rsidRPr="00867EB6">
        <w:rPr>
          <w:lang w:val="fr-FR"/>
        </w:rPr>
        <w:t>avait pas d</w:t>
      </w:r>
      <w:r>
        <w:rPr>
          <w:lang w:val="fr-FR"/>
        </w:rPr>
        <w:t>’</w:t>
      </w:r>
      <w:r w:rsidRPr="00867EB6">
        <w:rPr>
          <w:lang w:val="fr-FR"/>
        </w:rPr>
        <w:t>obligation d</w:t>
      </w:r>
      <w:r>
        <w:rPr>
          <w:lang w:val="fr-FR"/>
        </w:rPr>
        <w:t>’</w:t>
      </w:r>
      <w:r w:rsidRPr="00867EB6">
        <w:rPr>
          <w:lang w:val="fr-FR"/>
        </w:rPr>
        <w:t>effectuer des essais dans chaque cas. Il a confirmé qu</w:t>
      </w:r>
      <w:r>
        <w:rPr>
          <w:lang w:val="fr-FR"/>
        </w:rPr>
        <w:t>’</w:t>
      </w:r>
      <w:r w:rsidRPr="00867EB6">
        <w:rPr>
          <w:lang w:val="fr-FR"/>
        </w:rPr>
        <w:t>il incombait à l</w:t>
      </w:r>
      <w:r>
        <w:rPr>
          <w:lang w:val="fr-FR"/>
        </w:rPr>
        <w:t>’</w:t>
      </w:r>
      <w:r w:rsidRPr="00867EB6">
        <w:rPr>
          <w:lang w:val="fr-FR"/>
        </w:rPr>
        <w:t>expéditeur de décider, au cas par cas, si des essais complémentaires se justifiaient pour les matières pour lesquelles il existait des preuves (selon le 2.2.42.1.7) qu</w:t>
      </w:r>
      <w:r>
        <w:rPr>
          <w:lang w:val="fr-FR"/>
        </w:rPr>
        <w:t>’</w:t>
      </w:r>
      <w:r w:rsidRPr="00867EB6">
        <w:rPr>
          <w:lang w:val="fr-FR"/>
        </w:rPr>
        <w:t>elles ne remplissaient pas les critères de classement dans la classe 4.2, et sous réserve que leurs caractéristiques physiques demeurent inchangées.</w:t>
      </w:r>
    </w:p>
    <w:p w:rsidR="00F77ECC" w:rsidRPr="00867EB6" w:rsidRDefault="00F77ECC" w:rsidP="00BF4EE1">
      <w:pPr>
        <w:pStyle w:val="H23G"/>
        <w:rPr>
          <w:lang w:val="fr-FR"/>
        </w:rPr>
      </w:pPr>
      <w:r w:rsidRPr="00867EB6">
        <w:rPr>
          <w:lang w:val="fr-FR"/>
        </w:rPr>
        <w:tab/>
        <w:t>9.</w:t>
      </w:r>
      <w:r w:rsidRPr="00867EB6">
        <w:rPr>
          <w:lang w:val="fr-FR"/>
        </w:rPr>
        <w:tab/>
        <w:t>Délivrance des documents de transport</w:t>
      </w:r>
      <w:bookmarkStart w:id="23" w:name="_Toc505688417"/>
      <w:bookmarkEnd w:id="23"/>
    </w:p>
    <w:p w:rsidR="00F77ECC" w:rsidRPr="00867EB6" w:rsidRDefault="00F77ECC" w:rsidP="00BF4EE1">
      <w:pPr>
        <w:pStyle w:val="SingleTxtG"/>
        <w:tabs>
          <w:tab w:val="left" w:pos="3119"/>
        </w:tabs>
        <w:ind w:left="3119" w:hanging="1985"/>
        <w:rPr>
          <w:lang w:val="fr-FR"/>
        </w:rPr>
      </w:pPr>
      <w:r w:rsidRPr="00867EB6">
        <w:rPr>
          <w:i/>
          <w:lang w:val="fr-FR"/>
        </w:rPr>
        <w:t>Document informel</w:t>
      </w:r>
      <w:r w:rsidR="00BF4EE1">
        <w:rPr>
          <w:i/>
          <w:lang w:val="fr-FR"/>
        </w:rPr>
        <w:t> </w:t>
      </w:r>
      <w:r>
        <w:rPr>
          <w:lang w:val="fr-FR"/>
        </w:rPr>
        <w:t>:</w:t>
      </w:r>
      <w:r w:rsidRPr="00867EB6">
        <w:rPr>
          <w:lang w:val="fr-FR"/>
        </w:rPr>
        <w:tab/>
        <w:t>INF.28 (ERSTU, OEB et UENF).</w:t>
      </w:r>
    </w:p>
    <w:p w:rsidR="00F77ECC" w:rsidRPr="00867EB6" w:rsidRDefault="00F77ECC" w:rsidP="00BF4EE1">
      <w:pPr>
        <w:pStyle w:val="SingleTxtG"/>
        <w:rPr>
          <w:lang w:val="fr-FR"/>
        </w:rPr>
      </w:pPr>
      <w:r w:rsidRPr="00867EB6">
        <w:rPr>
          <w:lang w:val="fr-FR"/>
        </w:rPr>
        <w:t>23.</w:t>
      </w:r>
      <w:r w:rsidRPr="00867EB6">
        <w:rPr>
          <w:lang w:val="fr-FR"/>
        </w:rPr>
        <w:tab/>
        <w:t>Le Comité de sécurité a estimé que les obligations et les responsabilités de l</w:t>
      </w:r>
      <w:r>
        <w:rPr>
          <w:lang w:val="fr-FR"/>
        </w:rPr>
        <w:t>’</w:t>
      </w:r>
      <w:r w:rsidRPr="00867EB6">
        <w:rPr>
          <w:lang w:val="fr-FR"/>
        </w:rPr>
        <w:t>expéditeur, du chargeur et du transporteur étaient clairement établies dans l</w:t>
      </w:r>
      <w:r>
        <w:rPr>
          <w:lang w:val="fr-FR"/>
        </w:rPr>
        <w:t>’</w:t>
      </w:r>
      <w:r w:rsidRPr="00867EB6">
        <w:rPr>
          <w:lang w:val="fr-FR"/>
        </w:rPr>
        <w:t>ADN et que tout écart par rapport à ces dispositions ou à des dispositions équivalentes de la législation nationale pourrait poser des problèmes d</w:t>
      </w:r>
      <w:r>
        <w:rPr>
          <w:lang w:val="fr-FR"/>
        </w:rPr>
        <w:t>’</w:t>
      </w:r>
      <w:r w:rsidRPr="00867EB6">
        <w:rPr>
          <w:lang w:val="fr-FR"/>
        </w:rPr>
        <w:t>un point de vue juridique. Le Comité de sécurité a également jugé que si l</w:t>
      </w:r>
      <w:r>
        <w:rPr>
          <w:lang w:val="fr-FR"/>
        </w:rPr>
        <w:t>’</w:t>
      </w:r>
      <w:r w:rsidRPr="00867EB6">
        <w:rPr>
          <w:lang w:val="fr-FR"/>
        </w:rPr>
        <w:t>expéditeur désignait un représentant habilité à agir en son nom, c</w:t>
      </w:r>
      <w:r>
        <w:rPr>
          <w:lang w:val="fr-FR"/>
        </w:rPr>
        <w:t>’</w:t>
      </w:r>
      <w:r w:rsidRPr="00867EB6">
        <w:rPr>
          <w:lang w:val="fr-FR"/>
        </w:rPr>
        <w:t>est à ce dernier qu</w:t>
      </w:r>
      <w:r>
        <w:rPr>
          <w:lang w:val="fr-FR"/>
        </w:rPr>
        <w:t>’</w:t>
      </w:r>
      <w:r w:rsidRPr="00867EB6">
        <w:rPr>
          <w:lang w:val="fr-FR"/>
        </w:rPr>
        <w:t>il incombait de fournir les documents de transport.</w:t>
      </w:r>
    </w:p>
    <w:p w:rsidR="00F77ECC" w:rsidRPr="00867EB6" w:rsidRDefault="00F77ECC" w:rsidP="00BF4EE1">
      <w:pPr>
        <w:pStyle w:val="H1G"/>
        <w:rPr>
          <w:lang w:val="fr-FR"/>
        </w:rPr>
      </w:pPr>
      <w:r w:rsidRPr="00867EB6">
        <w:rPr>
          <w:lang w:val="fr-FR"/>
        </w:rPr>
        <w:tab/>
        <w:t>D.</w:t>
      </w:r>
      <w:r w:rsidRPr="00867EB6">
        <w:rPr>
          <w:lang w:val="fr-FR"/>
        </w:rPr>
        <w:tab/>
        <w:t>Formation des experts</w:t>
      </w:r>
      <w:bookmarkStart w:id="24" w:name="_Toc505688418"/>
      <w:bookmarkEnd w:id="24"/>
    </w:p>
    <w:p w:rsidR="00F77ECC" w:rsidRPr="00867EB6" w:rsidRDefault="00F77ECC" w:rsidP="00BF4EE1">
      <w:pPr>
        <w:pStyle w:val="H23G"/>
        <w:rPr>
          <w:lang w:val="fr-FR"/>
        </w:rPr>
      </w:pPr>
      <w:r w:rsidRPr="00867EB6">
        <w:rPr>
          <w:lang w:val="fr-FR"/>
        </w:rPr>
        <w:tab/>
        <w:t>1.</w:t>
      </w:r>
      <w:r w:rsidRPr="00867EB6">
        <w:rPr>
          <w:lang w:val="fr-FR"/>
        </w:rPr>
        <w:tab/>
        <w:t>Sections 8.2.1 et 8.2.2 de l</w:t>
      </w:r>
      <w:r>
        <w:rPr>
          <w:lang w:val="fr-FR"/>
        </w:rPr>
        <w:t>’</w:t>
      </w:r>
      <w:r w:rsidRPr="00867EB6">
        <w:rPr>
          <w:lang w:val="fr-FR"/>
        </w:rPr>
        <w:t>ADN</w:t>
      </w:r>
      <w:bookmarkStart w:id="25" w:name="_Toc505688419"/>
      <w:bookmarkEnd w:id="25"/>
    </w:p>
    <w:p w:rsidR="00F77ECC" w:rsidRPr="00867EB6" w:rsidRDefault="00F77ECC" w:rsidP="00BF4EE1">
      <w:pPr>
        <w:pStyle w:val="SingleTxtG"/>
        <w:tabs>
          <w:tab w:val="left" w:pos="3119"/>
        </w:tabs>
        <w:ind w:left="3119" w:hanging="1985"/>
        <w:rPr>
          <w:lang w:val="fr-FR"/>
        </w:rPr>
      </w:pPr>
      <w:r w:rsidRPr="00867EB6">
        <w:rPr>
          <w:i/>
          <w:lang w:val="fr-FR"/>
        </w:rPr>
        <w:t>Document</w:t>
      </w:r>
      <w:r w:rsidR="00BF4EE1">
        <w:rPr>
          <w:i/>
          <w:lang w:val="fr-FR"/>
        </w:rPr>
        <w:t>(s) </w:t>
      </w:r>
      <w:r>
        <w:rPr>
          <w:lang w:val="fr-FR"/>
        </w:rPr>
        <w:t>:</w:t>
      </w:r>
      <w:r w:rsidRPr="00867EB6">
        <w:rPr>
          <w:lang w:val="fr-FR"/>
        </w:rPr>
        <w:tab/>
        <w:t>ECE/TRANS/WP.15/AC.2/2018/12 (Allemagne).</w:t>
      </w:r>
    </w:p>
    <w:p w:rsidR="00F77ECC" w:rsidRPr="00867EB6" w:rsidRDefault="00F77ECC" w:rsidP="000A40F4">
      <w:pPr>
        <w:pStyle w:val="SingleTxtG"/>
        <w:rPr>
          <w:lang w:val="fr-FR"/>
        </w:rPr>
      </w:pPr>
      <w:r w:rsidRPr="00867EB6">
        <w:rPr>
          <w:lang w:val="fr-FR"/>
        </w:rPr>
        <w:t>24.</w:t>
      </w:r>
      <w:r w:rsidRPr="00867EB6">
        <w:rPr>
          <w:lang w:val="fr-FR"/>
        </w:rPr>
        <w:tab/>
        <w:t>Le Comité de sécurité a adopté les propositions d</w:t>
      </w:r>
      <w:r>
        <w:rPr>
          <w:lang w:val="fr-FR"/>
        </w:rPr>
        <w:t>’</w:t>
      </w:r>
      <w:r w:rsidRPr="00867EB6">
        <w:rPr>
          <w:lang w:val="fr-FR"/>
        </w:rPr>
        <w:t>amendements aux chapitres</w:t>
      </w:r>
      <w:r w:rsidR="000A40F4">
        <w:rPr>
          <w:lang w:val="fr-FR"/>
        </w:rPr>
        <w:t> </w:t>
      </w:r>
      <w:r w:rsidRPr="00867EB6">
        <w:rPr>
          <w:lang w:val="fr-FR"/>
        </w:rPr>
        <w:t>1.6, 8.2 et 8.6 moyennant l</w:t>
      </w:r>
      <w:r>
        <w:rPr>
          <w:lang w:val="fr-FR"/>
        </w:rPr>
        <w:t>’</w:t>
      </w:r>
      <w:r w:rsidRPr="00867EB6">
        <w:rPr>
          <w:lang w:val="fr-FR"/>
        </w:rPr>
        <w:t>ajout d</w:t>
      </w:r>
      <w:r>
        <w:rPr>
          <w:lang w:val="fr-FR"/>
        </w:rPr>
        <w:t>’</w:t>
      </w:r>
      <w:r w:rsidRPr="00867EB6">
        <w:rPr>
          <w:lang w:val="fr-FR"/>
        </w:rPr>
        <w:t>une phrase à la fin du paragraphe</w:t>
      </w:r>
      <w:r w:rsidR="000A40F4">
        <w:rPr>
          <w:lang w:val="fr-FR"/>
        </w:rPr>
        <w:t> </w:t>
      </w:r>
      <w:r w:rsidRPr="00867EB6">
        <w:rPr>
          <w:lang w:val="fr-FR"/>
        </w:rPr>
        <w:t>8.2.1.4 modifié pour indiquer qu</w:t>
      </w:r>
      <w:r>
        <w:rPr>
          <w:lang w:val="fr-FR"/>
        </w:rPr>
        <w:t>’</w:t>
      </w:r>
      <w:r w:rsidRPr="00867EB6">
        <w:rPr>
          <w:lang w:val="fr-FR"/>
        </w:rPr>
        <w:t>un candidat n</w:t>
      </w:r>
      <w:r>
        <w:rPr>
          <w:lang w:val="fr-FR"/>
        </w:rPr>
        <w:t>’</w:t>
      </w:r>
      <w:r w:rsidRPr="00867EB6">
        <w:rPr>
          <w:lang w:val="fr-FR"/>
        </w:rPr>
        <w:t>ayant pas réussi l</w:t>
      </w:r>
      <w:r>
        <w:rPr>
          <w:lang w:val="fr-FR"/>
        </w:rPr>
        <w:t>’</w:t>
      </w:r>
      <w:r w:rsidRPr="00867EB6">
        <w:rPr>
          <w:lang w:val="fr-FR"/>
        </w:rPr>
        <w:t xml:space="preserve">examen à la troisième tentative peut suivre à nouveau un cours de recyclage pendant la période de validité du certificat (voir annexe I). </w:t>
      </w:r>
    </w:p>
    <w:p w:rsidR="00F77ECC" w:rsidRPr="00867EB6" w:rsidRDefault="00F77ECC" w:rsidP="000A40F4">
      <w:pPr>
        <w:pStyle w:val="H23G"/>
        <w:rPr>
          <w:lang w:val="fr-FR"/>
        </w:rPr>
      </w:pPr>
      <w:r w:rsidRPr="00867EB6">
        <w:rPr>
          <w:lang w:val="fr-FR"/>
        </w:rPr>
        <w:tab/>
        <w:t>2.</w:t>
      </w:r>
      <w:r w:rsidRPr="00867EB6">
        <w:rPr>
          <w:lang w:val="fr-FR"/>
        </w:rPr>
        <w:tab/>
        <w:t>Statistiques relatives aux examens</w:t>
      </w:r>
      <w:bookmarkStart w:id="26" w:name="_Toc505688420"/>
      <w:bookmarkEnd w:id="26"/>
    </w:p>
    <w:p w:rsidR="00F77ECC" w:rsidRPr="00867EB6" w:rsidRDefault="00F77ECC" w:rsidP="000A40F4">
      <w:pPr>
        <w:pStyle w:val="SingleTxtG"/>
        <w:tabs>
          <w:tab w:val="left" w:pos="3119"/>
        </w:tabs>
        <w:ind w:left="3119" w:hanging="1985"/>
        <w:rPr>
          <w:lang w:val="fr-FR"/>
        </w:rPr>
      </w:pPr>
      <w:r w:rsidRPr="00867EB6">
        <w:rPr>
          <w:i/>
          <w:lang w:val="fr-FR"/>
        </w:rPr>
        <w:t>Document informel</w:t>
      </w:r>
      <w:r w:rsidR="000A40F4">
        <w:rPr>
          <w:i/>
          <w:lang w:val="fr-FR"/>
        </w:rPr>
        <w:t> </w:t>
      </w:r>
      <w:r w:rsidRPr="000A40F4">
        <w:rPr>
          <w:lang w:val="fr-FR"/>
        </w:rPr>
        <w:t>:</w:t>
      </w:r>
      <w:r w:rsidRPr="00867EB6">
        <w:rPr>
          <w:lang w:val="fr-FR"/>
        </w:rPr>
        <w:tab/>
        <w:t>INF.16 (Pays-Bas).</w:t>
      </w:r>
    </w:p>
    <w:p w:rsidR="00F77ECC" w:rsidRPr="00867EB6" w:rsidRDefault="00F77ECC" w:rsidP="000A40F4">
      <w:pPr>
        <w:pStyle w:val="SingleTxtG"/>
        <w:rPr>
          <w:lang w:val="fr-FR"/>
        </w:rPr>
      </w:pPr>
      <w:r w:rsidRPr="00867EB6">
        <w:rPr>
          <w:lang w:val="fr-FR"/>
        </w:rPr>
        <w:t>25.</w:t>
      </w:r>
      <w:r w:rsidRPr="00867EB6">
        <w:rPr>
          <w:lang w:val="fr-FR"/>
        </w:rPr>
        <w:tab/>
        <w:t>Le Comité de sécurité a accueilli avec intérêt les informations communiquées par les</w:t>
      </w:r>
      <w:r w:rsidR="000A40F4">
        <w:rPr>
          <w:lang w:val="fr-FR"/>
        </w:rPr>
        <w:t> </w:t>
      </w:r>
      <w:r w:rsidRPr="00867EB6">
        <w:rPr>
          <w:lang w:val="fr-FR"/>
        </w:rPr>
        <w:t>Pays-Bas. Il a estimé que le taux de réussite des candidats pourrait servir d</w:t>
      </w:r>
      <w:r>
        <w:rPr>
          <w:lang w:val="fr-FR"/>
        </w:rPr>
        <w:t>’</w:t>
      </w:r>
      <w:r w:rsidRPr="00867EB6">
        <w:rPr>
          <w:lang w:val="fr-FR"/>
        </w:rPr>
        <w:t xml:space="preserve">indicateur du niveau de difficulté des épreuves et a invité toutes les Parties contractantes à contribuer à la collecte de statistiques. </w:t>
      </w:r>
    </w:p>
    <w:p w:rsidR="00F77ECC" w:rsidRPr="00867EB6" w:rsidRDefault="00F77ECC" w:rsidP="000A40F4">
      <w:pPr>
        <w:pStyle w:val="SingleTxtG"/>
        <w:rPr>
          <w:lang w:val="fr-FR"/>
        </w:rPr>
      </w:pPr>
      <w:r w:rsidRPr="00867EB6">
        <w:rPr>
          <w:lang w:val="fr-FR"/>
        </w:rPr>
        <w:t>26.</w:t>
      </w:r>
      <w:r w:rsidRPr="00867EB6">
        <w:rPr>
          <w:lang w:val="fr-FR"/>
        </w:rPr>
        <w:tab/>
        <w:t>En outre, il a noté avec satisfaction que les chiffres faisaient ressortir une augmentation sensible du nombre de candidats ayant suivi la formation pour la première fois et a émis l</w:t>
      </w:r>
      <w:r>
        <w:rPr>
          <w:lang w:val="fr-FR"/>
        </w:rPr>
        <w:t>’</w:t>
      </w:r>
      <w:r w:rsidRPr="00867EB6">
        <w:rPr>
          <w:lang w:val="fr-FR"/>
        </w:rPr>
        <w:t>hypothèse que cela pourrait être dû au fait que, dans certains cas, la présence de plus d</w:t>
      </w:r>
      <w:r>
        <w:rPr>
          <w:lang w:val="fr-FR"/>
        </w:rPr>
        <w:t>’</w:t>
      </w:r>
      <w:r w:rsidRPr="00867EB6">
        <w:rPr>
          <w:lang w:val="fr-FR"/>
        </w:rPr>
        <w:t>un expert à bord était nécessaire.</w:t>
      </w:r>
    </w:p>
    <w:p w:rsidR="00F77ECC" w:rsidRPr="00867EB6" w:rsidRDefault="00F77ECC" w:rsidP="000A40F4">
      <w:pPr>
        <w:pStyle w:val="SingleTxtG"/>
        <w:rPr>
          <w:lang w:val="fr-FR"/>
        </w:rPr>
      </w:pPr>
      <w:r w:rsidRPr="00867EB6">
        <w:rPr>
          <w:lang w:val="fr-FR"/>
        </w:rPr>
        <w:t>27.</w:t>
      </w:r>
      <w:r w:rsidRPr="00867EB6">
        <w:rPr>
          <w:lang w:val="fr-FR"/>
        </w:rPr>
        <w:tab/>
        <w:t>En réponse à une question au sujet des données sur les résultats et la participation aux cours de recyclage, le représentant des Pays-Bas a informé le Comité de sécurité que les statistiques disponibles à l</w:t>
      </w:r>
      <w:r>
        <w:rPr>
          <w:lang w:val="fr-FR"/>
        </w:rPr>
        <w:t>’</w:t>
      </w:r>
      <w:r w:rsidRPr="00867EB6">
        <w:rPr>
          <w:lang w:val="fr-FR"/>
        </w:rPr>
        <w:t>échelon national montraient qu</w:t>
      </w:r>
      <w:r>
        <w:rPr>
          <w:lang w:val="fr-FR"/>
        </w:rPr>
        <w:t>’</w:t>
      </w:r>
      <w:r w:rsidRPr="00867EB6">
        <w:rPr>
          <w:lang w:val="fr-FR"/>
        </w:rPr>
        <w:t>en 2017, environ 950</w:t>
      </w:r>
      <w:r w:rsidR="000A40F4">
        <w:rPr>
          <w:lang w:val="fr-FR"/>
        </w:rPr>
        <w:t> </w:t>
      </w:r>
      <w:r w:rsidRPr="00867EB6">
        <w:rPr>
          <w:lang w:val="fr-FR"/>
        </w:rPr>
        <w:t>personnes avaient suivi des cours de recyclage, avec un taux de réussite de 75 à 80</w:t>
      </w:r>
      <w:r w:rsidR="000A40F4">
        <w:rPr>
          <w:lang w:val="fr-FR"/>
        </w:rPr>
        <w:t> </w:t>
      </w:r>
      <w:r w:rsidRPr="00867EB6">
        <w:rPr>
          <w:lang w:val="fr-FR"/>
        </w:rPr>
        <w:t xml:space="preserve">%. </w:t>
      </w:r>
    </w:p>
    <w:p w:rsidR="00F77ECC" w:rsidRPr="00867EB6" w:rsidRDefault="00F77ECC" w:rsidP="000A40F4">
      <w:pPr>
        <w:pStyle w:val="H1G"/>
        <w:rPr>
          <w:lang w:val="fr-FR"/>
        </w:rPr>
      </w:pPr>
      <w:r w:rsidRPr="00867EB6">
        <w:rPr>
          <w:lang w:val="fr-FR"/>
        </w:rPr>
        <w:lastRenderedPageBreak/>
        <w:tab/>
        <w:t>E.</w:t>
      </w:r>
      <w:r w:rsidRPr="00867EB6">
        <w:rPr>
          <w:lang w:val="fr-FR"/>
        </w:rPr>
        <w:tab/>
        <w:t>Questions relatives aux sociétés de classification</w:t>
      </w:r>
      <w:bookmarkStart w:id="27" w:name="_Toc505688421"/>
      <w:bookmarkEnd w:id="27"/>
    </w:p>
    <w:p w:rsidR="00F77ECC" w:rsidRPr="00867EB6" w:rsidRDefault="00F77ECC" w:rsidP="000A40F4">
      <w:pPr>
        <w:pStyle w:val="H23G"/>
        <w:rPr>
          <w:lang w:val="fr-FR"/>
        </w:rPr>
      </w:pPr>
      <w:r w:rsidRPr="00867EB6">
        <w:rPr>
          <w:lang w:val="fr-FR"/>
        </w:rPr>
        <w:tab/>
        <w:t>1.</w:t>
      </w:r>
      <w:r w:rsidRPr="00867EB6">
        <w:rPr>
          <w:lang w:val="fr-FR"/>
        </w:rPr>
        <w:tab/>
        <w:t>Agrément des instruments de chargement</w:t>
      </w:r>
      <w:bookmarkStart w:id="28" w:name="_Toc505688422"/>
      <w:bookmarkEnd w:id="28"/>
    </w:p>
    <w:p w:rsidR="00F77ECC" w:rsidRPr="00867EB6" w:rsidRDefault="00F77ECC" w:rsidP="000A40F4">
      <w:pPr>
        <w:pStyle w:val="SingleTxtG"/>
        <w:tabs>
          <w:tab w:val="left" w:pos="3119"/>
        </w:tabs>
        <w:ind w:left="3119" w:hanging="1985"/>
        <w:rPr>
          <w:lang w:val="fr-FR"/>
        </w:rPr>
      </w:pPr>
      <w:r w:rsidRPr="00867EB6">
        <w:rPr>
          <w:i/>
          <w:lang w:val="fr-FR"/>
        </w:rPr>
        <w:t>Document informel</w:t>
      </w:r>
      <w:r w:rsidR="000A40F4">
        <w:rPr>
          <w:i/>
          <w:lang w:val="fr-FR"/>
        </w:rPr>
        <w:t> </w:t>
      </w:r>
      <w:r>
        <w:rPr>
          <w:lang w:val="fr-FR"/>
        </w:rPr>
        <w:t>:</w:t>
      </w:r>
      <w:r w:rsidRPr="00867EB6">
        <w:rPr>
          <w:lang w:val="fr-FR"/>
        </w:rPr>
        <w:tab/>
        <w:t>INF.11 (sociétés de classification recommandées ADN).</w:t>
      </w:r>
    </w:p>
    <w:p w:rsidR="00F77ECC" w:rsidRPr="00867EB6" w:rsidRDefault="00F77ECC" w:rsidP="000A40F4">
      <w:pPr>
        <w:pStyle w:val="SingleTxtG"/>
        <w:rPr>
          <w:lang w:val="fr-FR"/>
        </w:rPr>
      </w:pPr>
      <w:r w:rsidRPr="00867EB6">
        <w:rPr>
          <w:lang w:val="fr-FR"/>
        </w:rPr>
        <w:t>28.</w:t>
      </w:r>
      <w:r w:rsidRPr="00867EB6">
        <w:rPr>
          <w:lang w:val="fr-FR"/>
        </w:rPr>
        <w:tab/>
        <w:t>Le Comité de sécurité a accueilli avec intérêt les informations sur l</w:t>
      </w:r>
      <w:r>
        <w:rPr>
          <w:lang w:val="fr-FR"/>
        </w:rPr>
        <w:t>’</w:t>
      </w:r>
      <w:r w:rsidRPr="00867EB6">
        <w:rPr>
          <w:lang w:val="fr-FR"/>
        </w:rPr>
        <w:t>état d</w:t>
      </w:r>
      <w:r>
        <w:rPr>
          <w:lang w:val="fr-FR"/>
        </w:rPr>
        <w:t>’</w:t>
      </w:r>
      <w:r w:rsidRPr="00867EB6">
        <w:rPr>
          <w:lang w:val="fr-FR"/>
        </w:rPr>
        <w:t>avancement de l</w:t>
      </w:r>
      <w:r>
        <w:rPr>
          <w:lang w:val="fr-FR"/>
        </w:rPr>
        <w:t>’</w:t>
      </w:r>
      <w:r w:rsidRPr="00867EB6">
        <w:rPr>
          <w:lang w:val="fr-FR"/>
        </w:rPr>
        <w:t>installation des instruments de chargement et a noté que, selon les sociétés de classification recommandées ADN, tous les bateaux nécessitant ces instruments seraient équipés d</w:t>
      </w:r>
      <w:r>
        <w:rPr>
          <w:lang w:val="fr-FR"/>
        </w:rPr>
        <w:t>’</w:t>
      </w:r>
      <w:r w:rsidRPr="00867EB6">
        <w:rPr>
          <w:lang w:val="fr-FR"/>
        </w:rPr>
        <w:t>un dispositif agréé d</w:t>
      </w:r>
      <w:r>
        <w:rPr>
          <w:lang w:val="fr-FR"/>
        </w:rPr>
        <w:t>’</w:t>
      </w:r>
      <w:r w:rsidRPr="00867EB6">
        <w:rPr>
          <w:lang w:val="fr-FR"/>
        </w:rPr>
        <w:t xml:space="preserve">ici la fin de la période transitoire applicable à cette prescription. </w:t>
      </w:r>
    </w:p>
    <w:p w:rsidR="00F77ECC" w:rsidRPr="00867EB6" w:rsidRDefault="00F77ECC" w:rsidP="000A40F4">
      <w:pPr>
        <w:pStyle w:val="SingleTxtG"/>
        <w:rPr>
          <w:lang w:val="fr-FR"/>
        </w:rPr>
      </w:pPr>
      <w:r w:rsidRPr="00867EB6">
        <w:rPr>
          <w:lang w:val="fr-FR"/>
        </w:rPr>
        <w:t>29.</w:t>
      </w:r>
      <w:r w:rsidRPr="00867EB6">
        <w:rPr>
          <w:lang w:val="fr-FR"/>
        </w:rPr>
        <w:tab/>
        <w:t>Le Comité de sécurité a invité le groupe informel des sociétés de classification recommandées ADN à lui présenter des informations actualisées à sa session de janvier 2019, y compris les éventuels renseignements fournis par d</w:t>
      </w:r>
      <w:r>
        <w:rPr>
          <w:lang w:val="fr-FR"/>
        </w:rPr>
        <w:t>’</w:t>
      </w:r>
      <w:r w:rsidRPr="00867EB6">
        <w:rPr>
          <w:lang w:val="fr-FR"/>
        </w:rPr>
        <w:t xml:space="preserve">autres sociétés de classification. </w:t>
      </w:r>
    </w:p>
    <w:p w:rsidR="00F77ECC" w:rsidRPr="00867EB6" w:rsidRDefault="00F77ECC" w:rsidP="000A40F4">
      <w:pPr>
        <w:pStyle w:val="H23G"/>
        <w:rPr>
          <w:lang w:val="fr-FR"/>
        </w:rPr>
      </w:pPr>
      <w:r w:rsidRPr="00867EB6">
        <w:rPr>
          <w:lang w:val="fr-FR"/>
        </w:rPr>
        <w:tab/>
        <w:t>2.</w:t>
      </w:r>
      <w:r w:rsidRPr="00867EB6">
        <w:rPr>
          <w:lang w:val="fr-FR"/>
        </w:rPr>
        <w:tab/>
        <w:t>Liste des références à l</w:t>
      </w:r>
      <w:r>
        <w:rPr>
          <w:lang w:val="fr-FR"/>
        </w:rPr>
        <w:t>’</w:t>
      </w:r>
      <w:r w:rsidRPr="00867EB6">
        <w:rPr>
          <w:lang w:val="fr-FR"/>
        </w:rPr>
        <w:t>ADN dans les règles de classification du Registre maritime russe et certificat de conformité avec la norme ISO/CEI 17020:2012</w:t>
      </w:r>
      <w:bookmarkStart w:id="29" w:name="_Toc505688423"/>
      <w:bookmarkEnd w:id="29"/>
    </w:p>
    <w:p w:rsidR="00F77ECC" w:rsidRPr="00867EB6" w:rsidRDefault="00F77ECC" w:rsidP="000A40F4">
      <w:pPr>
        <w:pStyle w:val="SingleTxtG"/>
        <w:tabs>
          <w:tab w:val="left" w:pos="3119"/>
        </w:tabs>
        <w:ind w:left="3119" w:hanging="1985"/>
        <w:rPr>
          <w:lang w:val="fr-FR"/>
        </w:rPr>
      </w:pPr>
      <w:r w:rsidRPr="00867EB6">
        <w:rPr>
          <w:i/>
          <w:lang w:val="fr-FR"/>
        </w:rPr>
        <w:t>Documents informels</w:t>
      </w:r>
      <w:r w:rsidR="000A40F4">
        <w:rPr>
          <w:i/>
          <w:lang w:val="fr-FR"/>
        </w:rPr>
        <w:t> </w:t>
      </w:r>
      <w:r>
        <w:rPr>
          <w:lang w:val="fr-FR"/>
        </w:rPr>
        <w:t>:</w:t>
      </w:r>
      <w:r w:rsidRPr="00867EB6">
        <w:rPr>
          <w:lang w:val="fr-FR"/>
        </w:rPr>
        <w:tab/>
        <w:t>INF.26 et INF.29 (Registre maritime russe).</w:t>
      </w:r>
    </w:p>
    <w:p w:rsidR="00F77ECC" w:rsidRPr="00867EB6" w:rsidRDefault="00F77ECC" w:rsidP="000A40F4">
      <w:pPr>
        <w:pStyle w:val="SingleTxtG"/>
        <w:rPr>
          <w:lang w:val="fr-FR"/>
        </w:rPr>
      </w:pPr>
      <w:r w:rsidRPr="00867EB6">
        <w:rPr>
          <w:lang w:val="fr-FR"/>
        </w:rPr>
        <w:t>30.</w:t>
      </w:r>
      <w:r w:rsidRPr="00867EB6">
        <w:rPr>
          <w:lang w:val="fr-FR"/>
        </w:rPr>
        <w:tab/>
        <w:t>Le Comité de sécurité a pris note des renseignements fournis. Il a toutefois souhaité, compte tenu du fait que ceux-ci avaient été soumis tardivement, disposer de temps supplémentaire pour les examiner et a par conséquent décidé d</w:t>
      </w:r>
      <w:r>
        <w:rPr>
          <w:lang w:val="fr-FR"/>
        </w:rPr>
        <w:t>’</w:t>
      </w:r>
      <w:r w:rsidRPr="00867EB6">
        <w:rPr>
          <w:lang w:val="fr-FR"/>
        </w:rPr>
        <w:t>en reporter l</w:t>
      </w:r>
      <w:r>
        <w:rPr>
          <w:lang w:val="fr-FR"/>
        </w:rPr>
        <w:t>’</w:t>
      </w:r>
      <w:r w:rsidRPr="00867EB6">
        <w:rPr>
          <w:lang w:val="fr-FR"/>
        </w:rPr>
        <w:t>examen à sa trente</w:t>
      </w:r>
      <w:r w:rsidR="000A40F4">
        <w:rPr>
          <w:lang w:val="fr-FR"/>
        </w:rPr>
        <w:noBreakHyphen/>
      </w:r>
      <w:r w:rsidRPr="00867EB6">
        <w:rPr>
          <w:lang w:val="fr-FR"/>
        </w:rPr>
        <w:t>troisième session.</w:t>
      </w:r>
    </w:p>
    <w:p w:rsidR="00F77ECC" w:rsidRPr="00867EB6" w:rsidRDefault="00F77ECC" w:rsidP="000A40F4">
      <w:pPr>
        <w:pStyle w:val="H23G"/>
        <w:rPr>
          <w:lang w:val="fr-FR"/>
        </w:rPr>
      </w:pPr>
      <w:r w:rsidRPr="00867EB6">
        <w:rPr>
          <w:lang w:val="fr-FR"/>
        </w:rPr>
        <w:tab/>
        <w:t>3.</w:t>
      </w:r>
      <w:r w:rsidRPr="00867EB6">
        <w:rPr>
          <w:lang w:val="fr-FR"/>
        </w:rPr>
        <w:tab/>
        <w:t>Liste des références à l</w:t>
      </w:r>
      <w:r>
        <w:rPr>
          <w:lang w:val="fr-FR"/>
        </w:rPr>
        <w:t>’</w:t>
      </w:r>
      <w:r w:rsidRPr="00867EB6">
        <w:rPr>
          <w:lang w:val="fr-FR"/>
        </w:rPr>
        <w:t>ADN dans les règles de classification du Registre fluvial russe</w:t>
      </w:r>
      <w:bookmarkStart w:id="30" w:name="_Toc505688424"/>
      <w:bookmarkEnd w:id="30"/>
    </w:p>
    <w:p w:rsidR="00F77ECC" w:rsidRPr="00867EB6" w:rsidRDefault="00F77ECC" w:rsidP="000A40F4">
      <w:pPr>
        <w:pStyle w:val="SingleTxtG"/>
        <w:tabs>
          <w:tab w:val="left" w:pos="3119"/>
        </w:tabs>
        <w:ind w:left="3119" w:hanging="1985"/>
        <w:rPr>
          <w:lang w:val="fr-FR"/>
        </w:rPr>
      </w:pPr>
      <w:r w:rsidRPr="00867EB6">
        <w:rPr>
          <w:i/>
          <w:lang w:val="fr-FR"/>
        </w:rPr>
        <w:t>Document informel</w:t>
      </w:r>
      <w:r w:rsidR="000A40F4">
        <w:rPr>
          <w:i/>
          <w:lang w:val="fr-FR"/>
        </w:rPr>
        <w:t> </w:t>
      </w:r>
      <w:r>
        <w:rPr>
          <w:lang w:val="fr-FR"/>
        </w:rPr>
        <w:t>:</w:t>
      </w:r>
      <w:r w:rsidRPr="00867EB6">
        <w:rPr>
          <w:lang w:val="fr-FR"/>
        </w:rPr>
        <w:tab/>
        <w:t>INF.13 (secrétariat).</w:t>
      </w:r>
    </w:p>
    <w:p w:rsidR="00F77ECC" w:rsidRPr="00867EB6" w:rsidRDefault="00F77ECC" w:rsidP="004E17B7">
      <w:pPr>
        <w:pStyle w:val="SingleTxtG"/>
        <w:rPr>
          <w:lang w:val="fr-FR"/>
        </w:rPr>
      </w:pPr>
      <w:r w:rsidRPr="00867EB6">
        <w:rPr>
          <w:lang w:val="fr-FR"/>
        </w:rPr>
        <w:t>31.</w:t>
      </w:r>
      <w:r w:rsidRPr="00867EB6">
        <w:rPr>
          <w:lang w:val="fr-FR"/>
        </w:rPr>
        <w:tab/>
        <w:t>Faute de temps, le Comité de sécurité n</w:t>
      </w:r>
      <w:r>
        <w:rPr>
          <w:lang w:val="fr-FR"/>
        </w:rPr>
        <w:t>’</w:t>
      </w:r>
      <w:r w:rsidRPr="00867EB6">
        <w:rPr>
          <w:lang w:val="fr-FR"/>
        </w:rPr>
        <w:t>a pas examiné le document visé.</w:t>
      </w:r>
    </w:p>
    <w:p w:rsidR="00F77ECC" w:rsidRPr="00867EB6" w:rsidRDefault="00F77ECC" w:rsidP="004E17B7">
      <w:pPr>
        <w:pStyle w:val="HChG"/>
        <w:rPr>
          <w:lang w:val="fr-FR"/>
        </w:rPr>
      </w:pPr>
      <w:r w:rsidRPr="00867EB6">
        <w:rPr>
          <w:lang w:val="fr-FR"/>
        </w:rPr>
        <w:tab/>
        <w:t>VI.</w:t>
      </w:r>
      <w:r w:rsidRPr="00867EB6">
        <w:rPr>
          <w:lang w:val="fr-FR"/>
        </w:rPr>
        <w:tab/>
        <w:t>Propositions d</w:t>
      </w:r>
      <w:r>
        <w:rPr>
          <w:lang w:val="fr-FR"/>
        </w:rPr>
        <w:t>’</w:t>
      </w:r>
      <w:r w:rsidRPr="00867EB6">
        <w:rPr>
          <w:lang w:val="fr-FR"/>
        </w:rPr>
        <w:t>amendements au Règlement annexé à l</w:t>
      </w:r>
      <w:r>
        <w:rPr>
          <w:lang w:val="fr-FR"/>
        </w:rPr>
        <w:t>’</w:t>
      </w:r>
      <w:r w:rsidRPr="00867EB6">
        <w:rPr>
          <w:lang w:val="fr-FR"/>
        </w:rPr>
        <w:t>ADN (point 5 de l</w:t>
      </w:r>
      <w:r>
        <w:rPr>
          <w:lang w:val="fr-FR"/>
        </w:rPr>
        <w:t>’</w:t>
      </w:r>
      <w:r w:rsidRPr="00867EB6">
        <w:rPr>
          <w:lang w:val="fr-FR"/>
        </w:rPr>
        <w:t>ordre du jour)</w:t>
      </w:r>
      <w:bookmarkStart w:id="31" w:name="_Toc505688425"/>
      <w:bookmarkEnd w:id="31"/>
    </w:p>
    <w:p w:rsidR="00F77ECC" w:rsidRPr="00867EB6" w:rsidRDefault="00EE6BC3" w:rsidP="00EE6BC3">
      <w:pPr>
        <w:pStyle w:val="H1G"/>
        <w:rPr>
          <w:lang w:val="fr-FR"/>
        </w:rPr>
      </w:pPr>
      <w:r>
        <w:rPr>
          <w:lang w:val="fr-FR"/>
        </w:rPr>
        <w:tab/>
        <w:t>A.</w:t>
      </w:r>
      <w:r w:rsidR="00F77ECC" w:rsidRPr="00867EB6">
        <w:rPr>
          <w:lang w:val="fr-FR"/>
        </w:rPr>
        <w:tab/>
        <w:t>Travaux de la Réunion commune RID/ADR/ADN</w:t>
      </w:r>
      <w:bookmarkStart w:id="32" w:name="_Toc505688426"/>
      <w:bookmarkEnd w:id="32"/>
    </w:p>
    <w:p w:rsidR="00F77ECC" w:rsidRPr="00867EB6" w:rsidRDefault="00F77ECC" w:rsidP="00EE6BC3">
      <w:pPr>
        <w:pStyle w:val="H23G"/>
        <w:rPr>
          <w:lang w:val="fr-FR"/>
        </w:rPr>
      </w:pPr>
      <w:r w:rsidRPr="00867EB6">
        <w:rPr>
          <w:lang w:val="fr-FR"/>
        </w:rPr>
        <w:tab/>
        <w:t>1.</w:t>
      </w:r>
      <w:r w:rsidRPr="00867EB6">
        <w:rPr>
          <w:lang w:val="fr-FR"/>
        </w:rPr>
        <w:tab/>
        <w:t>Projets d</w:t>
      </w:r>
      <w:r>
        <w:rPr>
          <w:lang w:val="fr-FR"/>
        </w:rPr>
        <w:t>’</w:t>
      </w:r>
      <w:r w:rsidRPr="00867EB6">
        <w:rPr>
          <w:lang w:val="fr-FR"/>
        </w:rPr>
        <w:t>amendements pertinents pour l</w:t>
      </w:r>
      <w:r>
        <w:rPr>
          <w:lang w:val="fr-FR"/>
        </w:rPr>
        <w:t>’</w:t>
      </w:r>
      <w:r w:rsidRPr="00867EB6">
        <w:rPr>
          <w:lang w:val="fr-FR"/>
        </w:rPr>
        <w:t xml:space="preserve">ADN adoptés par le WP.15 </w:t>
      </w:r>
      <w:r w:rsidR="00EE6BC3">
        <w:rPr>
          <w:lang w:val="fr-FR"/>
        </w:rPr>
        <w:br/>
      </w:r>
      <w:r w:rsidRPr="00867EB6">
        <w:rPr>
          <w:lang w:val="fr-FR"/>
        </w:rPr>
        <w:t xml:space="preserve">et la Réunion </w:t>
      </w:r>
      <w:r w:rsidR="008674EC" w:rsidRPr="00867EB6">
        <w:rPr>
          <w:lang w:val="fr-FR"/>
        </w:rPr>
        <w:t xml:space="preserve">commune </w:t>
      </w:r>
      <w:r w:rsidRPr="00867EB6">
        <w:rPr>
          <w:lang w:val="fr-FR"/>
        </w:rPr>
        <w:t xml:space="preserve">RID/ADR/ADN en 2016 et 2017 </w:t>
      </w:r>
      <w:r w:rsidR="00EE6BC3">
        <w:rPr>
          <w:lang w:val="fr-FR"/>
        </w:rPr>
        <w:br/>
      </w:r>
      <w:r w:rsidRPr="00867EB6">
        <w:rPr>
          <w:lang w:val="fr-FR"/>
        </w:rPr>
        <w:t xml:space="preserve">pour </w:t>
      </w:r>
      <w:proofErr w:type="spellStart"/>
      <w:r w:rsidRPr="00867EB6">
        <w:rPr>
          <w:lang w:val="fr-FR"/>
        </w:rPr>
        <w:t>entrée</w:t>
      </w:r>
      <w:proofErr w:type="spellEnd"/>
      <w:r w:rsidRPr="00867EB6">
        <w:rPr>
          <w:lang w:val="fr-FR"/>
        </w:rPr>
        <w:t xml:space="preserve"> en vigueur le 1</w:t>
      </w:r>
      <w:r w:rsidRPr="00867EB6">
        <w:rPr>
          <w:vertAlign w:val="superscript"/>
          <w:lang w:val="fr-FR"/>
        </w:rPr>
        <w:t>er</w:t>
      </w:r>
      <w:r w:rsidR="00EE6BC3">
        <w:rPr>
          <w:lang w:val="fr-FR"/>
        </w:rPr>
        <w:t> </w:t>
      </w:r>
      <w:r w:rsidRPr="00867EB6">
        <w:rPr>
          <w:lang w:val="fr-FR"/>
        </w:rPr>
        <w:t>janvier 2019</w:t>
      </w:r>
      <w:bookmarkStart w:id="33" w:name="_Toc505688427"/>
      <w:bookmarkEnd w:id="33"/>
    </w:p>
    <w:p w:rsidR="00F77ECC" w:rsidRPr="00867EB6" w:rsidRDefault="00F77ECC" w:rsidP="00EE6BC3">
      <w:pPr>
        <w:pStyle w:val="SingleTxtG"/>
        <w:tabs>
          <w:tab w:val="left" w:pos="3119"/>
        </w:tabs>
        <w:ind w:left="3119" w:hanging="1985"/>
        <w:rPr>
          <w:lang w:val="fr-FR"/>
        </w:rPr>
      </w:pPr>
      <w:r w:rsidRPr="00867EB6">
        <w:rPr>
          <w:i/>
          <w:lang w:val="fr-FR"/>
        </w:rPr>
        <w:t>Document</w:t>
      </w:r>
      <w:r w:rsidR="00EE6BC3">
        <w:rPr>
          <w:i/>
          <w:lang w:val="fr-FR"/>
        </w:rPr>
        <w:t>(s) </w:t>
      </w:r>
      <w:r>
        <w:rPr>
          <w:lang w:val="fr-FR"/>
        </w:rPr>
        <w:t>:</w:t>
      </w:r>
      <w:r w:rsidR="00EE6BC3">
        <w:rPr>
          <w:lang w:val="fr-FR"/>
        </w:rPr>
        <w:tab/>
      </w:r>
      <w:r w:rsidRPr="00867EB6">
        <w:rPr>
          <w:lang w:val="fr-FR"/>
        </w:rPr>
        <w:t>ECE/TRANS/WP.15/AC.2/2018/2 (secrétariat).</w:t>
      </w:r>
    </w:p>
    <w:p w:rsidR="00F77ECC" w:rsidRPr="00867EB6" w:rsidRDefault="00F77ECC" w:rsidP="00EE6BC3">
      <w:pPr>
        <w:pStyle w:val="SingleTxtG"/>
        <w:tabs>
          <w:tab w:val="left" w:pos="3119"/>
        </w:tabs>
        <w:ind w:left="3119" w:hanging="1985"/>
        <w:jc w:val="left"/>
        <w:rPr>
          <w:lang w:val="fr-FR"/>
        </w:rPr>
      </w:pPr>
      <w:r w:rsidRPr="00867EB6">
        <w:rPr>
          <w:i/>
          <w:lang w:val="fr-FR"/>
        </w:rPr>
        <w:t>Documents informels</w:t>
      </w:r>
      <w:r w:rsidR="00EE6BC3">
        <w:rPr>
          <w:i/>
          <w:lang w:val="fr-FR"/>
        </w:rPr>
        <w:t> </w:t>
      </w:r>
      <w:r>
        <w:rPr>
          <w:lang w:val="fr-FR"/>
        </w:rPr>
        <w:t>:</w:t>
      </w:r>
      <w:r w:rsidRPr="00867EB6">
        <w:rPr>
          <w:lang w:val="fr-FR"/>
        </w:rPr>
        <w:tab/>
        <w:t>INF.6 (secrétariat)</w:t>
      </w:r>
      <w:r w:rsidR="00EE6BC3">
        <w:rPr>
          <w:lang w:val="fr-FR"/>
        </w:rPr>
        <w:t> </w:t>
      </w:r>
      <w:r>
        <w:rPr>
          <w:lang w:val="fr-FR"/>
        </w:rPr>
        <w:t>;</w:t>
      </w:r>
      <w:r w:rsidR="00EE6BC3">
        <w:rPr>
          <w:lang w:val="fr-FR"/>
        </w:rPr>
        <w:br/>
      </w:r>
      <w:r w:rsidRPr="00867EB6">
        <w:rPr>
          <w:lang w:val="fr-FR"/>
        </w:rPr>
        <w:t>INF.19 (Commission européenne).</w:t>
      </w:r>
    </w:p>
    <w:p w:rsidR="00F77ECC" w:rsidRPr="00867EB6" w:rsidRDefault="00F77ECC" w:rsidP="00EE6BC3">
      <w:pPr>
        <w:pStyle w:val="SingleTxtG"/>
        <w:rPr>
          <w:lang w:val="fr-FR"/>
        </w:rPr>
      </w:pPr>
      <w:r w:rsidRPr="00867EB6">
        <w:rPr>
          <w:lang w:val="fr-FR"/>
        </w:rPr>
        <w:t>32.</w:t>
      </w:r>
      <w:r w:rsidRPr="00867EB6">
        <w:rPr>
          <w:lang w:val="fr-FR"/>
        </w:rPr>
        <w:tab/>
        <w:t>Le Comité de sécurité a adopté les amendements proposés par le secrétariat pour tenir compte des travaux de la Réunion commune RID/ADR/ADN, du Groupe de travail des marchandises dangereuses (WP.15) et du Sous-Comité d</w:t>
      </w:r>
      <w:r>
        <w:rPr>
          <w:lang w:val="fr-FR"/>
        </w:rPr>
        <w:t>’</w:t>
      </w:r>
      <w:r w:rsidRPr="00867EB6">
        <w:rPr>
          <w:lang w:val="fr-FR"/>
        </w:rPr>
        <w:t>experts du transport des marchandises dangereuses, avec quelques corrections. La proposition d</w:t>
      </w:r>
      <w:r>
        <w:rPr>
          <w:lang w:val="fr-FR"/>
        </w:rPr>
        <w:t>’</w:t>
      </w:r>
      <w:r w:rsidRPr="00867EB6">
        <w:rPr>
          <w:lang w:val="fr-FR"/>
        </w:rPr>
        <w:t>amendement au</w:t>
      </w:r>
      <w:r w:rsidR="00EE6BC3">
        <w:rPr>
          <w:lang w:val="fr-FR"/>
        </w:rPr>
        <w:t> </w:t>
      </w:r>
      <w:r w:rsidRPr="00867EB6">
        <w:rPr>
          <w:lang w:val="fr-FR"/>
        </w:rPr>
        <w:t xml:space="preserve">2.1.3.5.5 a également été adoptée (voir annexe I). </w:t>
      </w:r>
    </w:p>
    <w:p w:rsidR="00F77ECC" w:rsidRPr="00867EB6" w:rsidRDefault="00F77ECC" w:rsidP="004F3064">
      <w:pPr>
        <w:pStyle w:val="SingleTxtG"/>
        <w:rPr>
          <w:lang w:val="fr-FR"/>
        </w:rPr>
      </w:pPr>
      <w:r w:rsidRPr="00867EB6">
        <w:rPr>
          <w:lang w:val="fr-FR"/>
        </w:rPr>
        <w:t>33.</w:t>
      </w:r>
      <w:r w:rsidRPr="00867EB6">
        <w:rPr>
          <w:lang w:val="fr-FR"/>
        </w:rPr>
        <w:tab/>
        <w:t>S</w:t>
      </w:r>
      <w:r>
        <w:rPr>
          <w:lang w:val="fr-FR"/>
        </w:rPr>
        <w:t>’</w:t>
      </w:r>
      <w:r w:rsidRPr="00867EB6">
        <w:rPr>
          <w:lang w:val="fr-FR"/>
        </w:rPr>
        <w:t>agissant des amendements indiqués entre crochets, le Comité de sécurité a noté qu</w:t>
      </w:r>
      <w:r>
        <w:rPr>
          <w:lang w:val="fr-FR"/>
        </w:rPr>
        <w:t>’</w:t>
      </w:r>
      <w:r w:rsidRPr="00867EB6">
        <w:rPr>
          <w:lang w:val="fr-FR"/>
        </w:rPr>
        <w:t>ils seraient examinés par la Réunion commune RID/ADR/ADN en mars 2018 et a décidé d</w:t>
      </w:r>
      <w:r>
        <w:rPr>
          <w:lang w:val="fr-FR"/>
        </w:rPr>
        <w:t>’</w:t>
      </w:r>
      <w:r w:rsidRPr="00867EB6">
        <w:rPr>
          <w:lang w:val="fr-FR"/>
        </w:rPr>
        <w:t>en reporter l</w:t>
      </w:r>
      <w:r>
        <w:rPr>
          <w:lang w:val="fr-FR"/>
        </w:rPr>
        <w:t>’</w:t>
      </w:r>
      <w:r w:rsidRPr="00867EB6">
        <w:rPr>
          <w:lang w:val="fr-FR"/>
        </w:rPr>
        <w:t xml:space="preserve">adoption à sa trente-troisième session. </w:t>
      </w:r>
    </w:p>
    <w:p w:rsidR="00F77ECC" w:rsidRPr="00867EB6" w:rsidRDefault="00F77ECC" w:rsidP="004F3064">
      <w:pPr>
        <w:pStyle w:val="H23G"/>
        <w:rPr>
          <w:lang w:val="fr-FR"/>
        </w:rPr>
      </w:pPr>
      <w:r w:rsidRPr="00867EB6">
        <w:rPr>
          <w:lang w:val="fr-FR"/>
        </w:rPr>
        <w:tab/>
        <w:t>2.</w:t>
      </w:r>
      <w:r w:rsidRPr="00867EB6">
        <w:rPr>
          <w:lang w:val="fr-FR"/>
        </w:rPr>
        <w:tab/>
        <w:t>Projets d</w:t>
      </w:r>
      <w:r>
        <w:rPr>
          <w:lang w:val="fr-FR"/>
        </w:rPr>
        <w:t>’</w:t>
      </w:r>
      <w:r w:rsidRPr="00867EB6">
        <w:rPr>
          <w:lang w:val="fr-FR"/>
        </w:rPr>
        <w:t>amendements à l</w:t>
      </w:r>
      <w:r>
        <w:rPr>
          <w:lang w:val="fr-FR"/>
        </w:rPr>
        <w:t>’</w:t>
      </w:r>
      <w:r w:rsidRPr="00867EB6">
        <w:rPr>
          <w:lang w:val="fr-FR"/>
        </w:rPr>
        <w:t>ADN proposés par le Groupe de travail spécial</w:t>
      </w:r>
      <w:r>
        <w:rPr>
          <w:lang w:val="fr-FR"/>
        </w:rPr>
        <w:t xml:space="preserve"> </w:t>
      </w:r>
      <w:r w:rsidR="004F3064">
        <w:rPr>
          <w:lang w:val="fr-FR"/>
        </w:rPr>
        <w:br/>
      </w:r>
      <w:r w:rsidRPr="00867EB6">
        <w:rPr>
          <w:lang w:val="fr-FR"/>
        </w:rPr>
        <w:t>de l</w:t>
      </w:r>
      <w:r>
        <w:rPr>
          <w:lang w:val="fr-FR"/>
        </w:rPr>
        <w:t>’</w:t>
      </w:r>
      <w:r w:rsidRPr="00867EB6">
        <w:rPr>
          <w:lang w:val="fr-FR"/>
        </w:rPr>
        <w:t xml:space="preserve">harmonisation et modifiés par la Réunion commune RID/ADR/ADN </w:t>
      </w:r>
      <w:r w:rsidR="004F3064">
        <w:rPr>
          <w:lang w:val="fr-FR"/>
        </w:rPr>
        <w:br/>
      </w:r>
      <w:r w:rsidRPr="00867EB6">
        <w:rPr>
          <w:lang w:val="fr-FR"/>
        </w:rPr>
        <w:t xml:space="preserve">pour </w:t>
      </w:r>
      <w:proofErr w:type="spellStart"/>
      <w:r w:rsidRPr="00867EB6">
        <w:rPr>
          <w:lang w:val="fr-FR"/>
        </w:rPr>
        <w:t>entrée</w:t>
      </w:r>
      <w:proofErr w:type="spellEnd"/>
      <w:r w:rsidRPr="00867EB6">
        <w:rPr>
          <w:lang w:val="fr-FR"/>
        </w:rPr>
        <w:t xml:space="preserve"> en vigueur le 1</w:t>
      </w:r>
      <w:r w:rsidRPr="00867EB6">
        <w:rPr>
          <w:vertAlign w:val="superscript"/>
          <w:lang w:val="fr-FR"/>
        </w:rPr>
        <w:t>er</w:t>
      </w:r>
      <w:r w:rsidR="004F3064">
        <w:rPr>
          <w:lang w:val="fr-FR"/>
        </w:rPr>
        <w:t> </w:t>
      </w:r>
      <w:r w:rsidRPr="00867EB6">
        <w:rPr>
          <w:lang w:val="fr-FR"/>
        </w:rPr>
        <w:t>janvier 2019</w:t>
      </w:r>
      <w:bookmarkStart w:id="34" w:name="_Toc505688428"/>
      <w:bookmarkEnd w:id="34"/>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4F3064">
        <w:rPr>
          <w:i/>
          <w:lang w:val="fr-FR"/>
        </w:rPr>
        <w:t>(s) </w:t>
      </w:r>
      <w:r>
        <w:rPr>
          <w:lang w:val="fr-FR"/>
        </w:rPr>
        <w:t>:</w:t>
      </w:r>
      <w:r w:rsidR="004F3064">
        <w:rPr>
          <w:lang w:val="fr-FR"/>
        </w:rPr>
        <w:tab/>
      </w:r>
      <w:r w:rsidRPr="00867EB6">
        <w:rPr>
          <w:lang w:val="fr-FR"/>
        </w:rPr>
        <w:t>ECE/TRANS/WP.15/AC.2/2018/1 (secrétariat).</w:t>
      </w:r>
    </w:p>
    <w:p w:rsidR="00F77ECC" w:rsidRPr="00867EB6" w:rsidRDefault="00F77ECC" w:rsidP="004F3064">
      <w:pPr>
        <w:pStyle w:val="SingleTxtG"/>
        <w:tabs>
          <w:tab w:val="left" w:pos="3119"/>
        </w:tabs>
        <w:ind w:left="3119" w:hanging="1985"/>
        <w:jc w:val="left"/>
        <w:rPr>
          <w:lang w:val="fr-FR"/>
        </w:rPr>
      </w:pPr>
      <w:r w:rsidRPr="00867EB6">
        <w:rPr>
          <w:i/>
          <w:lang w:val="fr-FR"/>
        </w:rPr>
        <w:t>Documents informels</w:t>
      </w:r>
      <w:r w:rsidR="004F3064">
        <w:rPr>
          <w:i/>
          <w:lang w:val="fr-FR"/>
        </w:rPr>
        <w:t> </w:t>
      </w:r>
      <w:r>
        <w:rPr>
          <w:lang w:val="fr-FR"/>
        </w:rPr>
        <w:t>:</w:t>
      </w:r>
      <w:r w:rsidRPr="00867EB6">
        <w:rPr>
          <w:lang w:val="fr-FR"/>
        </w:rPr>
        <w:tab/>
        <w:t>INF.5 et INF.31 (secrétariat).</w:t>
      </w:r>
    </w:p>
    <w:p w:rsidR="00F77ECC" w:rsidRPr="00867EB6" w:rsidRDefault="00F77ECC" w:rsidP="004F3064">
      <w:pPr>
        <w:pStyle w:val="SingleTxtG"/>
        <w:rPr>
          <w:lang w:val="fr-FR"/>
        </w:rPr>
      </w:pPr>
      <w:r w:rsidRPr="00867EB6">
        <w:rPr>
          <w:lang w:val="fr-FR"/>
        </w:rPr>
        <w:lastRenderedPageBreak/>
        <w:t>34.</w:t>
      </w:r>
      <w:r w:rsidRPr="00867EB6">
        <w:rPr>
          <w:lang w:val="fr-FR"/>
        </w:rPr>
        <w:tab/>
        <w:t>Le Comité de sécurité a adopté les amendements à l</w:t>
      </w:r>
      <w:r>
        <w:rPr>
          <w:lang w:val="fr-FR"/>
        </w:rPr>
        <w:t>’</w:t>
      </w:r>
      <w:r w:rsidRPr="00867EB6">
        <w:rPr>
          <w:lang w:val="fr-FR"/>
        </w:rPr>
        <w:t>ADN proposés par la Réunion commune RID/ADR/ADN sur la base des propositions formulées par le Groupe de travail spécial de l</w:t>
      </w:r>
      <w:r>
        <w:rPr>
          <w:lang w:val="fr-FR"/>
        </w:rPr>
        <w:t>’</w:t>
      </w:r>
      <w:r w:rsidRPr="00867EB6">
        <w:rPr>
          <w:lang w:val="fr-FR"/>
        </w:rPr>
        <w:t>harmonisation du RID/ADR/ADN avec les Recommandations de l</w:t>
      </w:r>
      <w:r>
        <w:rPr>
          <w:lang w:val="fr-FR"/>
        </w:rPr>
        <w:t>’</w:t>
      </w:r>
      <w:r w:rsidRPr="00867EB6">
        <w:rPr>
          <w:lang w:val="fr-FR"/>
        </w:rPr>
        <w:t>ONU sur le transport des marchandises dangereuses (ECE/TRANS/WP.15/AC.2/2018/1), tels que modifiés par le document informel INF.5, en tenant compte de quelques modifications supplémentaires et des corrections énoncées dans le document informel INF.31 (voir annexe I).</w:t>
      </w:r>
    </w:p>
    <w:p w:rsidR="00F77ECC" w:rsidRPr="00867EB6" w:rsidRDefault="00F77ECC" w:rsidP="004F3064">
      <w:pPr>
        <w:pStyle w:val="SingleTxtG"/>
        <w:rPr>
          <w:spacing w:val="-3"/>
          <w:lang w:val="fr-FR"/>
        </w:rPr>
      </w:pPr>
      <w:r w:rsidRPr="00867EB6">
        <w:rPr>
          <w:lang w:val="fr-FR"/>
        </w:rPr>
        <w:t>35.</w:t>
      </w:r>
      <w:r w:rsidRPr="00867EB6">
        <w:rPr>
          <w:lang w:val="fr-FR"/>
        </w:rPr>
        <w:tab/>
        <w:t xml:space="preserve">Le représentant des Pays-Bas a informé le Comité de sécurité que le Groupe de travail des transports de marchandises dangereuses avait décidé de remplacer la mention </w:t>
      </w:r>
      <w:r>
        <w:rPr>
          <w:lang w:val="fr-FR"/>
        </w:rPr>
        <w:t>«</w:t>
      </w:r>
      <w:r w:rsidR="004F3064">
        <w:rPr>
          <w:lang w:val="fr-FR"/>
        </w:rPr>
        <w:t> </w:t>
      </w:r>
      <w:r w:rsidRPr="00867EB6">
        <w:rPr>
          <w:lang w:val="fr-FR"/>
        </w:rPr>
        <w:t>9A</w:t>
      </w:r>
      <w:r w:rsidR="004F3064">
        <w:rPr>
          <w:lang w:val="fr-FR"/>
        </w:rPr>
        <w:t> </w:t>
      </w:r>
      <w:r>
        <w:rPr>
          <w:lang w:val="fr-FR"/>
        </w:rPr>
        <w:t>»</w:t>
      </w:r>
      <w:r w:rsidRPr="00867EB6">
        <w:rPr>
          <w:lang w:val="fr-FR"/>
        </w:rPr>
        <w:t xml:space="preserve"> par </w:t>
      </w:r>
      <w:r>
        <w:rPr>
          <w:lang w:val="fr-FR"/>
        </w:rPr>
        <w:t>«</w:t>
      </w:r>
      <w:r w:rsidR="004F3064">
        <w:rPr>
          <w:lang w:val="fr-FR"/>
        </w:rPr>
        <w:t> </w:t>
      </w:r>
      <w:r w:rsidRPr="00867EB6">
        <w:rPr>
          <w:lang w:val="fr-FR"/>
        </w:rPr>
        <w:t>9</w:t>
      </w:r>
      <w:r w:rsidR="004F3064">
        <w:rPr>
          <w:lang w:val="fr-FR"/>
        </w:rPr>
        <w:t> </w:t>
      </w:r>
      <w:r>
        <w:rPr>
          <w:lang w:val="fr-FR"/>
        </w:rPr>
        <w:t>»</w:t>
      </w:r>
      <w:r w:rsidRPr="00867EB6">
        <w:rPr>
          <w:lang w:val="fr-FR"/>
        </w:rPr>
        <w:t xml:space="preserve"> dans la colonne (5) du tableau A pour le numéro ONU 3536, comme il est indiqué dans le rapport du Groupe de travail sur sa 103</w:t>
      </w:r>
      <w:r w:rsidRPr="00867EB6">
        <w:rPr>
          <w:vertAlign w:val="superscript"/>
          <w:lang w:val="fr-FR"/>
        </w:rPr>
        <w:t>e</w:t>
      </w:r>
      <w:r w:rsidR="004F3064">
        <w:rPr>
          <w:lang w:val="fr-FR"/>
        </w:rPr>
        <w:t> </w:t>
      </w:r>
      <w:r w:rsidRPr="00867EB6">
        <w:rPr>
          <w:lang w:val="fr-FR"/>
        </w:rPr>
        <w:t>session (document ECE/TRANS/WP.15/239, par.</w:t>
      </w:r>
      <w:r w:rsidR="004F3064">
        <w:rPr>
          <w:lang w:val="fr-FR"/>
        </w:rPr>
        <w:t> </w:t>
      </w:r>
      <w:r w:rsidRPr="00867EB6">
        <w:rPr>
          <w:lang w:val="fr-FR"/>
        </w:rPr>
        <w:t>21 et annexe I). Le Comité de sécurité a fait sienne cette décision et a estimé que la même rubrique devait être modifiée en conséquence dans le tableau A de l</w:t>
      </w:r>
      <w:r>
        <w:rPr>
          <w:lang w:val="fr-FR"/>
        </w:rPr>
        <w:t>’</w:t>
      </w:r>
      <w:r w:rsidRPr="00867EB6">
        <w:rPr>
          <w:lang w:val="fr-FR"/>
        </w:rPr>
        <w:t>ADN.</w:t>
      </w:r>
    </w:p>
    <w:p w:rsidR="00F77ECC" w:rsidRPr="00867EB6" w:rsidRDefault="00F77ECC" w:rsidP="000A0F89">
      <w:pPr>
        <w:pStyle w:val="SingleTxtG"/>
        <w:rPr>
          <w:lang w:val="fr-FR"/>
        </w:rPr>
      </w:pPr>
      <w:r w:rsidRPr="00867EB6">
        <w:rPr>
          <w:lang w:val="fr-FR"/>
        </w:rPr>
        <w:t>36.</w:t>
      </w:r>
      <w:r w:rsidRPr="00867EB6">
        <w:rPr>
          <w:lang w:val="fr-FR"/>
        </w:rPr>
        <w:tab/>
        <w:t>S</w:t>
      </w:r>
      <w:r>
        <w:rPr>
          <w:lang w:val="fr-FR"/>
        </w:rPr>
        <w:t>’</w:t>
      </w:r>
      <w:r w:rsidRPr="00867EB6">
        <w:rPr>
          <w:lang w:val="fr-FR"/>
        </w:rPr>
        <w:t>agissant des amendements indiqués entre crochets, le Comité de sécurité a noté qu</w:t>
      </w:r>
      <w:r>
        <w:rPr>
          <w:lang w:val="fr-FR"/>
        </w:rPr>
        <w:t>’</w:t>
      </w:r>
      <w:r w:rsidRPr="00867EB6">
        <w:rPr>
          <w:lang w:val="fr-FR"/>
        </w:rPr>
        <w:t>ils seraient examinés par la Réunion commune RID/ADR/ADN en mars 2018 et a décidé d</w:t>
      </w:r>
      <w:r>
        <w:rPr>
          <w:lang w:val="fr-FR"/>
        </w:rPr>
        <w:t>’</w:t>
      </w:r>
      <w:r w:rsidRPr="00867EB6">
        <w:rPr>
          <w:lang w:val="fr-FR"/>
        </w:rPr>
        <w:t>en reporter l</w:t>
      </w:r>
      <w:r>
        <w:rPr>
          <w:lang w:val="fr-FR"/>
        </w:rPr>
        <w:t>’</w:t>
      </w:r>
      <w:r w:rsidRPr="00867EB6">
        <w:rPr>
          <w:lang w:val="fr-FR"/>
        </w:rPr>
        <w:t>adoption à sa trente-troisième session.</w:t>
      </w:r>
      <w:r>
        <w:rPr>
          <w:lang w:val="fr-FR"/>
        </w:rPr>
        <w:t xml:space="preserve"> </w:t>
      </w:r>
    </w:p>
    <w:p w:rsidR="00F77ECC" w:rsidRPr="00867EB6" w:rsidRDefault="00F77ECC" w:rsidP="000A0F89">
      <w:pPr>
        <w:pStyle w:val="H1G"/>
        <w:rPr>
          <w:lang w:val="fr-FR"/>
        </w:rPr>
      </w:pPr>
      <w:r w:rsidRPr="00867EB6">
        <w:rPr>
          <w:lang w:val="fr-FR"/>
        </w:rPr>
        <w:tab/>
        <w:t>B.</w:t>
      </w:r>
      <w:r w:rsidRPr="00867EB6">
        <w:rPr>
          <w:lang w:val="fr-FR"/>
        </w:rPr>
        <w:tab/>
        <w:t>Autres propositions</w:t>
      </w:r>
      <w:bookmarkStart w:id="35" w:name="_Toc505688429"/>
      <w:bookmarkEnd w:id="35"/>
    </w:p>
    <w:p w:rsidR="00F77ECC" w:rsidRPr="00867EB6" w:rsidRDefault="00F77ECC" w:rsidP="000A0F89">
      <w:pPr>
        <w:pStyle w:val="H23G"/>
        <w:rPr>
          <w:lang w:val="fr-FR"/>
        </w:rPr>
      </w:pPr>
      <w:r w:rsidRPr="00867EB6">
        <w:rPr>
          <w:lang w:val="fr-FR"/>
        </w:rPr>
        <w:tab/>
        <w:t>1.</w:t>
      </w:r>
      <w:r w:rsidRPr="00867EB6">
        <w:rPr>
          <w:lang w:val="fr-FR"/>
        </w:rPr>
        <w:tab/>
        <w:t xml:space="preserve">Utilisation des termes </w:t>
      </w:r>
      <w:r>
        <w:rPr>
          <w:lang w:val="fr-FR"/>
        </w:rPr>
        <w:t>«</w:t>
      </w:r>
      <w:r w:rsidR="000A0F89">
        <w:rPr>
          <w:lang w:val="fr-FR"/>
        </w:rPr>
        <w:t> </w:t>
      </w:r>
      <w:proofErr w:type="spellStart"/>
      <w:r w:rsidRPr="00867EB6">
        <w:rPr>
          <w:lang w:val="fr-FR"/>
        </w:rPr>
        <w:t>residual</w:t>
      </w:r>
      <w:proofErr w:type="spellEnd"/>
      <w:r w:rsidRPr="00867EB6">
        <w:rPr>
          <w:lang w:val="fr-FR"/>
        </w:rPr>
        <w:t xml:space="preserve"> cargo</w:t>
      </w:r>
      <w:r w:rsidR="000A0F89">
        <w:rPr>
          <w:lang w:val="fr-FR"/>
        </w:rPr>
        <w:t> </w:t>
      </w:r>
      <w:r>
        <w:rPr>
          <w:lang w:val="fr-FR"/>
        </w:rPr>
        <w:t>»</w:t>
      </w:r>
      <w:r w:rsidRPr="00867EB6">
        <w:rPr>
          <w:lang w:val="fr-FR"/>
        </w:rPr>
        <w:t xml:space="preserve"> et </w:t>
      </w:r>
      <w:r>
        <w:rPr>
          <w:lang w:val="fr-FR"/>
        </w:rPr>
        <w:t>«</w:t>
      </w:r>
      <w:r w:rsidR="000A0F89">
        <w:rPr>
          <w:lang w:val="fr-FR"/>
        </w:rPr>
        <w:t> </w:t>
      </w:r>
      <w:r w:rsidRPr="00867EB6">
        <w:rPr>
          <w:lang w:val="fr-FR"/>
        </w:rPr>
        <w:t xml:space="preserve">cargo </w:t>
      </w:r>
      <w:proofErr w:type="spellStart"/>
      <w:r w:rsidRPr="00867EB6">
        <w:rPr>
          <w:lang w:val="fr-FR"/>
        </w:rPr>
        <w:t>residues</w:t>
      </w:r>
      <w:proofErr w:type="spellEnd"/>
      <w:r w:rsidR="000A0F89">
        <w:rPr>
          <w:lang w:val="fr-FR"/>
        </w:rPr>
        <w:t> </w:t>
      </w:r>
      <w:r>
        <w:rPr>
          <w:lang w:val="fr-FR"/>
        </w:rPr>
        <w:t>»</w:t>
      </w:r>
      <w:bookmarkStart w:id="36" w:name="_Toc505688430"/>
      <w:bookmarkEnd w:id="36"/>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0A0F89">
        <w:rPr>
          <w:i/>
          <w:lang w:val="fr-FR"/>
        </w:rPr>
        <w:t>(s) </w:t>
      </w:r>
      <w:r>
        <w:rPr>
          <w:lang w:val="fr-FR"/>
        </w:rPr>
        <w:t>:</w:t>
      </w:r>
      <w:r w:rsidRPr="00867EB6">
        <w:rPr>
          <w:lang w:val="fr-FR"/>
        </w:rPr>
        <w:tab/>
        <w:t>ECE/TRANS/WP.15/AC.2/2018/3 (CCNR).</w:t>
      </w:r>
    </w:p>
    <w:p w:rsidR="00F77ECC" w:rsidRPr="00867EB6" w:rsidRDefault="00F77ECC" w:rsidP="000A0F89">
      <w:pPr>
        <w:pStyle w:val="SingleTxtG"/>
        <w:rPr>
          <w:lang w:val="fr-FR"/>
        </w:rPr>
      </w:pPr>
      <w:r w:rsidRPr="00867EB6">
        <w:rPr>
          <w:lang w:val="fr-FR"/>
        </w:rPr>
        <w:t>37.</w:t>
      </w:r>
      <w:r w:rsidRPr="00867EB6">
        <w:rPr>
          <w:lang w:val="fr-FR"/>
        </w:rPr>
        <w:tab/>
        <w:t>Le Comité de sécurité a adopté les propositions d</w:t>
      </w:r>
      <w:r>
        <w:rPr>
          <w:lang w:val="fr-FR"/>
        </w:rPr>
        <w:t>’</w:t>
      </w:r>
      <w:r w:rsidRPr="00867EB6">
        <w:rPr>
          <w:lang w:val="fr-FR"/>
        </w:rPr>
        <w:t>amendements aux chapitres</w:t>
      </w:r>
      <w:r w:rsidR="000A0F89">
        <w:rPr>
          <w:lang w:val="fr-FR"/>
        </w:rPr>
        <w:t> </w:t>
      </w:r>
      <w:r w:rsidRPr="00867EB6">
        <w:rPr>
          <w:lang w:val="fr-FR"/>
        </w:rPr>
        <w:t>1.2, 3.2, 7.2, 8.1 et 8.2, avec quelques corrections visant à harmoniser la terminologie dans toutes les versions linguistiques (voir annexe I).</w:t>
      </w:r>
    </w:p>
    <w:p w:rsidR="00F77ECC" w:rsidRPr="00867EB6" w:rsidRDefault="000A0F89" w:rsidP="000A0F89">
      <w:pPr>
        <w:pStyle w:val="H23G"/>
        <w:rPr>
          <w:lang w:val="fr-FR"/>
        </w:rPr>
      </w:pPr>
      <w:r>
        <w:rPr>
          <w:lang w:val="fr-FR"/>
        </w:rPr>
        <w:tab/>
        <w:t>2.</w:t>
      </w:r>
      <w:r w:rsidR="00F77ECC" w:rsidRPr="00867EB6">
        <w:rPr>
          <w:lang w:val="fr-FR"/>
        </w:rPr>
        <w:tab/>
        <w:t>Amendement au chapitre 7.1</w:t>
      </w:r>
      <w:bookmarkStart w:id="37" w:name="_Toc505688431"/>
      <w:bookmarkEnd w:id="37"/>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0A0F89">
        <w:rPr>
          <w:i/>
          <w:lang w:val="fr-FR"/>
        </w:rPr>
        <w:t>(s) </w:t>
      </w:r>
      <w:r>
        <w:rPr>
          <w:lang w:val="fr-FR"/>
        </w:rPr>
        <w:t>:</w:t>
      </w:r>
      <w:r w:rsidRPr="00867EB6">
        <w:rPr>
          <w:lang w:val="fr-FR"/>
        </w:rPr>
        <w:tab/>
        <w:t>ECE/TRANS/WP.15/AC.2/2018/5 (France).</w:t>
      </w:r>
    </w:p>
    <w:p w:rsidR="00F77ECC" w:rsidRPr="00867EB6" w:rsidRDefault="00F77ECC" w:rsidP="00C877A9">
      <w:pPr>
        <w:pStyle w:val="SingleTxtG"/>
        <w:rPr>
          <w:lang w:val="fr-FR"/>
        </w:rPr>
      </w:pPr>
      <w:r w:rsidRPr="00867EB6">
        <w:rPr>
          <w:lang w:val="fr-FR"/>
        </w:rPr>
        <w:t>38.</w:t>
      </w:r>
      <w:r w:rsidRPr="00867EB6">
        <w:rPr>
          <w:lang w:val="fr-FR"/>
        </w:rPr>
        <w:tab/>
        <w:t>Le Comité de sécurité a adopté les propositions d</w:t>
      </w:r>
      <w:r>
        <w:rPr>
          <w:lang w:val="fr-FR"/>
        </w:rPr>
        <w:t>’</w:t>
      </w:r>
      <w:r w:rsidRPr="00867EB6">
        <w:rPr>
          <w:lang w:val="fr-FR"/>
        </w:rPr>
        <w:t>amendements au 7.1.4.1.1 et au</w:t>
      </w:r>
      <w:r w:rsidR="00C877A9">
        <w:rPr>
          <w:lang w:val="fr-FR"/>
        </w:rPr>
        <w:t> </w:t>
      </w:r>
      <w:r w:rsidRPr="00867EB6">
        <w:rPr>
          <w:lang w:val="fr-FR"/>
        </w:rPr>
        <w:t>7.1.4.1.5, reproduites au paragraphe</w:t>
      </w:r>
      <w:r w:rsidR="00C877A9">
        <w:rPr>
          <w:lang w:val="fr-FR"/>
        </w:rPr>
        <w:t> </w:t>
      </w:r>
      <w:r w:rsidRPr="00867EB6">
        <w:rPr>
          <w:lang w:val="fr-FR"/>
        </w:rPr>
        <w:t>7 du document, ainsi qu</w:t>
      </w:r>
      <w:r>
        <w:rPr>
          <w:lang w:val="fr-FR"/>
        </w:rPr>
        <w:t>’</w:t>
      </w:r>
      <w:r w:rsidRPr="00867EB6">
        <w:rPr>
          <w:lang w:val="fr-FR"/>
        </w:rPr>
        <w:t xml:space="preserve">un amendement corollaire au 7.1.4.1.4 visant à harmoniser la terminologie dans toutes les versions linguistiques en ce qui concerne </w:t>
      </w:r>
      <w:r>
        <w:rPr>
          <w:lang w:val="fr-FR"/>
        </w:rPr>
        <w:t>«</w:t>
      </w:r>
      <w:r w:rsidR="00C877A9">
        <w:rPr>
          <w:lang w:val="fr-FR"/>
        </w:rPr>
        <w:t> </w:t>
      </w:r>
      <w:r w:rsidRPr="00867EB6">
        <w:rPr>
          <w:lang w:val="fr-FR"/>
        </w:rPr>
        <w:t>la masse maximale la plus faible</w:t>
      </w:r>
      <w:r w:rsidR="00C877A9">
        <w:rPr>
          <w:lang w:val="fr-FR"/>
        </w:rPr>
        <w:t> </w:t>
      </w:r>
      <w:r>
        <w:rPr>
          <w:lang w:val="fr-FR"/>
        </w:rPr>
        <w:t>»</w:t>
      </w:r>
      <w:r w:rsidRPr="00867EB6">
        <w:rPr>
          <w:lang w:val="fr-FR"/>
        </w:rPr>
        <w:t xml:space="preserve"> (voir annexe I). </w:t>
      </w:r>
    </w:p>
    <w:p w:rsidR="00F77ECC" w:rsidRPr="00867EB6" w:rsidRDefault="00C877A9" w:rsidP="00C877A9">
      <w:pPr>
        <w:pStyle w:val="H23G"/>
        <w:rPr>
          <w:lang w:val="fr-FR"/>
        </w:rPr>
      </w:pPr>
      <w:r>
        <w:rPr>
          <w:lang w:val="fr-FR"/>
        </w:rPr>
        <w:tab/>
        <w:t>3.</w:t>
      </w:r>
      <w:r w:rsidR="00F77ECC" w:rsidRPr="00867EB6">
        <w:rPr>
          <w:lang w:val="fr-FR"/>
        </w:rPr>
        <w:tab/>
        <w:t>Paragraphes 8.1.2.1 et 8.1.2.3</w:t>
      </w:r>
      <w:r w:rsidR="007618EC">
        <w:rPr>
          <w:lang w:val="fr-FR"/>
        </w:rPr>
        <w:t> </w:t>
      </w:r>
      <w:r w:rsidR="00F77ECC">
        <w:rPr>
          <w:lang w:val="fr-FR"/>
        </w:rPr>
        <w:t>:</w:t>
      </w:r>
      <w:r w:rsidR="00F77ECC" w:rsidRPr="00867EB6">
        <w:rPr>
          <w:lang w:val="fr-FR"/>
        </w:rPr>
        <w:t xml:space="preserve"> documents devant se trouver à bord </w:t>
      </w:r>
      <w:bookmarkStart w:id="38" w:name="_Toc505688432"/>
      <w:bookmarkEnd w:id="38"/>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C877A9">
        <w:rPr>
          <w:i/>
          <w:lang w:val="fr-FR"/>
        </w:rPr>
        <w:t>(s) </w:t>
      </w:r>
      <w:r>
        <w:rPr>
          <w:lang w:val="fr-FR"/>
        </w:rPr>
        <w:t>:</w:t>
      </w:r>
      <w:r w:rsidR="00C877A9">
        <w:rPr>
          <w:lang w:val="fr-FR"/>
        </w:rPr>
        <w:tab/>
      </w:r>
      <w:r w:rsidRPr="00867EB6">
        <w:rPr>
          <w:lang w:val="fr-FR"/>
        </w:rPr>
        <w:t>ECE/TRANS/WP.15/AC.2/2018/8 (Allemagne).</w:t>
      </w:r>
    </w:p>
    <w:p w:rsidR="00F77ECC" w:rsidRPr="00867EB6" w:rsidRDefault="00F77ECC" w:rsidP="004D402B">
      <w:pPr>
        <w:pStyle w:val="SingleTxtG"/>
        <w:rPr>
          <w:lang w:val="fr-FR"/>
        </w:rPr>
      </w:pPr>
      <w:r w:rsidRPr="00867EB6">
        <w:rPr>
          <w:lang w:val="fr-FR"/>
        </w:rPr>
        <w:t>39.</w:t>
      </w:r>
      <w:r w:rsidRPr="00867EB6">
        <w:rPr>
          <w:lang w:val="fr-FR"/>
        </w:rPr>
        <w:tab/>
        <w:t>Le Comité de sécurité a adopté les propositions d</w:t>
      </w:r>
      <w:r>
        <w:rPr>
          <w:lang w:val="fr-FR"/>
        </w:rPr>
        <w:t>’</w:t>
      </w:r>
      <w:r w:rsidRPr="00867EB6">
        <w:rPr>
          <w:lang w:val="fr-FR"/>
        </w:rPr>
        <w:t>amendements au 8.1.2.3 et au</w:t>
      </w:r>
      <w:r w:rsidR="004D402B">
        <w:rPr>
          <w:lang w:val="fr-FR"/>
        </w:rPr>
        <w:t> </w:t>
      </w:r>
      <w:r w:rsidRPr="00867EB6">
        <w:rPr>
          <w:lang w:val="fr-FR"/>
        </w:rPr>
        <w:t>8.1.2.1, reproduites aux paragraphes</w:t>
      </w:r>
      <w:r w:rsidR="004D402B">
        <w:rPr>
          <w:lang w:val="fr-FR"/>
        </w:rPr>
        <w:t> </w:t>
      </w:r>
      <w:r w:rsidRPr="00867EB6">
        <w:rPr>
          <w:lang w:val="fr-FR"/>
        </w:rPr>
        <w:t>5 et 6 du document (voir annexe I).</w:t>
      </w:r>
    </w:p>
    <w:p w:rsidR="00F77ECC" w:rsidRPr="00867EB6" w:rsidRDefault="00F77ECC" w:rsidP="00A9112E">
      <w:pPr>
        <w:pStyle w:val="SingleTxtG"/>
        <w:rPr>
          <w:lang w:val="fr-FR"/>
        </w:rPr>
      </w:pPr>
      <w:r w:rsidRPr="00867EB6">
        <w:rPr>
          <w:lang w:val="fr-FR"/>
        </w:rPr>
        <w:t>40.</w:t>
      </w:r>
      <w:r w:rsidRPr="00867EB6">
        <w:rPr>
          <w:lang w:val="fr-FR"/>
        </w:rPr>
        <w:tab/>
        <w:t>Le représentant de l</w:t>
      </w:r>
      <w:r>
        <w:rPr>
          <w:lang w:val="fr-FR"/>
        </w:rPr>
        <w:t>’</w:t>
      </w:r>
      <w:r w:rsidRPr="00867EB6">
        <w:rPr>
          <w:lang w:val="fr-FR"/>
        </w:rPr>
        <w:t>Allemagne s</w:t>
      </w:r>
      <w:r>
        <w:rPr>
          <w:lang w:val="fr-FR"/>
        </w:rPr>
        <w:t>’</w:t>
      </w:r>
      <w:r w:rsidRPr="00867EB6">
        <w:rPr>
          <w:lang w:val="fr-FR"/>
        </w:rPr>
        <w:t>est interrogé sur l</w:t>
      </w:r>
      <w:r>
        <w:rPr>
          <w:lang w:val="fr-FR"/>
        </w:rPr>
        <w:t>’</w:t>
      </w:r>
      <w:r w:rsidRPr="00867EB6">
        <w:rPr>
          <w:lang w:val="fr-FR"/>
        </w:rPr>
        <w:t>utilité de l</w:t>
      </w:r>
      <w:r>
        <w:rPr>
          <w:lang w:val="fr-FR"/>
        </w:rPr>
        <w:t>’</w:t>
      </w:r>
      <w:r w:rsidRPr="00867EB6">
        <w:rPr>
          <w:lang w:val="fr-FR"/>
        </w:rPr>
        <w:t>inspection et de l</w:t>
      </w:r>
      <w:r>
        <w:rPr>
          <w:lang w:val="fr-FR"/>
        </w:rPr>
        <w:t>’</w:t>
      </w:r>
      <w:r w:rsidRPr="00867EB6">
        <w:rPr>
          <w:lang w:val="fr-FR"/>
        </w:rPr>
        <w:t>attestation correspondante dont doivent faire l</w:t>
      </w:r>
      <w:r>
        <w:rPr>
          <w:lang w:val="fr-FR"/>
        </w:rPr>
        <w:t>’</w:t>
      </w:r>
      <w:r w:rsidRPr="00867EB6">
        <w:rPr>
          <w:lang w:val="fr-FR"/>
        </w:rPr>
        <w:t>objet certains des équipements spéciaux exigés à bord, tels que les équipements de protection individuelle (gants, chaussures ou bottes de protection), comme l</w:t>
      </w:r>
      <w:r>
        <w:rPr>
          <w:lang w:val="fr-FR"/>
        </w:rPr>
        <w:t>’</w:t>
      </w:r>
      <w:r w:rsidRPr="00867EB6">
        <w:rPr>
          <w:lang w:val="fr-FR"/>
        </w:rPr>
        <w:t>exige actuellement le 8.1.6.3. Il était d</w:t>
      </w:r>
      <w:r>
        <w:rPr>
          <w:lang w:val="fr-FR"/>
        </w:rPr>
        <w:t>’</w:t>
      </w:r>
      <w:r w:rsidRPr="00867EB6">
        <w:rPr>
          <w:lang w:val="fr-FR"/>
        </w:rPr>
        <w:t>avis que puisque les équipements de protection individuelle devaient satisfaire aux normes prescrites par les règles de sécurité au travail, l</w:t>
      </w:r>
      <w:r>
        <w:rPr>
          <w:lang w:val="fr-FR"/>
        </w:rPr>
        <w:t>’</w:t>
      </w:r>
      <w:r w:rsidRPr="00867EB6">
        <w:rPr>
          <w:lang w:val="fr-FR"/>
        </w:rPr>
        <w:t>inspection et l</w:t>
      </w:r>
      <w:r>
        <w:rPr>
          <w:lang w:val="fr-FR"/>
        </w:rPr>
        <w:t>’</w:t>
      </w:r>
      <w:r w:rsidRPr="00867EB6">
        <w:rPr>
          <w:lang w:val="fr-FR"/>
        </w:rPr>
        <w:t>attestation visées au 8.1.6.3 n</w:t>
      </w:r>
      <w:r>
        <w:rPr>
          <w:lang w:val="fr-FR"/>
        </w:rPr>
        <w:t>’</w:t>
      </w:r>
      <w:r w:rsidRPr="00867EB6">
        <w:rPr>
          <w:lang w:val="fr-FR"/>
        </w:rPr>
        <w:t>étaient pas nécessaires. Le Comité de sécurité a souscrit à cette interprétation et s</w:t>
      </w:r>
      <w:r>
        <w:rPr>
          <w:lang w:val="fr-FR"/>
        </w:rPr>
        <w:t>’</w:t>
      </w:r>
      <w:r w:rsidRPr="00867EB6">
        <w:rPr>
          <w:lang w:val="fr-FR"/>
        </w:rPr>
        <w:t>est dit favorable à ce que la question soit traitée ultérieurement.</w:t>
      </w:r>
    </w:p>
    <w:p w:rsidR="00F77ECC" w:rsidRPr="00867EB6" w:rsidRDefault="00A9112E" w:rsidP="00A9112E">
      <w:pPr>
        <w:pStyle w:val="H23G"/>
        <w:rPr>
          <w:lang w:val="fr-FR"/>
        </w:rPr>
      </w:pPr>
      <w:r>
        <w:rPr>
          <w:lang w:val="fr-FR"/>
        </w:rPr>
        <w:tab/>
        <w:t>4.</w:t>
      </w:r>
      <w:r w:rsidR="00F77ECC" w:rsidRPr="00867EB6">
        <w:rPr>
          <w:lang w:val="fr-FR"/>
        </w:rPr>
        <w:tab/>
        <w:t>Dimensions de la double coque prévue à l</w:t>
      </w:r>
      <w:r w:rsidR="00F77ECC">
        <w:rPr>
          <w:lang w:val="fr-FR"/>
        </w:rPr>
        <w:t>’</w:t>
      </w:r>
      <w:r w:rsidR="00F77ECC" w:rsidRPr="00867EB6">
        <w:rPr>
          <w:lang w:val="fr-FR"/>
        </w:rPr>
        <w:t>alinéa</w:t>
      </w:r>
      <w:r>
        <w:rPr>
          <w:lang w:val="fr-FR"/>
        </w:rPr>
        <w:t> </w:t>
      </w:r>
      <w:r w:rsidR="00F77ECC" w:rsidRPr="00867EB6">
        <w:rPr>
          <w:lang w:val="fr-FR"/>
        </w:rPr>
        <w:t>a) du 9.3.2.11.2</w:t>
      </w:r>
      <w:bookmarkStart w:id="39" w:name="_Toc505688433"/>
      <w:bookmarkEnd w:id="39"/>
    </w:p>
    <w:p w:rsidR="00F77ECC" w:rsidRPr="00867EB6" w:rsidRDefault="00F77ECC" w:rsidP="00A9112E">
      <w:pPr>
        <w:pStyle w:val="SingleTxtG"/>
        <w:tabs>
          <w:tab w:val="left" w:pos="3119"/>
        </w:tabs>
        <w:ind w:left="3119" w:hanging="1985"/>
        <w:jc w:val="left"/>
        <w:rPr>
          <w:lang w:val="fr-FR"/>
        </w:rPr>
      </w:pPr>
      <w:r w:rsidRPr="00867EB6">
        <w:rPr>
          <w:i/>
          <w:lang w:val="fr-FR"/>
        </w:rPr>
        <w:t>Document</w:t>
      </w:r>
      <w:r w:rsidR="00A9112E">
        <w:rPr>
          <w:i/>
          <w:lang w:val="fr-FR"/>
        </w:rPr>
        <w:t>(s) </w:t>
      </w:r>
      <w:r>
        <w:rPr>
          <w:lang w:val="fr-FR"/>
        </w:rPr>
        <w:t>:</w:t>
      </w:r>
      <w:r w:rsidR="00A9112E">
        <w:rPr>
          <w:lang w:val="fr-FR"/>
        </w:rPr>
        <w:tab/>
      </w:r>
      <w:r w:rsidRPr="00867EB6">
        <w:rPr>
          <w:lang w:val="fr-FR"/>
        </w:rPr>
        <w:t>ECE/TRANS/WP.15/AC.2/2018/14</w:t>
      </w:r>
      <w:r>
        <w:rPr>
          <w:lang w:val="fr-FR"/>
        </w:rPr>
        <w:t xml:space="preserve"> </w:t>
      </w:r>
      <w:r w:rsidRPr="00867EB6">
        <w:rPr>
          <w:lang w:val="fr-FR"/>
        </w:rPr>
        <w:t>(sociétés de classification recommandées dans l</w:t>
      </w:r>
      <w:r>
        <w:rPr>
          <w:lang w:val="fr-FR"/>
        </w:rPr>
        <w:t>’</w:t>
      </w:r>
      <w:r w:rsidRPr="00867EB6">
        <w:rPr>
          <w:lang w:val="fr-FR"/>
        </w:rPr>
        <w:t>ADN).</w:t>
      </w:r>
    </w:p>
    <w:p w:rsidR="00F77ECC" w:rsidRPr="00867EB6" w:rsidRDefault="00F77ECC" w:rsidP="00A9112E">
      <w:pPr>
        <w:pStyle w:val="SingleTxtG"/>
        <w:rPr>
          <w:lang w:val="fr-FR"/>
        </w:rPr>
      </w:pPr>
      <w:r w:rsidRPr="00867EB6">
        <w:rPr>
          <w:lang w:val="fr-FR"/>
        </w:rPr>
        <w:t>41.</w:t>
      </w:r>
      <w:r w:rsidRPr="00867EB6">
        <w:rPr>
          <w:lang w:val="fr-FR"/>
        </w:rPr>
        <w:tab/>
        <w:t>Le Comité de sécurité a adopté sans modifications la proposition d</w:t>
      </w:r>
      <w:r>
        <w:rPr>
          <w:lang w:val="fr-FR"/>
        </w:rPr>
        <w:t>’</w:t>
      </w:r>
      <w:r w:rsidRPr="00867EB6">
        <w:rPr>
          <w:lang w:val="fr-FR"/>
        </w:rPr>
        <w:t>amendement à l</w:t>
      </w:r>
      <w:r>
        <w:rPr>
          <w:lang w:val="fr-FR"/>
        </w:rPr>
        <w:t>’</w:t>
      </w:r>
      <w:r w:rsidRPr="00867EB6">
        <w:rPr>
          <w:lang w:val="fr-FR"/>
        </w:rPr>
        <w:t>alinéa</w:t>
      </w:r>
      <w:r w:rsidR="00A9112E">
        <w:rPr>
          <w:lang w:val="fr-FR"/>
        </w:rPr>
        <w:t> </w:t>
      </w:r>
      <w:r w:rsidRPr="00867EB6">
        <w:rPr>
          <w:lang w:val="fr-FR"/>
        </w:rPr>
        <w:t>a) du 9.3.2.11.2 (voir annexe I).</w:t>
      </w:r>
    </w:p>
    <w:p w:rsidR="00F77ECC" w:rsidRPr="00867EB6" w:rsidRDefault="00F77ECC" w:rsidP="00A9112E">
      <w:pPr>
        <w:pStyle w:val="H23G"/>
        <w:rPr>
          <w:lang w:val="fr-FR"/>
        </w:rPr>
      </w:pPr>
      <w:r w:rsidRPr="00867EB6">
        <w:rPr>
          <w:lang w:val="fr-FR"/>
        </w:rPr>
        <w:lastRenderedPageBreak/>
        <w:tab/>
        <w:t>5.</w:t>
      </w:r>
      <w:r w:rsidRPr="00867EB6">
        <w:rPr>
          <w:lang w:val="fr-FR"/>
        </w:rPr>
        <w:tab/>
        <w:t>Pont ou pont découvert au 9.3.x.32.2 et au 1.6.7.2.2.2</w:t>
      </w:r>
      <w:bookmarkStart w:id="40" w:name="_Toc505688434"/>
      <w:bookmarkEnd w:id="40"/>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A9112E">
        <w:rPr>
          <w:i/>
          <w:lang w:val="fr-FR"/>
        </w:rPr>
        <w:t>(s) </w:t>
      </w:r>
      <w:r>
        <w:rPr>
          <w:lang w:val="fr-FR"/>
        </w:rPr>
        <w:t>:</w:t>
      </w:r>
      <w:r w:rsidRPr="00867EB6">
        <w:rPr>
          <w:lang w:val="fr-FR"/>
        </w:rPr>
        <w:tab/>
        <w:t>ECE/TRANS/WP.15/AC.2/2018/15 (sociétés de classification recommandées dans l</w:t>
      </w:r>
      <w:r>
        <w:rPr>
          <w:lang w:val="fr-FR"/>
        </w:rPr>
        <w:t>’</w:t>
      </w:r>
      <w:r w:rsidRPr="00867EB6">
        <w:rPr>
          <w:lang w:val="fr-FR"/>
        </w:rPr>
        <w:t>ADN)</w:t>
      </w:r>
      <w:r w:rsidR="008674EC">
        <w:rPr>
          <w:lang w:val="fr-FR"/>
        </w:rPr>
        <w:t>.</w:t>
      </w:r>
    </w:p>
    <w:p w:rsidR="00F77ECC" w:rsidRPr="00867EB6" w:rsidRDefault="00F77ECC" w:rsidP="00355C20">
      <w:pPr>
        <w:pStyle w:val="SingleTxtG"/>
        <w:rPr>
          <w:lang w:val="fr-FR"/>
        </w:rPr>
      </w:pPr>
      <w:r w:rsidRPr="00867EB6">
        <w:rPr>
          <w:lang w:val="fr-FR"/>
        </w:rPr>
        <w:t>42.</w:t>
      </w:r>
      <w:r w:rsidRPr="00867EB6">
        <w:rPr>
          <w:lang w:val="fr-FR"/>
        </w:rPr>
        <w:tab/>
        <w:t>Ayant noté que la disposition transitoire relative au renouvellement du certificat d</w:t>
      </w:r>
      <w:r>
        <w:rPr>
          <w:lang w:val="fr-FR"/>
        </w:rPr>
        <w:t>’</w:t>
      </w:r>
      <w:r w:rsidRPr="00867EB6">
        <w:rPr>
          <w:lang w:val="fr-FR"/>
        </w:rPr>
        <w:t>agrément applicable aux orifices des tuyaux d</w:t>
      </w:r>
      <w:r>
        <w:rPr>
          <w:lang w:val="fr-FR"/>
        </w:rPr>
        <w:t>’</w:t>
      </w:r>
      <w:r w:rsidRPr="00867EB6">
        <w:rPr>
          <w:lang w:val="fr-FR"/>
        </w:rPr>
        <w:t>aération situés à 0,5</w:t>
      </w:r>
      <w:r w:rsidR="00112211">
        <w:rPr>
          <w:lang w:val="fr-FR"/>
        </w:rPr>
        <w:t> </w:t>
      </w:r>
      <w:r w:rsidRPr="00867EB6">
        <w:rPr>
          <w:lang w:val="fr-FR"/>
        </w:rPr>
        <w:t>m au-dessus d</w:t>
      </w:r>
      <w:r>
        <w:rPr>
          <w:lang w:val="fr-FR"/>
        </w:rPr>
        <w:t>’</w:t>
      </w:r>
      <w:r w:rsidRPr="00867EB6">
        <w:rPr>
          <w:lang w:val="fr-FR"/>
        </w:rPr>
        <w:t>un pont découvert avait expiré, le Comité de sécurité a estimé que les amendements proposés pour le 1.6.7.2.2.2 ne se justifiaient pas et ne les a pas adoptés. Le Comité de sécurité a en outre décidé que l</w:t>
      </w:r>
      <w:r>
        <w:rPr>
          <w:lang w:val="fr-FR"/>
        </w:rPr>
        <w:t>’</w:t>
      </w:r>
      <w:r w:rsidRPr="00867EB6">
        <w:rPr>
          <w:lang w:val="fr-FR"/>
        </w:rPr>
        <w:t>entrée applicable aux 9.3.1.32.2, 9.3.2.32.2 et 9.3.3.32.2 dans le tableau du</w:t>
      </w:r>
      <w:r w:rsidR="00355C20">
        <w:rPr>
          <w:lang w:val="fr-FR"/>
        </w:rPr>
        <w:t> </w:t>
      </w:r>
      <w:r w:rsidRPr="00867EB6">
        <w:rPr>
          <w:lang w:val="fr-FR"/>
        </w:rPr>
        <w:t>1.6.7.2.2.2 de l</w:t>
      </w:r>
      <w:r>
        <w:rPr>
          <w:lang w:val="fr-FR"/>
        </w:rPr>
        <w:t>’</w:t>
      </w:r>
      <w:r w:rsidRPr="00867EB6">
        <w:rPr>
          <w:lang w:val="fr-FR"/>
        </w:rPr>
        <w:t xml:space="preserve">ADN devait être supprimée. Les autres propositions énoncées dans le document ECE/TRANS/WP.15/AC.2/2018/15 ont été adoptées moyennant quelques corrections (voir annexe I). </w:t>
      </w:r>
    </w:p>
    <w:p w:rsidR="00F77ECC" w:rsidRPr="00867EB6" w:rsidRDefault="00F77ECC" w:rsidP="00355C20">
      <w:pPr>
        <w:pStyle w:val="SingleTxtG"/>
        <w:rPr>
          <w:lang w:val="fr-FR"/>
        </w:rPr>
      </w:pPr>
      <w:r w:rsidRPr="00867EB6">
        <w:rPr>
          <w:lang w:val="fr-FR"/>
        </w:rPr>
        <w:t>43.</w:t>
      </w:r>
      <w:r w:rsidRPr="00867EB6">
        <w:rPr>
          <w:lang w:val="fr-FR"/>
        </w:rPr>
        <w:tab/>
        <w:t>S</w:t>
      </w:r>
      <w:r>
        <w:rPr>
          <w:lang w:val="fr-FR"/>
        </w:rPr>
        <w:t>’</w:t>
      </w:r>
      <w:r w:rsidRPr="00867EB6">
        <w:rPr>
          <w:lang w:val="fr-FR"/>
        </w:rPr>
        <w:t xml:space="preserve">agissant de la terminologie, le Comité de sécurité a décidé que le terme anglais </w:t>
      </w:r>
      <w:r>
        <w:rPr>
          <w:lang w:val="fr-FR"/>
        </w:rPr>
        <w:t>«</w:t>
      </w:r>
      <w:r w:rsidR="00112211">
        <w:rPr>
          <w:lang w:val="fr-FR"/>
        </w:rPr>
        <w:t> </w:t>
      </w:r>
      <w:r w:rsidRPr="00867EB6">
        <w:rPr>
          <w:lang w:val="fr-FR"/>
        </w:rPr>
        <w:t>open deck</w:t>
      </w:r>
      <w:r w:rsidR="00112211">
        <w:rPr>
          <w:lang w:val="fr-FR"/>
        </w:rPr>
        <w:t> </w:t>
      </w:r>
      <w:r>
        <w:rPr>
          <w:lang w:val="fr-FR"/>
        </w:rPr>
        <w:t>»</w:t>
      </w:r>
      <w:r w:rsidRPr="00867EB6">
        <w:rPr>
          <w:lang w:val="fr-FR"/>
        </w:rPr>
        <w:t xml:space="preserve"> devait être traduit en français par </w:t>
      </w:r>
      <w:r>
        <w:rPr>
          <w:lang w:val="fr-FR"/>
        </w:rPr>
        <w:t>«</w:t>
      </w:r>
      <w:r w:rsidR="00112211">
        <w:rPr>
          <w:lang w:val="fr-FR"/>
        </w:rPr>
        <w:t> </w:t>
      </w:r>
      <w:r w:rsidRPr="00867EB6">
        <w:rPr>
          <w:lang w:val="fr-FR"/>
        </w:rPr>
        <w:t>pont découvert</w:t>
      </w:r>
      <w:r w:rsidR="00112211">
        <w:rPr>
          <w:lang w:val="fr-FR"/>
        </w:rPr>
        <w:t> </w:t>
      </w:r>
      <w:r>
        <w:rPr>
          <w:lang w:val="fr-FR"/>
        </w:rPr>
        <w:t>»</w:t>
      </w:r>
      <w:r w:rsidRPr="00867EB6">
        <w:rPr>
          <w:lang w:val="fr-FR"/>
        </w:rPr>
        <w:t>.</w:t>
      </w:r>
    </w:p>
    <w:p w:rsidR="00F77ECC" w:rsidRPr="00867EB6" w:rsidRDefault="00112211" w:rsidP="00112211">
      <w:pPr>
        <w:pStyle w:val="H23G"/>
        <w:rPr>
          <w:lang w:val="fr-FR"/>
        </w:rPr>
      </w:pPr>
      <w:r>
        <w:rPr>
          <w:lang w:val="fr-FR"/>
        </w:rPr>
        <w:tab/>
        <w:t>6.</w:t>
      </w:r>
      <w:r w:rsidR="00F77ECC" w:rsidRPr="00867EB6">
        <w:rPr>
          <w:lang w:val="fr-FR"/>
        </w:rPr>
        <w:tab/>
        <w:t>Utilisation du gaz naturel liquéfié (GNL) comme carburant (9.3.1.24.1)</w:t>
      </w:r>
      <w:bookmarkStart w:id="41" w:name="_Toc505688435"/>
      <w:bookmarkEnd w:id="41"/>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355C20">
        <w:rPr>
          <w:i/>
          <w:lang w:val="fr-FR"/>
        </w:rPr>
        <w:t>(s) </w:t>
      </w:r>
      <w:r>
        <w:rPr>
          <w:lang w:val="fr-FR"/>
        </w:rPr>
        <w:t>:</w:t>
      </w:r>
      <w:r w:rsidR="00112211">
        <w:rPr>
          <w:lang w:val="fr-FR"/>
        </w:rPr>
        <w:tab/>
      </w:r>
      <w:r w:rsidRPr="00867EB6">
        <w:rPr>
          <w:lang w:val="fr-FR"/>
        </w:rPr>
        <w:t>ECE/TRANS/WP.15/AC.2/2018/17 (Belgique et Pays-Bas).</w:t>
      </w:r>
    </w:p>
    <w:p w:rsidR="00F77ECC" w:rsidRPr="00867EB6" w:rsidRDefault="00F77ECC" w:rsidP="00355C20">
      <w:pPr>
        <w:pStyle w:val="SingleTxtG"/>
        <w:rPr>
          <w:lang w:val="fr-FR"/>
        </w:rPr>
      </w:pPr>
      <w:r w:rsidRPr="00867EB6">
        <w:rPr>
          <w:lang w:val="fr-FR"/>
        </w:rPr>
        <w:t>44.</w:t>
      </w:r>
      <w:r w:rsidRPr="00867EB6">
        <w:rPr>
          <w:lang w:val="fr-FR"/>
        </w:rPr>
        <w:tab/>
        <w:t>Le Comité de sécurité a estimé qu</w:t>
      </w:r>
      <w:r>
        <w:rPr>
          <w:lang w:val="fr-FR"/>
        </w:rPr>
        <w:t>’</w:t>
      </w:r>
      <w:r w:rsidRPr="00867EB6">
        <w:rPr>
          <w:lang w:val="fr-FR"/>
        </w:rPr>
        <w:t>à la suite de l</w:t>
      </w:r>
      <w:r>
        <w:rPr>
          <w:lang w:val="fr-FR"/>
        </w:rPr>
        <w:t>’</w:t>
      </w:r>
      <w:r w:rsidRPr="00867EB6">
        <w:rPr>
          <w:lang w:val="fr-FR"/>
        </w:rPr>
        <w:t>adoption de dispositions autorisant l</w:t>
      </w:r>
      <w:r>
        <w:rPr>
          <w:lang w:val="fr-FR"/>
        </w:rPr>
        <w:t>’</w:t>
      </w:r>
      <w:r w:rsidRPr="00867EB6">
        <w:rPr>
          <w:lang w:val="fr-FR"/>
        </w:rPr>
        <w:t>utilisation du GNL comme carburant, devant entrer en vigueur à partir du 1</w:t>
      </w:r>
      <w:r w:rsidRPr="00867EB6">
        <w:rPr>
          <w:vertAlign w:val="superscript"/>
          <w:lang w:val="fr-FR"/>
        </w:rPr>
        <w:t>er</w:t>
      </w:r>
      <w:r w:rsidR="00355C20">
        <w:rPr>
          <w:lang w:val="fr-FR"/>
        </w:rPr>
        <w:t> </w:t>
      </w:r>
      <w:r w:rsidRPr="00867EB6">
        <w:rPr>
          <w:lang w:val="fr-FR"/>
        </w:rPr>
        <w:t>janvier 2019, le texte du 9.3.1.24.1</w:t>
      </w:r>
      <w:r w:rsidR="00355C20">
        <w:rPr>
          <w:lang w:val="fr-FR"/>
        </w:rPr>
        <w:t> </w:t>
      </w:r>
      <w:r w:rsidRPr="00867EB6">
        <w:rPr>
          <w:lang w:val="fr-FR"/>
        </w:rPr>
        <w:t xml:space="preserve">c), soumis à dérogation conformément au 1.5.3.2, ne serait plus nécessaire et a décidé de le supprimer (voir annexe I). </w:t>
      </w:r>
    </w:p>
    <w:p w:rsidR="00F77ECC" w:rsidRPr="00867EB6" w:rsidRDefault="00F77ECC" w:rsidP="00355C20">
      <w:pPr>
        <w:pStyle w:val="SingleTxtG"/>
        <w:rPr>
          <w:lang w:val="fr-FR"/>
        </w:rPr>
      </w:pPr>
      <w:r w:rsidRPr="00867EB6">
        <w:rPr>
          <w:lang w:val="fr-FR"/>
        </w:rPr>
        <w:t>45.</w:t>
      </w:r>
      <w:r w:rsidRPr="00867EB6">
        <w:rPr>
          <w:lang w:val="fr-FR"/>
        </w:rPr>
        <w:tab/>
        <w:t>Le Comité de sécurité a cependant jugé qu</w:t>
      </w:r>
      <w:r>
        <w:rPr>
          <w:lang w:val="fr-FR"/>
        </w:rPr>
        <w:t>’</w:t>
      </w:r>
      <w:r w:rsidRPr="00867EB6">
        <w:rPr>
          <w:lang w:val="fr-FR"/>
        </w:rPr>
        <w:t>un complément d</w:t>
      </w:r>
      <w:r>
        <w:rPr>
          <w:lang w:val="fr-FR"/>
        </w:rPr>
        <w:t>’</w:t>
      </w:r>
      <w:r w:rsidRPr="00867EB6">
        <w:rPr>
          <w:lang w:val="fr-FR"/>
        </w:rPr>
        <w:t>information relatif à l</w:t>
      </w:r>
      <w:r>
        <w:rPr>
          <w:lang w:val="fr-FR"/>
        </w:rPr>
        <w:t>’</w:t>
      </w:r>
      <w:r w:rsidRPr="00867EB6">
        <w:rPr>
          <w:lang w:val="fr-FR"/>
        </w:rPr>
        <w:t xml:space="preserve">utilisation des vapeurs de </w:t>
      </w:r>
      <w:proofErr w:type="spellStart"/>
      <w:r w:rsidRPr="00867EB6">
        <w:rPr>
          <w:lang w:val="fr-FR"/>
        </w:rPr>
        <w:t>boil</w:t>
      </w:r>
      <w:proofErr w:type="spellEnd"/>
      <w:r w:rsidRPr="00867EB6">
        <w:rPr>
          <w:lang w:val="fr-FR"/>
        </w:rPr>
        <w:t>-off de GNL comme carburant sur un bateau était nécessaire, en particulier sur le plan de la sécurité. Il a par conséquent invité les sociétés de classification recommandées dans l</w:t>
      </w:r>
      <w:r>
        <w:rPr>
          <w:lang w:val="fr-FR"/>
        </w:rPr>
        <w:t>’</w:t>
      </w:r>
      <w:r w:rsidRPr="00867EB6">
        <w:rPr>
          <w:lang w:val="fr-FR"/>
        </w:rPr>
        <w:t>ADN à soumettre à la prochaine session un document contenant des informations sur les dispositions existantes pour la sécurité (notamment dans la norme ES-TRIN) dans le cas de l</w:t>
      </w:r>
      <w:r>
        <w:rPr>
          <w:lang w:val="fr-FR"/>
        </w:rPr>
        <w:t>’</w:t>
      </w:r>
      <w:r w:rsidRPr="00867EB6">
        <w:rPr>
          <w:lang w:val="fr-FR"/>
        </w:rPr>
        <w:t>utilisation du GNL comme carburant. Ce document devrait également rendre compte de l</w:t>
      </w:r>
      <w:r>
        <w:rPr>
          <w:lang w:val="fr-FR"/>
        </w:rPr>
        <w:t>’</w:t>
      </w:r>
      <w:r w:rsidRPr="00867EB6">
        <w:rPr>
          <w:lang w:val="fr-FR"/>
        </w:rPr>
        <w:t>étude des dispositions actuelles relatives à la protection contre les explosions et des dispositions proposées pour adoption et entrée en vigueur à compter du 1</w:t>
      </w:r>
      <w:r w:rsidRPr="00867EB6">
        <w:rPr>
          <w:vertAlign w:val="superscript"/>
          <w:lang w:val="fr-FR"/>
        </w:rPr>
        <w:t>er</w:t>
      </w:r>
      <w:r w:rsidR="00355C20">
        <w:rPr>
          <w:lang w:val="fr-FR"/>
        </w:rPr>
        <w:t> </w:t>
      </w:r>
      <w:r w:rsidRPr="00867EB6">
        <w:rPr>
          <w:lang w:val="fr-FR"/>
        </w:rPr>
        <w:t>janvier 2019, afin d</w:t>
      </w:r>
      <w:r>
        <w:rPr>
          <w:lang w:val="fr-FR"/>
        </w:rPr>
        <w:t>’</w:t>
      </w:r>
      <w:r w:rsidRPr="00867EB6">
        <w:rPr>
          <w:lang w:val="fr-FR"/>
        </w:rPr>
        <w:t xml:space="preserve">éviter toute divergence. </w:t>
      </w:r>
    </w:p>
    <w:p w:rsidR="00F77ECC" w:rsidRPr="00867EB6" w:rsidRDefault="00F77ECC" w:rsidP="00112211">
      <w:pPr>
        <w:pStyle w:val="H23G"/>
        <w:rPr>
          <w:lang w:val="fr-FR"/>
        </w:rPr>
      </w:pPr>
      <w:r w:rsidRPr="00867EB6">
        <w:rPr>
          <w:lang w:val="fr-FR"/>
        </w:rPr>
        <w:tab/>
        <w:t>7.</w:t>
      </w:r>
      <w:r w:rsidRPr="00867EB6">
        <w:rPr>
          <w:lang w:val="fr-FR"/>
        </w:rPr>
        <w:tab/>
        <w:t>Sous-section 1.6.7.4</w:t>
      </w:r>
      <w:r w:rsidR="00112211">
        <w:rPr>
          <w:lang w:val="fr-FR"/>
        </w:rPr>
        <w:t> </w:t>
      </w:r>
      <w:r>
        <w:rPr>
          <w:lang w:val="fr-FR"/>
        </w:rPr>
        <w:t>:</w:t>
      </w:r>
      <w:r w:rsidRPr="00867EB6">
        <w:rPr>
          <w:lang w:val="fr-FR"/>
        </w:rPr>
        <w:t xml:space="preserve"> Prescriptions transitoires relatives au transport</w:t>
      </w:r>
      <w:r>
        <w:rPr>
          <w:lang w:val="fr-FR"/>
        </w:rPr>
        <w:t xml:space="preserve"> </w:t>
      </w:r>
      <w:r w:rsidRPr="00867EB6">
        <w:rPr>
          <w:lang w:val="fr-FR"/>
        </w:rPr>
        <w:t>de matières dangereuses pour l</w:t>
      </w:r>
      <w:r>
        <w:rPr>
          <w:lang w:val="fr-FR"/>
        </w:rPr>
        <w:t>’</w:t>
      </w:r>
      <w:r w:rsidRPr="00867EB6">
        <w:rPr>
          <w:lang w:val="fr-FR"/>
        </w:rPr>
        <w:t xml:space="preserve">environnement ou pour la santé </w:t>
      </w:r>
      <w:bookmarkStart w:id="42" w:name="_Toc505688436"/>
      <w:bookmarkEnd w:id="42"/>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355C20">
        <w:rPr>
          <w:i/>
          <w:lang w:val="fr-FR"/>
        </w:rPr>
        <w:t>(s) </w:t>
      </w:r>
      <w:r>
        <w:rPr>
          <w:lang w:val="fr-FR"/>
        </w:rPr>
        <w:t>:</w:t>
      </w:r>
      <w:r w:rsidRPr="00867EB6">
        <w:rPr>
          <w:lang w:val="fr-FR"/>
        </w:rPr>
        <w:tab/>
        <w:t>ECE/TRANS/WP.15/AC.2/2018/18 (Allemagne).</w:t>
      </w:r>
    </w:p>
    <w:p w:rsidR="00F77ECC" w:rsidRPr="00867EB6" w:rsidRDefault="00F77ECC" w:rsidP="00355C20">
      <w:pPr>
        <w:pStyle w:val="SingleTxtG"/>
        <w:rPr>
          <w:lang w:val="fr-FR"/>
        </w:rPr>
      </w:pPr>
      <w:r w:rsidRPr="00867EB6">
        <w:rPr>
          <w:lang w:val="fr-FR"/>
        </w:rPr>
        <w:t>46.</w:t>
      </w:r>
      <w:r w:rsidRPr="00867EB6">
        <w:rPr>
          <w:lang w:val="fr-FR"/>
        </w:rPr>
        <w:tab/>
        <w:t>Le Comité de sécurité a adopté la proposition visant à supprimer la disposition transitoire au premier paragraphe du 1.6.7.4.1 (voir annexe I) et a noté avec satisfaction que l</w:t>
      </w:r>
      <w:r>
        <w:rPr>
          <w:lang w:val="fr-FR"/>
        </w:rPr>
        <w:t>’</w:t>
      </w:r>
      <w:r w:rsidRPr="00867EB6">
        <w:rPr>
          <w:lang w:val="fr-FR"/>
        </w:rPr>
        <w:t>utilisation de bateaux à double coque avait contribué sensiblement au renforcement de la sécurité des transports.</w:t>
      </w:r>
    </w:p>
    <w:p w:rsidR="00F77ECC" w:rsidRPr="00867EB6" w:rsidRDefault="00355C20" w:rsidP="00355C20">
      <w:pPr>
        <w:pStyle w:val="H23G"/>
        <w:rPr>
          <w:lang w:val="fr-FR"/>
        </w:rPr>
      </w:pPr>
      <w:r>
        <w:rPr>
          <w:lang w:val="fr-FR"/>
        </w:rPr>
        <w:tab/>
        <w:t>8.</w:t>
      </w:r>
      <w:r w:rsidR="00F77ECC" w:rsidRPr="00867EB6">
        <w:rPr>
          <w:lang w:val="fr-FR"/>
        </w:rPr>
        <w:tab/>
        <w:t>Matériaux de construction</w:t>
      </w:r>
      <w:bookmarkStart w:id="43" w:name="_Toc505688437"/>
      <w:bookmarkEnd w:id="43"/>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355C20">
        <w:rPr>
          <w:i/>
          <w:lang w:val="fr-FR"/>
        </w:rPr>
        <w:t>(s) </w:t>
      </w:r>
      <w:r>
        <w:rPr>
          <w:lang w:val="fr-FR"/>
        </w:rPr>
        <w:t>:</w:t>
      </w:r>
      <w:r w:rsidRPr="00867EB6">
        <w:rPr>
          <w:lang w:val="fr-FR"/>
        </w:rPr>
        <w:tab/>
        <w:t>ECE/TRANS/WP.15/AC.2/2018/19 (ERSTU, OEB et UENF).</w:t>
      </w:r>
    </w:p>
    <w:p w:rsidR="00F77ECC" w:rsidRPr="00867EB6" w:rsidRDefault="00F77ECC" w:rsidP="00355C20">
      <w:pPr>
        <w:pStyle w:val="SingleTxtG"/>
        <w:rPr>
          <w:lang w:val="fr-FR"/>
        </w:rPr>
      </w:pPr>
      <w:r w:rsidRPr="00867EB6">
        <w:rPr>
          <w:lang w:val="fr-FR"/>
        </w:rPr>
        <w:t>47.</w:t>
      </w:r>
      <w:r w:rsidRPr="00867EB6">
        <w:rPr>
          <w:lang w:val="fr-FR"/>
        </w:rPr>
        <w:tab/>
        <w:t>Le Comité de sécurité a adopté les propositions d</w:t>
      </w:r>
      <w:r>
        <w:rPr>
          <w:lang w:val="fr-FR"/>
        </w:rPr>
        <w:t>’</w:t>
      </w:r>
      <w:r w:rsidRPr="00867EB6">
        <w:rPr>
          <w:lang w:val="fr-FR"/>
        </w:rPr>
        <w:t>amendements aux 9.3.x.0.2, 9.3.x.0.3 et 9.3.x.0.5 moyennant quelques modifications (voir annexe I).</w:t>
      </w:r>
    </w:p>
    <w:p w:rsidR="00F77ECC" w:rsidRPr="00867EB6" w:rsidRDefault="00F77ECC" w:rsidP="00355C20">
      <w:pPr>
        <w:pStyle w:val="SingleTxtG"/>
        <w:rPr>
          <w:lang w:val="fr-FR"/>
        </w:rPr>
      </w:pPr>
      <w:r w:rsidRPr="00867EB6">
        <w:rPr>
          <w:lang w:val="fr-FR"/>
        </w:rPr>
        <w:t>48.</w:t>
      </w:r>
      <w:r w:rsidRPr="00867EB6">
        <w:rPr>
          <w:lang w:val="fr-FR"/>
        </w:rPr>
        <w:tab/>
        <w:t>À la question de savoir s</w:t>
      </w:r>
      <w:r>
        <w:rPr>
          <w:lang w:val="fr-FR"/>
        </w:rPr>
        <w:t>’</w:t>
      </w:r>
      <w:r w:rsidRPr="00867EB6">
        <w:rPr>
          <w:lang w:val="fr-FR"/>
        </w:rPr>
        <w:t>il était possible d</w:t>
      </w:r>
      <w:r>
        <w:rPr>
          <w:lang w:val="fr-FR"/>
        </w:rPr>
        <w:t>’</w:t>
      </w:r>
      <w:r w:rsidRPr="00867EB6">
        <w:rPr>
          <w:lang w:val="fr-FR"/>
        </w:rPr>
        <w:t>utiliser de l</w:t>
      </w:r>
      <w:r>
        <w:rPr>
          <w:lang w:val="fr-FR"/>
        </w:rPr>
        <w:t>’</w:t>
      </w:r>
      <w:r w:rsidRPr="00867EB6">
        <w:rPr>
          <w:lang w:val="fr-FR"/>
        </w:rPr>
        <w:t>acier comme matériau de construction pour certains des éléments mentionnés à la colonne 1 du tableau à insérer au 9.3.x.0.3, le Comité de sécurité a répondu que le tableau faisait référence uniquement au bois, aux alliages d</w:t>
      </w:r>
      <w:r>
        <w:rPr>
          <w:lang w:val="fr-FR"/>
        </w:rPr>
        <w:t>’</w:t>
      </w:r>
      <w:r w:rsidRPr="00867EB6">
        <w:rPr>
          <w:lang w:val="fr-FR"/>
        </w:rPr>
        <w:t>aluminium, au plastique et au caoutchouc comme matériaux de construction, mais que cela n</w:t>
      </w:r>
      <w:r>
        <w:rPr>
          <w:lang w:val="fr-FR"/>
        </w:rPr>
        <w:t>’</w:t>
      </w:r>
      <w:r w:rsidRPr="00867EB6">
        <w:rPr>
          <w:lang w:val="fr-FR"/>
        </w:rPr>
        <w:t>empêchait pas d</w:t>
      </w:r>
      <w:r>
        <w:rPr>
          <w:lang w:val="fr-FR"/>
        </w:rPr>
        <w:t>’</w:t>
      </w:r>
      <w:r w:rsidRPr="00867EB6">
        <w:rPr>
          <w:lang w:val="fr-FR"/>
        </w:rPr>
        <w:t>utiliser de l</w:t>
      </w:r>
      <w:r>
        <w:rPr>
          <w:lang w:val="fr-FR"/>
        </w:rPr>
        <w:t>’</w:t>
      </w:r>
      <w:r w:rsidRPr="00867EB6">
        <w:rPr>
          <w:lang w:val="fr-FR"/>
        </w:rPr>
        <w:t xml:space="preserve">acier, par exemple. </w:t>
      </w:r>
    </w:p>
    <w:p w:rsidR="00F77ECC" w:rsidRPr="00867EB6" w:rsidRDefault="00F77ECC" w:rsidP="00355C20">
      <w:pPr>
        <w:pStyle w:val="H23G"/>
        <w:rPr>
          <w:lang w:val="fr-FR"/>
        </w:rPr>
      </w:pPr>
      <w:r w:rsidRPr="00867EB6">
        <w:rPr>
          <w:lang w:val="fr-FR"/>
        </w:rPr>
        <w:tab/>
        <w:t>9.</w:t>
      </w:r>
      <w:r w:rsidRPr="00867EB6">
        <w:rPr>
          <w:lang w:val="fr-FR"/>
        </w:rPr>
        <w:tab/>
        <w:t>Ambiguïtés dans le tableau C</w:t>
      </w:r>
      <w:bookmarkStart w:id="44" w:name="_Toc505688438"/>
      <w:bookmarkEnd w:id="44"/>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355C20">
        <w:rPr>
          <w:i/>
          <w:lang w:val="fr-FR"/>
        </w:rPr>
        <w:t>(s)</w:t>
      </w:r>
      <w:r w:rsidR="00112211">
        <w:rPr>
          <w:i/>
          <w:lang w:val="fr-FR"/>
        </w:rPr>
        <w:t> </w:t>
      </w:r>
      <w:r>
        <w:rPr>
          <w:lang w:val="fr-FR"/>
        </w:rPr>
        <w:t>:</w:t>
      </w:r>
      <w:r w:rsidRPr="00867EB6">
        <w:rPr>
          <w:lang w:val="fr-FR"/>
        </w:rPr>
        <w:tab/>
        <w:t>ECE/TRANS/WP.15/AC.2/2018/22 (Allemagne).</w:t>
      </w:r>
    </w:p>
    <w:p w:rsidR="00F77ECC" w:rsidRPr="00867EB6" w:rsidRDefault="00F77ECC" w:rsidP="00355C20">
      <w:pPr>
        <w:pStyle w:val="SingleTxtG"/>
        <w:rPr>
          <w:lang w:val="fr-FR"/>
        </w:rPr>
      </w:pPr>
      <w:r w:rsidRPr="00867EB6">
        <w:rPr>
          <w:lang w:val="fr-FR"/>
        </w:rPr>
        <w:t>49.</w:t>
      </w:r>
      <w:r w:rsidRPr="00867EB6">
        <w:rPr>
          <w:lang w:val="fr-FR"/>
        </w:rPr>
        <w:tab/>
        <w:t>Le Comité de sécurité a prié le groupe de travail informel Matières d</w:t>
      </w:r>
      <w:r>
        <w:rPr>
          <w:lang w:val="fr-FR"/>
        </w:rPr>
        <w:t>’</w:t>
      </w:r>
      <w:r w:rsidRPr="00867EB6">
        <w:rPr>
          <w:lang w:val="fr-FR"/>
        </w:rPr>
        <w:t>examiner les questions posées aux paragraphes</w:t>
      </w:r>
      <w:r w:rsidR="00112211">
        <w:rPr>
          <w:lang w:val="fr-FR"/>
        </w:rPr>
        <w:t> </w:t>
      </w:r>
      <w:r w:rsidRPr="00867EB6">
        <w:rPr>
          <w:lang w:val="fr-FR"/>
        </w:rPr>
        <w:t xml:space="preserve">19, 24 et 25 du document ECE/TRANS/WP.15/AC.2/2018/22. </w:t>
      </w:r>
    </w:p>
    <w:p w:rsidR="00F77ECC" w:rsidRPr="00867EB6" w:rsidRDefault="00F77ECC" w:rsidP="00355C20">
      <w:pPr>
        <w:pStyle w:val="SingleTxtG"/>
        <w:rPr>
          <w:lang w:val="fr-FR"/>
        </w:rPr>
      </w:pPr>
      <w:r w:rsidRPr="00867EB6">
        <w:rPr>
          <w:lang w:val="fr-FR"/>
        </w:rPr>
        <w:lastRenderedPageBreak/>
        <w:t>50.</w:t>
      </w:r>
      <w:r w:rsidRPr="00867EB6">
        <w:rPr>
          <w:lang w:val="fr-FR"/>
        </w:rPr>
        <w:tab/>
        <w:t>Bien que le Comité de sécurité ait adopté la proposition visant à introduire l</w:t>
      </w:r>
      <w:r>
        <w:rPr>
          <w:lang w:val="fr-FR"/>
        </w:rPr>
        <w:t>’</w:t>
      </w:r>
      <w:r w:rsidRPr="00867EB6">
        <w:rPr>
          <w:lang w:val="fr-FR"/>
        </w:rPr>
        <w:t xml:space="preserve">abréviation </w:t>
      </w:r>
      <w:r>
        <w:rPr>
          <w:lang w:val="fr-FR"/>
        </w:rPr>
        <w:t>«</w:t>
      </w:r>
      <w:r w:rsidR="00355C20">
        <w:rPr>
          <w:lang w:val="fr-FR"/>
        </w:rPr>
        <w:t> </w:t>
      </w:r>
      <w:proofErr w:type="spellStart"/>
      <w:r w:rsidRPr="00867EB6">
        <w:rPr>
          <w:lang w:val="fr-FR"/>
        </w:rPr>
        <w:t>Fp</w:t>
      </w:r>
      <w:proofErr w:type="spellEnd"/>
      <w:r w:rsidR="00355C20">
        <w:rPr>
          <w:lang w:val="fr-FR"/>
        </w:rPr>
        <w:t> </w:t>
      </w:r>
      <w:r>
        <w:rPr>
          <w:lang w:val="fr-FR"/>
        </w:rPr>
        <w:t>»</w:t>
      </w:r>
      <w:r w:rsidRPr="00867EB6">
        <w:rPr>
          <w:lang w:val="fr-FR"/>
        </w:rPr>
        <w:t xml:space="preserve"> dans la définition du point d</w:t>
      </w:r>
      <w:r>
        <w:rPr>
          <w:lang w:val="fr-FR"/>
        </w:rPr>
        <w:t>’</w:t>
      </w:r>
      <w:r w:rsidRPr="00867EB6">
        <w:rPr>
          <w:lang w:val="fr-FR"/>
        </w:rPr>
        <w:t>éclair (</w:t>
      </w:r>
      <w:r>
        <w:rPr>
          <w:lang w:val="fr-FR"/>
        </w:rPr>
        <w:t>«</w:t>
      </w:r>
      <w:r w:rsidR="00355C20">
        <w:rPr>
          <w:lang w:val="fr-FR"/>
        </w:rPr>
        <w:t> </w:t>
      </w:r>
      <w:r w:rsidRPr="00867EB6">
        <w:rPr>
          <w:lang w:val="fr-FR"/>
        </w:rPr>
        <w:t>flash-point</w:t>
      </w:r>
      <w:r w:rsidR="00355C20">
        <w:rPr>
          <w:lang w:val="fr-FR"/>
        </w:rPr>
        <w:t> </w:t>
      </w:r>
      <w:r>
        <w:rPr>
          <w:lang w:val="fr-FR"/>
        </w:rPr>
        <w:t>»</w:t>
      </w:r>
      <w:r w:rsidRPr="00867EB6">
        <w:rPr>
          <w:lang w:val="fr-FR"/>
        </w:rPr>
        <w:t>), il a estimé que cette même suggestion devait être examinée pour adoption dans les textes du RID et de l</w:t>
      </w:r>
      <w:r>
        <w:rPr>
          <w:lang w:val="fr-FR"/>
        </w:rPr>
        <w:t>’</w:t>
      </w:r>
      <w:r w:rsidRPr="00867EB6">
        <w:rPr>
          <w:lang w:val="fr-FR"/>
        </w:rPr>
        <w:t>ADR et a invité le représentant de l</w:t>
      </w:r>
      <w:r>
        <w:rPr>
          <w:lang w:val="fr-FR"/>
        </w:rPr>
        <w:t>’</w:t>
      </w:r>
      <w:r w:rsidRPr="00867EB6">
        <w:rPr>
          <w:lang w:val="fr-FR"/>
        </w:rPr>
        <w:t>Allemagne à soumettre une proposition à cette fin à la prochaine session de la Réunion commune RID/ADR/ADN, en mars 2018.</w:t>
      </w:r>
    </w:p>
    <w:p w:rsidR="00F77ECC" w:rsidRPr="00867EB6" w:rsidRDefault="00F77ECC" w:rsidP="00355C20">
      <w:pPr>
        <w:pStyle w:val="SingleTxtG"/>
        <w:rPr>
          <w:lang w:val="fr-FR"/>
        </w:rPr>
      </w:pPr>
      <w:r w:rsidRPr="00867EB6">
        <w:rPr>
          <w:lang w:val="fr-FR"/>
        </w:rPr>
        <w:t>51.</w:t>
      </w:r>
      <w:r w:rsidRPr="00867EB6">
        <w:rPr>
          <w:lang w:val="fr-FR"/>
        </w:rPr>
        <w:tab/>
        <w:t>En vue de répondre à une question concernant la nécessité de remédier aux différences entre les schémas A et B au 3.2.3.3 de l</w:t>
      </w:r>
      <w:r>
        <w:rPr>
          <w:lang w:val="fr-FR"/>
        </w:rPr>
        <w:t>’</w:t>
      </w:r>
      <w:r w:rsidRPr="00867EB6">
        <w:rPr>
          <w:lang w:val="fr-FR"/>
        </w:rPr>
        <w:t xml:space="preserve">ADN, le Comité de sécurité a invité le représentant de </w:t>
      </w:r>
      <w:proofErr w:type="spellStart"/>
      <w:r w:rsidRPr="00867EB6">
        <w:rPr>
          <w:lang w:val="fr-FR"/>
        </w:rPr>
        <w:t>FuelsEurope</w:t>
      </w:r>
      <w:proofErr w:type="spellEnd"/>
      <w:r w:rsidRPr="00867EB6">
        <w:rPr>
          <w:lang w:val="fr-FR"/>
        </w:rPr>
        <w:t xml:space="preserve"> à soumettre une proposition à la prochaine session.</w:t>
      </w:r>
    </w:p>
    <w:p w:rsidR="00F77ECC" w:rsidRPr="00867EB6" w:rsidRDefault="00355C20" w:rsidP="00355C20">
      <w:pPr>
        <w:pStyle w:val="SingleTxtG"/>
        <w:rPr>
          <w:lang w:val="fr-FR"/>
        </w:rPr>
      </w:pPr>
      <w:r>
        <w:rPr>
          <w:lang w:val="fr-FR"/>
        </w:rPr>
        <w:t>52.</w:t>
      </w:r>
      <w:r w:rsidR="00F77ECC" w:rsidRPr="00867EB6">
        <w:rPr>
          <w:lang w:val="fr-FR"/>
        </w:rPr>
        <w:tab/>
        <w:t>S</w:t>
      </w:r>
      <w:r w:rsidR="00F77ECC">
        <w:rPr>
          <w:lang w:val="fr-FR"/>
        </w:rPr>
        <w:t>’</w:t>
      </w:r>
      <w:r w:rsidR="00F77ECC" w:rsidRPr="00867EB6">
        <w:rPr>
          <w:lang w:val="fr-FR"/>
        </w:rPr>
        <w:t>agissant de la proposition faite au point J, le Comité de sécurité a décidé de confier l</w:t>
      </w:r>
      <w:r w:rsidR="00F77ECC">
        <w:rPr>
          <w:lang w:val="fr-FR"/>
        </w:rPr>
        <w:t>’</w:t>
      </w:r>
      <w:r w:rsidR="00F77ECC" w:rsidRPr="00867EB6">
        <w:rPr>
          <w:lang w:val="fr-FR"/>
        </w:rPr>
        <w:t>élaboration d</w:t>
      </w:r>
      <w:r w:rsidR="00F77ECC">
        <w:rPr>
          <w:lang w:val="fr-FR"/>
        </w:rPr>
        <w:t>’</w:t>
      </w:r>
      <w:r w:rsidR="00F77ECC" w:rsidRPr="00867EB6">
        <w:rPr>
          <w:lang w:val="fr-FR"/>
        </w:rPr>
        <w:t>une proposition révisée au groupe de travail informel Matières. Cette proposition révisée pourrait comprendre deux tableaux distincts correspondant respectivement à l</w:t>
      </w:r>
      <w:r w:rsidR="00F77ECC">
        <w:rPr>
          <w:lang w:val="fr-FR"/>
        </w:rPr>
        <w:t>’</w:t>
      </w:r>
      <w:r w:rsidR="00F77ECC" w:rsidRPr="00867EB6">
        <w:rPr>
          <w:lang w:val="fr-FR"/>
        </w:rPr>
        <w:t>équipement électrique et à l</w:t>
      </w:r>
      <w:r w:rsidR="00F77ECC">
        <w:rPr>
          <w:lang w:val="fr-FR"/>
        </w:rPr>
        <w:t>’</w:t>
      </w:r>
      <w:r w:rsidR="00F77ECC" w:rsidRPr="00867EB6">
        <w:rPr>
          <w:lang w:val="fr-FR"/>
        </w:rPr>
        <w:t xml:space="preserve">équipement non électrique, comme suggéré par le représentant de la France, qui a été invité à communiquer ses observations par écrit au groupe de travail informel. </w:t>
      </w:r>
    </w:p>
    <w:p w:rsidR="00F77ECC" w:rsidRPr="00867EB6" w:rsidRDefault="00F77ECC" w:rsidP="00355C20">
      <w:pPr>
        <w:pStyle w:val="SingleTxtG"/>
        <w:rPr>
          <w:lang w:val="fr-FR"/>
        </w:rPr>
      </w:pPr>
      <w:r w:rsidRPr="00867EB6">
        <w:rPr>
          <w:lang w:val="fr-FR"/>
        </w:rPr>
        <w:t>53.</w:t>
      </w:r>
      <w:r w:rsidRPr="00867EB6">
        <w:rPr>
          <w:lang w:val="fr-FR"/>
        </w:rPr>
        <w:tab/>
        <w:t>Les propositions énoncées dans les sections A, C, E, F et G (par</w:t>
      </w:r>
      <w:r w:rsidR="00112211">
        <w:rPr>
          <w:lang w:val="fr-FR"/>
        </w:rPr>
        <w:t>. </w:t>
      </w:r>
      <w:r w:rsidRPr="00867EB6">
        <w:rPr>
          <w:lang w:val="fr-FR"/>
        </w:rPr>
        <w:t>21) du document ECE/TRANS/WP.15/AC.2/2018/22 ont été adoptées moyennant quelques corrections (voir</w:t>
      </w:r>
      <w:r w:rsidR="00112211">
        <w:rPr>
          <w:lang w:val="fr-FR"/>
        </w:rPr>
        <w:t> </w:t>
      </w:r>
      <w:r w:rsidRPr="00867EB6">
        <w:rPr>
          <w:lang w:val="fr-FR"/>
        </w:rPr>
        <w:t>annexe I).</w:t>
      </w:r>
    </w:p>
    <w:p w:rsidR="00F77ECC" w:rsidRPr="00867EB6" w:rsidRDefault="00355C20" w:rsidP="00355C20">
      <w:pPr>
        <w:pStyle w:val="H23G"/>
        <w:rPr>
          <w:rFonts w:eastAsia="SimSun"/>
          <w:lang w:val="fr-FR"/>
        </w:rPr>
      </w:pPr>
      <w:r>
        <w:rPr>
          <w:lang w:val="fr-FR"/>
        </w:rPr>
        <w:tab/>
        <w:t>10.</w:t>
      </w:r>
      <w:r w:rsidR="00F77ECC" w:rsidRPr="00867EB6">
        <w:rPr>
          <w:lang w:val="fr-FR"/>
        </w:rPr>
        <w:tab/>
        <w:t>Transport des boues (MARPOL)</w:t>
      </w:r>
      <w:bookmarkStart w:id="45" w:name="_Toc505688439"/>
      <w:bookmarkEnd w:id="45"/>
    </w:p>
    <w:p w:rsidR="00F77ECC" w:rsidRPr="00867EB6" w:rsidRDefault="00F77ECC" w:rsidP="004F3064">
      <w:pPr>
        <w:pStyle w:val="SingleTxtG"/>
        <w:tabs>
          <w:tab w:val="left" w:pos="3119"/>
        </w:tabs>
        <w:ind w:left="3119" w:hanging="1985"/>
        <w:jc w:val="left"/>
        <w:rPr>
          <w:lang w:val="fr-FR"/>
        </w:rPr>
      </w:pPr>
      <w:r w:rsidRPr="00867EB6">
        <w:rPr>
          <w:i/>
          <w:lang w:val="fr-FR"/>
        </w:rPr>
        <w:t>Documents informels</w:t>
      </w:r>
      <w:r w:rsidR="00355C20">
        <w:rPr>
          <w:i/>
          <w:lang w:val="fr-FR"/>
        </w:rPr>
        <w:t> </w:t>
      </w:r>
      <w:r>
        <w:rPr>
          <w:lang w:val="fr-FR"/>
        </w:rPr>
        <w:t>:</w:t>
      </w:r>
      <w:r w:rsidRPr="00867EB6">
        <w:rPr>
          <w:lang w:val="fr-FR"/>
        </w:rPr>
        <w:tab/>
        <w:t>INF.4 et Add.1 (Allemagne).</w:t>
      </w:r>
    </w:p>
    <w:p w:rsidR="00F77ECC" w:rsidRPr="00867EB6" w:rsidRDefault="00F77ECC" w:rsidP="00355C20">
      <w:pPr>
        <w:pStyle w:val="SingleTxtG"/>
        <w:keepNext/>
        <w:rPr>
          <w:lang w:val="fr-FR"/>
        </w:rPr>
      </w:pPr>
      <w:r w:rsidRPr="00867EB6">
        <w:rPr>
          <w:lang w:val="fr-FR"/>
        </w:rPr>
        <w:t>54.</w:t>
      </w:r>
      <w:r w:rsidRPr="00867EB6">
        <w:rPr>
          <w:lang w:val="fr-FR"/>
        </w:rPr>
        <w:tab/>
        <w:t>Le Comité de sécurité a décidé de confier l</w:t>
      </w:r>
      <w:r>
        <w:rPr>
          <w:lang w:val="fr-FR"/>
        </w:rPr>
        <w:t>’</w:t>
      </w:r>
      <w:r w:rsidRPr="00867EB6">
        <w:rPr>
          <w:lang w:val="fr-FR"/>
        </w:rPr>
        <w:t>examen de cette question au groupe de travail informel Matières, qui a pour mission</w:t>
      </w:r>
      <w:r w:rsidR="00355C20">
        <w:rPr>
          <w:lang w:val="fr-FR"/>
        </w:rPr>
        <w:t> </w:t>
      </w:r>
      <w:r>
        <w:rPr>
          <w:lang w:val="fr-FR"/>
        </w:rPr>
        <w:t>:</w:t>
      </w:r>
    </w:p>
    <w:p w:rsidR="00F77ECC" w:rsidRPr="00867EB6" w:rsidRDefault="00F77ECC" w:rsidP="00355C20">
      <w:pPr>
        <w:pStyle w:val="Bullet2G"/>
        <w:rPr>
          <w:lang w:val="fr-FR"/>
        </w:rPr>
      </w:pPr>
      <w:r w:rsidRPr="00867EB6">
        <w:rPr>
          <w:lang w:val="fr-FR"/>
        </w:rPr>
        <w:t>D</w:t>
      </w:r>
      <w:r>
        <w:rPr>
          <w:lang w:val="fr-FR"/>
        </w:rPr>
        <w:t>’</w:t>
      </w:r>
      <w:r w:rsidRPr="00867EB6">
        <w:rPr>
          <w:lang w:val="fr-FR"/>
        </w:rPr>
        <w:t>élaborer des dispositions relatives au transport des boues, y compris une définition des boues, en s</w:t>
      </w:r>
      <w:r>
        <w:rPr>
          <w:lang w:val="fr-FR"/>
        </w:rPr>
        <w:t>’</w:t>
      </w:r>
      <w:r w:rsidRPr="00867EB6">
        <w:rPr>
          <w:lang w:val="fr-FR"/>
        </w:rPr>
        <w:t>appuyant sur celles qui existent déjà et en faisant référence aux numéros ONU appropriés</w:t>
      </w:r>
      <w:r w:rsidR="00355C20">
        <w:rPr>
          <w:lang w:val="fr-FR"/>
        </w:rPr>
        <w:t> </w:t>
      </w:r>
      <w:r>
        <w:rPr>
          <w:lang w:val="fr-FR"/>
        </w:rPr>
        <w:t>;</w:t>
      </w:r>
    </w:p>
    <w:p w:rsidR="00F77ECC" w:rsidRPr="00867EB6" w:rsidRDefault="00F77ECC" w:rsidP="00355C20">
      <w:pPr>
        <w:pStyle w:val="Bullet2G"/>
        <w:rPr>
          <w:lang w:val="fr-FR"/>
        </w:rPr>
      </w:pPr>
      <w:r w:rsidRPr="00867EB6">
        <w:rPr>
          <w:lang w:val="fr-FR"/>
        </w:rPr>
        <w:t>De tenir compte des directives existantes pour la classification des boues et autres matières apparentées lors de l</w:t>
      </w:r>
      <w:r>
        <w:rPr>
          <w:lang w:val="fr-FR"/>
        </w:rPr>
        <w:t>’</w:t>
      </w:r>
      <w:r w:rsidRPr="00867EB6">
        <w:rPr>
          <w:lang w:val="fr-FR"/>
        </w:rPr>
        <w:t>examen du bien-fondé d</w:t>
      </w:r>
      <w:r>
        <w:rPr>
          <w:lang w:val="fr-FR"/>
        </w:rPr>
        <w:t>’</w:t>
      </w:r>
      <w:r w:rsidRPr="00867EB6">
        <w:rPr>
          <w:lang w:val="fr-FR"/>
        </w:rPr>
        <w:t>une nouvelle rubrique dans le tableau C de l</w:t>
      </w:r>
      <w:r>
        <w:rPr>
          <w:lang w:val="fr-FR"/>
        </w:rPr>
        <w:t>’</w:t>
      </w:r>
      <w:r w:rsidRPr="00867EB6">
        <w:rPr>
          <w:lang w:val="fr-FR"/>
        </w:rPr>
        <w:t>ADN</w:t>
      </w:r>
      <w:r w:rsidR="00355C20">
        <w:rPr>
          <w:lang w:val="fr-FR"/>
        </w:rPr>
        <w:t> </w:t>
      </w:r>
      <w:r>
        <w:rPr>
          <w:lang w:val="fr-FR"/>
        </w:rPr>
        <w:t>;</w:t>
      </w:r>
    </w:p>
    <w:p w:rsidR="00F77ECC" w:rsidRPr="00867EB6" w:rsidRDefault="00F77ECC" w:rsidP="00355C20">
      <w:pPr>
        <w:pStyle w:val="Bullet2G"/>
        <w:rPr>
          <w:lang w:val="fr-FR"/>
        </w:rPr>
      </w:pPr>
      <w:r w:rsidRPr="00867EB6">
        <w:rPr>
          <w:lang w:val="fr-FR"/>
        </w:rPr>
        <w:t>D</w:t>
      </w:r>
      <w:r>
        <w:rPr>
          <w:lang w:val="fr-FR"/>
        </w:rPr>
        <w:t>’</w:t>
      </w:r>
      <w:r w:rsidRPr="00867EB6">
        <w:rPr>
          <w:lang w:val="fr-FR"/>
        </w:rPr>
        <w:t>examiner les dispositions actuelles relatives à l</w:t>
      </w:r>
      <w:r>
        <w:rPr>
          <w:lang w:val="fr-FR"/>
        </w:rPr>
        <w:t>’</w:t>
      </w:r>
      <w:r w:rsidRPr="00867EB6">
        <w:rPr>
          <w:lang w:val="fr-FR"/>
        </w:rPr>
        <w:t>échange de renseignements requis par la législation sur les déchets (c</w:t>
      </w:r>
      <w:r>
        <w:rPr>
          <w:lang w:val="fr-FR"/>
        </w:rPr>
        <w:t>’</w:t>
      </w:r>
      <w:r w:rsidRPr="00867EB6">
        <w:rPr>
          <w:lang w:val="fr-FR"/>
        </w:rPr>
        <w:t>est-à-dire la législation de l</w:t>
      </w:r>
      <w:r>
        <w:rPr>
          <w:lang w:val="fr-FR"/>
        </w:rPr>
        <w:t>’</w:t>
      </w:r>
      <w:r w:rsidRPr="00867EB6">
        <w:rPr>
          <w:lang w:val="fr-FR"/>
        </w:rPr>
        <w:t xml:space="preserve">Union européenne) et les règlements relatifs au transport des marchandises dangereuses. </w:t>
      </w:r>
    </w:p>
    <w:p w:rsidR="00F77ECC" w:rsidRPr="00867EB6" w:rsidRDefault="00F77ECC" w:rsidP="00355C20">
      <w:pPr>
        <w:pStyle w:val="SingleTxtG"/>
        <w:rPr>
          <w:lang w:val="fr-FR"/>
        </w:rPr>
      </w:pPr>
      <w:r w:rsidRPr="00867EB6">
        <w:rPr>
          <w:lang w:val="fr-FR"/>
        </w:rPr>
        <w:t>55.</w:t>
      </w:r>
      <w:r w:rsidRPr="00867EB6">
        <w:rPr>
          <w:lang w:val="fr-FR"/>
        </w:rPr>
        <w:tab/>
        <w:t>Le représentant de l</w:t>
      </w:r>
      <w:r>
        <w:rPr>
          <w:lang w:val="fr-FR"/>
        </w:rPr>
        <w:t>’</w:t>
      </w:r>
      <w:r w:rsidRPr="00867EB6">
        <w:rPr>
          <w:lang w:val="fr-FR"/>
        </w:rPr>
        <w:t>Allemagne a invité toutes les parties intéressées à faire part de leurs observations par écrit et à partager avec le groupe de travail informel toute information ou directive à leur disposition concernant le transport ou la classification des boues.</w:t>
      </w:r>
    </w:p>
    <w:p w:rsidR="00F77ECC" w:rsidRPr="00867EB6" w:rsidRDefault="00F77ECC" w:rsidP="00355C20">
      <w:pPr>
        <w:pStyle w:val="H23G"/>
        <w:rPr>
          <w:rFonts w:eastAsia="SimSun"/>
          <w:lang w:val="fr-FR"/>
        </w:rPr>
      </w:pPr>
      <w:r w:rsidRPr="00867EB6">
        <w:rPr>
          <w:lang w:val="fr-FR"/>
        </w:rPr>
        <w:tab/>
        <w:t>11.</w:t>
      </w:r>
      <w:r w:rsidRPr="00867EB6">
        <w:rPr>
          <w:lang w:val="fr-FR"/>
        </w:rPr>
        <w:tab/>
        <w:t>Systèmes anti-incendie utilisant un agent extinct</w:t>
      </w:r>
      <w:r w:rsidR="00355C20">
        <w:rPr>
          <w:lang w:val="fr-FR"/>
        </w:rPr>
        <w:t>eur produisant un aérosol sec − </w:t>
      </w:r>
      <w:r w:rsidRPr="00867EB6">
        <w:rPr>
          <w:lang w:val="fr-FR"/>
        </w:rPr>
        <w:t>Amendements à la norme ES-TRIN et à l</w:t>
      </w:r>
      <w:r>
        <w:rPr>
          <w:lang w:val="fr-FR"/>
        </w:rPr>
        <w:t>’</w:t>
      </w:r>
      <w:r w:rsidRPr="00867EB6">
        <w:rPr>
          <w:lang w:val="fr-FR"/>
        </w:rPr>
        <w:t>ADN</w:t>
      </w:r>
      <w:bookmarkStart w:id="46" w:name="_Toc505688440"/>
      <w:bookmarkEnd w:id="46"/>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355C20">
        <w:rPr>
          <w:i/>
          <w:lang w:val="fr-FR"/>
        </w:rPr>
        <w:t>(s) </w:t>
      </w:r>
      <w:r>
        <w:rPr>
          <w:lang w:val="fr-FR"/>
        </w:rPr>
        <w:t>:</w:t>
      </w:r>
      <w:r w:rsidRPr="00867EB6">
        <w:rPr>
          <w:lang w:val="fr-FR"/>
        </w:rPr>
        <w:tab/>
        <w:t>ECE/TRANS/WP.15/AC.2/2018/21</w:t>
      </w:r>
      <w:r>
        <w:rPr>
          <w:lang w:val="fr-FR"/>
        </w:rPr>
        <w:t xml:space="preserve"> </w:t>
      </w:r>
      <w:r w:rsidRPr="00867EB6">
        <w:rPr>
          <w:lang w:val="fr-FR"/>
        </w:rPr>
        <w:t>(Belgique, Pays-Bas et</w:t>
      </w:r>
      <w:r w:rsidR="00355C20">
        <w:rPr>
          <w:lang w:val="fr-FR"/>
        </w:rPr>
        <w:t> </w:t>
      </w:r>
      <w:r w:rsidRPr="00867EB6">
        <w:rPr>
          <w:lang w:val="fr-FR"/>
        </w:rPr>
        <w:t>Suisse).</w:t>
      </w:r>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355C20">
        <w:rPr>
          <w:i/>
          <w:lang w:val="fr-FR"/>
        </w:rPr>
        <w:t> </w:t>
      </w:r>
      <w:r>
        <w:rPr>
          <w:lang w:val="fr-FR"/>
        </w:rPr>
        <w:t>:</w:t>
      </w:r>
      <w:r w:rsidRPr="00867EB6">
        <w:rPr>
          <w:lang w:val="fr-FR"/>
        </w:rPr>
        <w:tab/>
        <w:t>INF.30 (Belgique, Pays-Bas et Suisse).</w:t>
      </w:r>
    </w:p>
    <w:p w:rsidR="00F77ECC" w:rsidRPr="00867EB6" w:rsidRDefault="00F77ECC" w:rsidP="00355C20">
      <w:pPr>
        <w:pStyle w:val="SingleTxtG"/>
        <w:rPr>
          <w:lang w:val="fr-FR"/>
        </w:rPr>
      </w:pPr>
      <w:r w:rsidRPr="00867EB6">
        <w:rPr>
          <w:lang w:val="fr-FR"/>
        </w:rPr>
        <w:t>56.</w:t>
      </w:r>
      <w:r w:rsidRPr="00867EB6">
        <w:rPr>
          <w:lang w:val="fr-FR"/>
        </w:rPr>
        <w:tab/>
        <w:t>Le Comité de sécurité a adopté la proposition énoncée dans le document ECE/TRANS/WP.15/AC.2/2018/21 telle que modifiée par le document INF.30, moyennant une correction supplémentaire apportée à la référence à la circulaire MSC/Circ.1270 de l</w:t>
      </w:r>
      <w:r>
        <w:rPr>
          <w:lang w:val="fr-FR"/>
        </w:rPr>
        <w:t>’</w:t>
      </w:r>
      <w:r w:rsidRPr="00867EB6">
        <w:rPr>
          <w:lang w:val="fr-FR"/>
        </w:rPr>
        <w:t>OMI (voir annexe I).</w:t>
      </w:r>
    </w:p>
    <w:p w:rsidR="00F77ECC" w:rsidRPr="00867EB6" w:rsidRDefault="00B33FE6" w:rsidP="00B33FE6">
      <w:pPr>
        <w:pStyle w:val="H23G"/>
        <w:rPr>
          <w:i/>
          <w:lang w:val="fr-FR"/>
        </w:rPr>
      </w:pPr>
      <w:r>
        <w:rPr>
          <w:lang w:val="fr-FR"/>
        </w:rPr>
        <w:tab/>
        <w:t>12.</w:t>
      </w:r>
      <w:r w:rsidR="00F77ECC" w:rsidRPr="00867EB6">
        <w:rPr>
          <w:lang w:val="fr-FR"/>
        </w:rPr>
        <w:tab/>
        <w:t xml:space="preserve">Protection contre les explosions pendant le transbordement et le transport </w:t>
      </w:r>
      <w:r>
        <w:rPr>
          <w:lang w:val="fr-FR"/>
        </w:rPr>
        <w:br/>
      </w:r>
      <w:r w:rsidR="00F77ECC" w:rsidRPr="00867EB6">
        <w:rPr>
          <w:lang w:val="fr-FR"/>
        </w:rPr>
        <w:t xml:space="preserve">des matières associées au numéro ONU 3256 chargées alors que </w:t>
      </w:r>
      <w:r>
        <w:rPr>
          <w:lang w:val="fr-FR"/>
        </w:rPr>
        <w:br/>
      </w:r>
      <w:r w:rsidR="00F77ECC" w:rsidRPr="00867EB6">
        <w:rPr>
          <w:lang w:val="fr-FR"/>
        </w:rPr>
        <w:t xml:space="preserve">leur température est élevée </w:t>
      </w:r>
      <w:bookmarkStart w:id="47" w:name="_Toc505688441"/>
      <w:bookmarkEnd w:id="47"/>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B33FE6">
        <w:rPr>
          <w:i/>
          <w:lang w:val="fr-FR"/>
        </w:rPr>
        <w:t> </w:t>
      </w:r>
      <w:r>
        <w:rPr>
          <w:lang w:val="fr-FR"/>
        </w:rPr>
        <w:t>:</w:t>
      </w:r>
      <w:r w:rsidRPr="00867EB6">
        <w:rPr>
          <w:lang w:val="fr-FR"/>
        </w:rPr>
        <w:tab/>
        <w:t>INF.8 (ERSTU, OEB et UENF).</w:t>
      </w:r>
    </w:p>
    <w:p w:rsidR="00F77ECC" w:rsidRPr="00867EB6" w:rsidRDefault="00B33FE6" w:rsidP="00B33FE6">
      <w:pPr>
        <w:pStyle w:val="SingleTxtG"/>
        <w:rPr>
          <w:lang w:val="fr-FR"/>
        </w:rPr>
      </w:pPr>
      <w:r>
        <w:rPr>
          <w:lang w:val="fr-FR"/>
        </w:rPr>
        <w:lastRenderedPageBreak/>
        <w:t>57.</w:t>
      </w:r>
      <w:r w:rsidR="00F77ECC" w:rsidRPr="00867EB6">
        <w:rPr>
          <w:lang w:val="fr-FR"/>
        </w:rPr>
        <w:tab/>
        <w:t>Le Comité de sécurité a noté que l</w:t>
      </w:r>
      <w:r w:rsidR="00F77ECC">
        <w:rPr>
          <w:lang w:val="fr-FR"/>
        </w:rPr>
        <w:t>’</w:t>
      </w:r>
      <w:r w:rsidR="00F77ECC" w:rsidRPr="00867EB6">
        <w:rPr>
          <w:lang w:val="fr-FR"/>
        </w:rPr>
        <w:t>inertage des citernes et des stations de réception aux fins d</w:t>
      </w:r>
      <w:r w:rsidR="00F77ECC">
        <w:rPr>
          <w:lang w:val="fr-FR"/>
        </w:rPr>
        <w:t>’</w:t>
      </w:r>
      <w:r w:rsidR="00F77ECC" w:rsidRPr="00867EB6">
        <w:rPr>
          <w:lang w:val="fr-FR"/>
        </w:rPr>
        <w:t>une protection correcte contre les explosions pendant le transbordement et le transport des matières associées au numéro ONU 3256 chargées alors que leur température est élevée ne devait être considéré que comme une solution provisoire, en attendant la disponibilité sur le marché de coupe-flammes, de soupapes de surpression et de soupapes de dépression homologués pour le chargement de matières dont la température dépasse 60</w:t>
      </w:r>
      <w:r>
        <w:rPr>
          <w:lang w:val="fr-FR"/>
        </w:rPr>
        <w:t> </w:t>
      </w:r>
      <w:r w:rsidR="00F77ECC" w:rsidRPr="00867EB6">
        <w:rPr>
          <w:lang w:val="fr-FR"/>
        </w:rPr>
        <w:t>°C.</w:t>
      </w:r>
    </w:p>
    <w:p w:rsidR="00F77ECC" w:rsidRPr="00867EB6" w:rsidRDefault="00F77ECC" w:rsidP="00B33FE6">
      <w:pPr>
        <w:pStyle w:val="SingleTxtG"/>
        <w:rPr>
          <w:lang w:val="fr-FR"/>
        </w:rPr>
      </w:pPr>
      <w:r w:rsidRPr="00867EB6">
        <w:rPr>
          <w:lang w:val="fr-FR"/>
        </w:rPr>
        <w:t>58.</w:t>
      </w:r>
      <w:r w:rsidRPr="00867EB6">
        <w:rPr>
          <w:lang w:val="fr-FR"/>
        </w:rPr>
        <w:tab/>
        <w:t>Les représentants du CEFIC, de l</w:t>
      </w:r>
      <w:r>
        <w:rPr>
          <w:lang w:val="fr-FR"/>
        </w:rPr>
        <w:t>’</w:t>
      </w:r>
      <w:r w:rsidRPr="00867EB6">
        <w:rPr>
          <w:lang w:val="fr-FR"/>
        </w:rPr>
        <w:t>EBOTA et de l</w:t>
      </w:r>
      <w:r>
        <w:rPr>
          <w:lang w:val="fr-FR"/>
        </w:rPr>
        <w:t>’</w:t>
      </w:r>
      <w:r w:rsidRPr="00867EB6">
        <w:rPr>
          <w:lang w:val="fr-FR"/>
        </w:rPr>
        <w:t>UENF ont informé le Comité de sécurité que si des coupe-flammes adaptés au chargement de matières dont la température dépasse 60</w:t>
      </w:r>
      <w:r w:rsidR="00B33FE6">
        <w:rPr>
          <w:lang w:val="fr-FR"/>
        </w:rPr>
        <w:t> </w:t>
      </w:r>
      <w:r w:rsidRPr="00867EB6">
        <w:rPr>
          <w:lang w:val="fr-FR"/>
        </w:rPr>
        <w:t>°C étaient déjà au point, ils n</w:t>
      </w:r>
      <w:r>
        <w:rPr>
          <w:lang w:val="fr-FR"/>
        </w:rPr>
        <w:t>’</w:t>
      </w:r>
      <w:r w:rsidRPr="00867EB6">
        <w:rPr>
          <w:lang w:val="fr-FR"/>
        </w:rPr>
        <w:t>étaient pas encore homologués, et que des essais de chargement de matières à 80</w:t>
      </w:r>
      <w:r w:rsidR="00B33FE6">
        <w:rPr>
          <w:lang w:val="fr-FR"/>
        </w:rPr>
        <w:t> </w:t>
      </w:r>
      <w:r w:rsidRPr="00867EB6">
        <w:rPr>
          <w:lang w:val="fr-FR"/>
        </w:rPr>
        <w:t>°C dans des bateaux-citernes avaient été menés. Ils ont fait remarquer qu</w:t>
      </w:r>
      <w:r>
        <w:rPr>
          <w:lang w:val="fr-FR"/>
        </w:rPr>
        <w:t>’</w:t>
      </w:r>
      <w:r w:rsidRPr="00867EB6">
        <w:rPr>
          <w:lang w:val="fr-FR"/>
        </w:rPr>
        <w:t xml:space="preserve">un délai supplémentaire était nécessaire pour que des informations plus précises sur ces équipements et sur les résultats des essais soient disponibles. </w:t>
      </w:r>
    </w:p>
    <w:p w:rsidR="00F77ECC" w:rsidRPr="00867EB6" w:rsidRDefault="00F77ECC" w:rsidP="00B33FE6">
      <w:pPr>
        <w:pStyle w:val="SingleTxtG"/>
        <w:rPr>
          <w:lang w:val="fr-FR"/>
        </w:rPr>
      </w:pPr>
      <w:r w:rsidRPr="00867EB6">
        <w:rPr>
          <w:lang w:val="fr-FR"/>
        </w:rPr>
        <w:t>59.</w:t>
      </w:r>
      <w:r w:rsidRPr="00867EB6">
        <w:rPr>
          <w:lang w:val="fr-FR"/>
        </w:rPr>
        <w:tab/>
        <w:t>Il a été noté qu</w:t>
      </w:r>
      <w:r>
        <w:rPr>
          <w:lang w:val="fr-FR"/>
        </w:rPr>
        <w:t>’</w:t>
      </w:r>
      <w:r w:rsidRPr="00867EB6">
        <w:rPr>
          <w:lang w:val="fr-FR"/>
        </w:rPr>
        <w:t>au plan national, l</w:t>
      </w:r>
      <w:r>
        <w:rPr>
          <w:lang w:val="fr-FR"/>
        </w:rPr>
        <w:t>’</w:t>
      </w:r>
      <w:r w:rsidRPr="00867EB6">
        <w:rPr>
          <w:lang w:val="fr-FR"/>
        </w:rPr>
        <w:t>Allemagne ne s</w:t>
      </w:r>
      <w:r>
        <w:rPr>
          <w:lang w:val="fr-FR"/>
        </w:rPr>
        <w:t>’</w:t>
      </w:r>
      <w:r w:rsidRPr="00867EB6">
        <w:rPr>
          <w:lang w:val="fr-FR"/>
        </w:rPr>
        <w:t>opposerait pas à l</w:t>
      </w:r>
      <w:r>
        <w:rPr>
          <w:lang w:val="fr-FR"/>
        </w:rPr>
        <w:t>’</w:t>
      </w:r>
      <w:r w:rsidRPr="00867EB6">
        <w:rPr>
          <w:lang w:val="fr-FR"/>
        </w:rPr>
        <w:t>utilisation de coupe-flammes homologués pour des températures inférieures ou égales à 60</w:t>
      </w:r>
      <w:r w:rsidR="00B33FE6">
        <w:rPr>
          <w:lang w:val="fr-FR"/>
        </w:rPr>
        <w:t> </w:t>
      </w:r>
      <w:r w:rsidRPr="00867EB6">
        <w:rPr>
          <w:lang w:val="fr-FR"/>
        </w:rPr>
        <w:t>°C jusqu</w:t>
      </w:r>
      <w:r>
        <w:rPr>
          <w:lang w:val="fr-FR"/>
        </w:rPr>
        <w:t>’</w:t>
      </w:r>
      <w:r w:rsidRPr="00867EB6">
        <w:rPr>
          <w:lang w:val="fr-FR"/>
        </w:rPr>
        <w:t>au 31</w:t>
      </w:r>
      <w:r w:rsidR="00B33FE6">
        <w:rPr>
          <w:lang w:val="fr-FR"/>
        </w:rPr>
        <w:t> </w:t>
      </w:r>
      <w:r w:rsidRPr="00867EB6">
        <w:rPr>
          <w:lang w:val="fr-FR"/>
        </w:rPr>
        <w:t>mars 2018, et qu</w:t>
      </w:r>
      <w:r>
        <w:rPr>
          <w:lang w:val="fr-FR"/>
        </w:rPr>
        <w:t>’</w:t>
      </w:r>
      <w:r w:rsidRPr="00867EB6">
        <w:rPr>
          <w:lang w:val="fr-FR"/>
        </w:rPr>
        <w:t>entre le 1</w:t>
      </w:r>
      <w:r w:rsidRPr="00867EB6">
        <w:rPr>
          <w:vertAlign w:val="superscript"/>
          <w:lang w:val="fr-FR"/>
        </w:rPr>
        <w:t>er</w:t>
      </w:r>
      <w:r w:rsidR="00B33FE6">
        <w:rPr>
          <w:lang w:val="fr-FR"/>
        </w:rPr>
        <w:t> </w:t>
      </w:r>
      <w:r w:rsidRPr="00867EB6">
        <w:rPr>
          <w:lang w:val="fr-FR"/>
        </w:rPr>
        <w:t>avril et le 31</w:t>
      </w:r>
      <w:r w:rsidR="00B33FE6">
        <w:rPr>
          <w:lang w:val="fr-FR"/>
        </w:rPr>
        <w:t> </w:t>
      </w:r>
      <w:r w:rsidRPr="00867EB6">
        <w:rPr>
          <w:lang w:val="fr-FR"/>
        </w:rPr>
        <w:t>décembre 2018 elle accepterait aussi l</w:t>
      </w:r>
      <w:r>
        <w:rPr>
          <w:lang w:val="fr-FR"/>
        </w:rPr>
        <w:t>’</w:t>
      </w:r>
      <w:r w:rsidRPr="00867EB6">
        <w:rPr>
          <w:lang w:val="fr-FR"/>
        </w:rPr>
        <w:t>inertage des citernes, en espérant qu</w:t>
      </w:r>
      <w:r>
        <w:rPr>
          <w:lang w:val="fr-FR"/>
        </w:rPr>
        <w:t>’</w:t>
      </w:r>
      <w:r w:rsidRPr="00867EB6">
        <w:rPr>
          <w:lang w:val="fr-FR"/>
        </w:rPr>
        <w:t>après cette date des coupe-flammes homologués pour le chargement de matières atteignant des températures plus élevées seraient disponibles sur le marché. Il a également été noté qu</w:t>
      </w:r>
      <w:r>
        <w:rPr>
          <w:lang w:val="fr-FR"/>
        </w:rPr>
        <w:t>’</w:t>
      </w:r>
      <w:r w:rsidRPr="00867EB6">
        <w:rPr>
          <w:lang w:val="fr-FR"/>
        </w:rPr>
        <w:t>aucun accident ou problème de sécurité lié à cette mesure provisoire n</w:t>
      </w:r>
      <w:r>
        <w:rPr>
          <w:lang w:val="fr-FR"/>
        </w:rPr>
        <w:t>’</w:t>
      </w:r>
      <w:r w:rsidRPr="00867EB6">
        <w:rPr>
          <w:lang w:val="fr-FR"/>
        </w:rPr>
        <w:t xml:space="preserve">avait à ce jour été signalé. </w:t>
      </w:r>
    </w:p>
    <w:p w:rsidR="00F77ECC" w:rsidRPr="00867EB6" w:rsidRDefault="00F77ECC" w:rsidP="00B33FE6">
      <w:pPr>
        <w:pStyle w:val="SingleTxtG"/>
        <w:rPr>
          <w:lang w:val="fr-FR"/>
        </w:rPr>
      </w:pPr>
      <w:r w:rsidRPr="00867EB6">
        <w:rPr>
          <w:lang w:val="fr-FR"/>
        </w:rPr>
        <w:t>60.</w:t>
      </w:r>
      <w:r w:rsidRPr="00867EB6">
        <w:rPr>
          <w:lang w:val="fr-FR"/>
        </w:rPr>
        <w:tab/>
        <w:t>Compte tenu des informations fournies au cours de la discussion, le Comité de sécurité a invité les Parties contractantes à envisager de régler cette question au niveau national ou dans le cadre d</w:t>
      </w:r>
      <w:r>
        <w:rPr>
          <w:lang w:val="fr-FR"/>
        </w:rPr>
        <w:t>’</w:t>
      </w:r>
      <w:r w:rsidRPr="00867EB6">
        <w:rPr>
          <w:lang w:val="fr-FR"/>
        </w:rPr>
        <w:t>un accord multilatéral, en attendant que des équipements homologués pour le chargement de matières dont la température dépasse 60</w:t>
      </w:r>
      <w:r w:rsidR="00B33FE6">
        <w:rPr>
          <w:lang w:val="fr-FR"/>
        </w:rPr>
        <w:t> </w:t>
      </w:r>
      <w:r w:rsidRPr="00867EB6">
        <w:rPr>
          <w:lang w:val="fr-FR"/>
        </w:rPr>
        <w:t>°C soient disponibles.</w:t>
      </w:r>
    </w:p>
    <w:p w:rsidR="00F77ECC" w:rsidRPr="00867EB6" w:rsidRDefault="00B33FE6" w:rsidP="00B33FE6">
      <w:pPr>
        <w:pStyle w:val="H23G"/>
        <w:rPr>
          <w:lang w:val="fr-FR"/>
        </w:rPr>
      </w:pPr>
      <w:r>
        <w:rPr>
          <w:lang w:val="fr-FR"/>
        </w:rPr>
        <w:tab/>
        <w:t>13.</w:t>
      </w:r>
      <w:r w:rsidR="00F77ECC" w:rsidRPr="00867EB6">
        <w:rPr>
          <w:lang w:val="fr-FR"/>
        </w:rPr>
        <w:tab/>
        <w:t>Protection contre les explosions à bord des bateaux-citernes</w:t>
      </w:r>
      <w:bookmarkStart w:id="48" w:name="_Toc505688442"/>
      <w:bookmarkEnd w:id="48"/>
    </w:p>
    <w:p w:rsidR="00F77ECC" w:rsidRPr="00B33FE6" w:rsidRDefault="00F77ECC" w:rsidP="00B33FE6">
      <w:pPr>
        <w:pStyle w:val="SingleTxtG"/>
        <w:tabs>
          <w:tab w:val="left" w:pos="3119"/>
        </w:tabs>
        <w:ind w:left="3119" w:hanging="1985"/>
        <w:jc w:val="left"/>
      </w:pPr>
      <w:r w:rsidRPr="00867EB6">
        <w:rPr>
          <w:i/>
          <w:lang w:val="fr-FR"/>
        </w:rPr>
        <w:t>Document</w:t>
      </w:r>
      <w:r w:rsidR="00B33FE6">
        <w:rPr>
          <w:i/>
          <w:lang w:val="fr-FR"/>
        </w:rPr>
        <w:t>(</w:t>
      </w:r>
      <w:r w:rsidRPr="00867EB6">
        <w:rPr>
          <w:i/>
          <w:lang w:val="fr-FR"/>
        </w:rPr>
        <w:t>s</w:t>
      </w:r>
      <w:r w:rsidR="00B33FE6">
        <w:rPr>
          <w:i/>
          <w:lang w:val="fr-FR"/>
        </w:rPr>
        <w:t>) </w:t>
      </w:r>
      <w:r>
        <w:rPr>
          <w:lang w:val="fr-FR"/>
        </w:rPr>
        <w:t>:</w:t>
      </w:r>
      <w:r w:rsidRPr="00867EB6">
        <w:rPr>
          <w:lang w:val="fr-FR"/>
        </w:rPr>
        <w:tab/>
        <w:t>ECE/TRANS/WP.15/AC.2/2018/9 (Allemagne)</w:t>
      </w:r>
      <w:r w:rsidR="00B33FE6">
        <w:rPr>
          <w:lang w:val="fr-FR"/>
        </w:rPr>
        <w:t> </w:t>
      </w:r>
      <w:r>
        <w:rPr>
          <w:lang w:val="fr-FR"/>
        </w:rPr>
        <w:t>;</w:t>
      </w:r>
      <w:r w:rsidR="00B33FE6">
        <w:rPr>
          <w:lang w:val="fr-FR"/>
        </w:rPr>
        <w:t xml:space="preserve"> </w:t>
      </w:r>
      <w:r w:rsidRPr="00867EB6">
        <w:rPr>
          <w:lang w:val="fr-FR"/>
        </w:rPr>
        <w:t>ECE/TRANS/WP.15/AC.2/2018/10 (Allemagne)</w:t>
      </w:r>
      <w:r w:rsidR="00B33FE6">
        <w:rPr>
          <w:lang w:val="fr-FR"/>
        </w:rPr>
        <w:t> </w:t>
      </w:r>
      <w:r>
        <w:rPr>
          <w:lang w:val="fr-FR"/>
        </w:rPr>
        <w:t>;</w:t>
      </w:r>
      <w:r w:rsidR="00B33FE6">
        <w:rPr>
          <w:lang w:val="fr-FR"/>
        </w:rPr>
        <w:t xml:space="preserve"> </w:t>
      </w:r>
      <w:r w:rsidRPr="00B33FE6">
        <w:t>ECE/TRANS/WP.15/AC.2/2018/11 (CCNR).</w:t>
      </w:r>
    </w:p>
    <w:p w:rsidR="00F77ECC" w:rsidRPr="00867EB6" w:rsidRDefault="00F77ECC" w:rsidP="005E097B">
      <w:pPr>
        <w:pStyle w:val="SingleTxtG"/>
        <w:tabs>
          <w:tab w:val="left" w:pos="3119"/>
        </w:tabs>
        <w:ind w:left="3119" w:hanging="1985"/>
        <w:jc w:val="left"/>
        <w:rPr>
          <w:lang w:val="fr-FR"/>
        </w:rPr>
      </w:pPr>
      <w:r w:rsidRPr="00867EB6">
        <w:rPr>
          <w:i/>
          <w:lang w:val="fr-FR"/>
        </w:rPr>
        <w:t>Documents informels</w:t>
      </w:r>
      <w:r w:rsidR="00B33FE6">
        <w:rPr>
          <w:i/>
          <w:lang w:val="fr-FR"/>
        </w:rPr>
        <w:t> </w:t>
      </w:r>
      <w:r>
        <w:rPr>
          <w:lang w:val="fr-FR"/>
        </w:rPr>
        <w:t>:</w:t>
      </w:r>
      <w:r w:rsidRPr="00867EB6">
        <w:rPr>
          <w:lang w:val="fr-FR"/>
        </w:rPr>
        <w:tab/>
        <w:t>INF.14 (Allemagne)</w:t>
      </w:r>
      <w:r w:rsidR="005E097B">
        <w:rPr>
          <w:lang w:val="fr-FR"/>
        </w:rPr>
        <w:t> </w:t>
      </w:r>
      <w:r>
        <w:rPr>
          <w:lang w:val="fr-FR"/>
        </w:rPr>
        <w:t>;</w:t>
      </w:r>
      <w:r w:rsidR="005E097B">
        <w:rPr>
          <w:lang w:val="fr-FR"/>
        </w:rPr>
        <w:br/>
      </w:r>
      <w:r w:rsidRPr="00867EB6">
        <w:rPr>
          <w:lang w:val="fr-FR"/>
        </w:rPr>
        <w:t>INF.21 et Add.1 (Pays-Bas)</w:t>
      </w:r>
      <w:r w:rsidR="005E097B">
        <w:rPr>
          <w:lang w:val="fr-FR"/>
        </w:rPr>
        <w:t> </w:t>
      </w:r>
      <w:r>
        <w:rPr>
          <w:lang w:val="fr-FR"/>
        </w:rPr>
        <w:t>;</w:t>
      </w:r>
      <w:r w:rsidR="005E097B">
        <w:rPr>
          <w:lang w:val="fr-FR"/>
        </w:rPr>
        <w:br/>
      </w:r>
      <w:r w:rsidRPr="00867EB6">
        <w:rPr>
          <w:lang w:val="fr-FR"/>
        </w:rPr>
        <w:t>INF.25 (CCNR).</w:t>
      </w:r>
    </w:p>
    <w:p w:rsidR="00F77ECC" w:rsidRPr="00867EB6" w:rsidRDefault="00F77ECC" w:rsidP="005E097B">
      <w:pPr>
        <w:pStyle w:val="SingleTxtG"/>
        <w:rPr>
          <w:lang w:val="fr-FR"/>
        </w:rPr>
      </w:pPr>
      <w:r w:rsidRPr="00867EB6">
        <w:rPr>
          <w:lang w:val="fr-FR"/>
        </w:rPr>
        <w:t>61.</w:t>
      </w:r>
      <w:r w:rsidRPr="00867EB6">
        <w:rPr>
          <w:lang w:val="fr-FR"/>
        </w:rPr>
        <w:tab/>
        <w:t>En réponse à une question du représentant de l</w:t>
      </w:r>
      <w:r>
        <w:rPr>
          <w:lang w:val="fr-FR"/>
        </w:rPr>
        <w:t>’</w:t>
      </w:r>
      <w:r w:rsidRPr="00867EB6">
        <w:rPr>
          <w:lang w:val="fr-FR"/>
        </w:rPr>
        <w:t>UENF sur le champ d</w:t>
      </w:r>
      <w:r>
        <w:rPr>
          <w:lang w:val="fr-FR"/>
        </w:rPr>
        <w:t>’</w:t>
      </w:r>
      <w:r w:rsidRPr="00867EB6">
        <w:rPr>
          <w:lang w:val="fr-FR"/>
        </w:rPr>
        <w:t xml:space="preserve">application de la définition de </w:t>
      </w:r>
      <w:r>
        <w:rPr>
          <w:lang w:val="fr-FR"/>
        </w:rPr>
        <w:t>«</w:t>
      </w:r>
      <w:r w:rsidR="005E097B">
        <w:rPr>
          <w:lang w:val="fr-FR"/>
        </w:rPr>
        <w:t> </w:t>
      </w:r>
      <w:r w:rsidRPr="00867EB6">
        <w:rPr>
          <w:lang w:val="fr-FR"/>
        </w:rPr>
        <w:t>classement en zones</w:t>
      </w:r>
      <w:r w:rsidR="005E097B">
        <w:rPr>
          <w:lang w:val="fr-FR"/>
        </w:rPr>
        <w:t> </w:t>
      </w:r>
      <w:r>
        <w:rPr>
          <w:lang w:val="fr-FR"/>
        </w:rPr>
        <w:t>»</w:t>
      </w:r>
      <w:r w:rsidRPr="00867EB6">
        <w:rPr>
          <w:lang w:val="fr-FR"/>
        </w:rPr>
        <w:t xml:space="preserve"> dans le document ECE/TRANS/WP.15/AC.2/2018/11, le Comité de sécurité a confirmé que celle-ci ne s</w:t>
      </w:r>
      <w:r>
        <w:rPr>
          <w:lang w:val="fr-FR"/>
        </w:rPr>
        <w:t>’</w:t>
      </w:r>
      <w:r w:rsidRPr="00867EB6">
        <w:rPr>
          <w:lang w:val="fr-FR"/>
        </w:rPr>
        <w:t>appliquait pas aux bateaux à cargaison sèche.</w:t>
      </w:r>
    </w:p>
    <w:p w:rsidR="00F77ECC" w:rsidRPr="00867EB6" w:rsidRDefault="00F77ECC" w:rsidP="005E097B">
      <w:pPr>
        <w:pStyle w:val="SingleTxtG"/>
        <w:rPr>
          <w:lang w:val="fr-FR"/>
        </w:rPr>
      </w:pPr>
      <w:r w:rsidRPr="00867EB6">
        <w:rPr>
          <w:lang w:val="fr-FR"/>
        </w:rPr>
        <w:t>62.</w:t>
      </w:r>
      <w:r w:rsidRPr="00867EB6">
        <w:rPr>
          <w:lang w:val="fr-FR"/>
        </w:rPr>
        <w:tab/>
        <w:t>Le Comité de sécurité a demandé au secrétariat de vérifier la version allemande des propositions contenues dans le document ECE/TRANS/WP.15/AC.2/2018/9 afin de s</w:t>
      </w:r>
      <w:r>
        <w:rPr>
          <w:lang w:val="fr-FR"/>
        </w:rPr>
        <w:t>’</w:t>
      </w:r>
      <w:r w:rsidRPr="00867EB6">
        <w:rPr>
          <w:lang w:val="fr-FR"/>
        </w:rPr>
        <w:t xml:space="preserve">assurer que le terme </w:t>
      </w:r>
      <w:r>
        <w:rPr>
          <w:lang w:val="fr-FR"/>
        </w:rPr>
        <w:t>«</w:t>
      </w:r>
      <w:r w:rsidR="005E097B">
        <w:rPr>
          <w:lang w:val="fr-FR"/>
        </w:rPr>
        <w:t> </w:t>
      </w:r>
      <w:r w:rsidRPr="00867EB6">
        <w:rPr>
          <w:lang w:val="fr-FR"/>
        </w:rPr>
        <w:t>Trennen</w:t>
      </w:r>
      <w:r w:rsidR="005E097B">
        <w:rPr>
          <w:lang w:val="fr-FR"/>
        </w:rPr>
        <w:t> </w:t>
      </w:r>
      <w:r>
        <w:rPr>
          <w:lang w:val="fr-FR"/>
        </w:rPr>
        <w:t>»</w:t>
      </w:r>
      <w:r w:rsidRPr="00867EB6">
        <w:rPr>
          <w:lang w:val="fr-FR"/>
        </w:rPr>
        <w:t xml:space="preserve"> était employé systématiquement au lieu de </w:t>
      </w:r>
      <w:r>
        <w:rPr>
          <w:lang w:val="fr-FR"/>
        </w:rPr>
        <w:t>«</w:t>
      </w:r>
      <w:r w:rsidR="005E097B">
        <w:rPr>
          <w:lang w:val="fr-FR"/>
        </w:rPr>
        <w:t> </w:t>
      </w:r>
      <w:r w:rsidRPr="00867EB6">
        <w:rPr>
          <w:lang w:val="fr-FR"/>
        </w:rPr>
        <w:t>Lösen</w:t>
      </w:r>
      <w:r w:rsidR="005E097B">
        <w:rPr>
          <w:lang w:val="fr-FR"/>
        </w:rPr>
        <w:t> </w:t>
      </w:r>
      <w:r>
        <w:rPr>
          <w:lang w:val="fr-FR"/>
        </w:rPr>
        <w:t>»</w:t>
      </w:r>
      <w:r w:rsidRPr="00867EB6">
        <w:rPr>
          <w:lang w:val="fr-FR"/>
        </w:rPr>
        <w:t>.</w:t>
      </w:r>
    </w:p>
    <w:p w:rsidR="00F77ECC" w:rsidRPr="00867EB6" w:rsidRDefault="00F77ECC" w:rsidP="005E097B">
      <w:pPr>
        <w:pStyle w:val="SingleTxtG"/>
        <w:rPr>
          <w:lang w:val="fr-FR"/>
        </w:rPr>
      </w:pPr>
      <w:r w:rsidRPr="00867EB6">
        <w:rPr>
          <w:lang w:val="fr-FR"/>
        </w:rPr>
        <w:t>63.</w:t>
      </w:r>
      <w:r w:rsidRPr="00867EB6">
        <w:rPr>
          <w:lang w:val="fr-FR"/>
        </w:rPr>
        <w:tab/>
        <w:t>S</w:t>
      </w:r>
      <w:r>
        <w:rPr>
          <w:lang w:val="fr-FR"/>
        </w:rPr>
        <w:t>’</w:t>
      </w:r>
      <w:r w:rsidRPr="00867EB6">
        <w:rPr>
          <w:lang w:val="fr-FR"/>
        </w:rPr>
        <w:t>agissant de l</w:t>
      </w:r>
      <w:r>
        <w:rPr>
          <w:lang w:val="fr-FR"/>
        </w:rPr>
        <w:t>’</w:t>
      </w:r>
      <w:r w:rsidRPr="00867EB6">
        <w:rPr>
          <w:lang w:val="fr-FR"/>
        </w:rPr>
        <w:t>amendement au 9.3.x.53.5 proposé au paragraphe</w:t>
      </w:r>
      <w:r w:rsidR="00DE72AA">
        <w:rPr>
          <w:lang w:val="fr-FR"/>
        </w:rPr>
        <w:t> </w:t>
      </w:r>
      <w:r w:rsidRPr="00867EB6">
        <w:rPr>
          <w:lang w:val="fr-FR"/>
        </w:rPr>
        <w:t>11 du document ECE/TRANS/WP.15/AC.2/2018/9, le représentant de l</w:t>
      </w:r>
      <w:r>
        <w:rPr>
          <w:lang w:val="fr-FR"/>
        </w:rPr>
        <w:t>’</w:t>
      </w:r>
      <w:r w:rsidRPr="00867EB6">
        <w:rPr>
          <w:lang w:val="fr-FR"/>
        </w:rPr>
        <w:t>UENF s</w:t>
      </w:r>
      <w:r>
        <w:rPr>
          <w:lang w:val="fr-FR"/>
        </w:rPr>
        <w:t>’</w:t>
      </w:r>
      <w:r w:rsidRPr="00867EB6">
        <w:rPr>
          <w:lang w:val="fr-FR"/>
        </w:rPr>
        <w:t>est dit préoccupé par les incidences possibles du renvoi à la norme EN 50525-2-21:2011 pour les installations existantes. Le Comité de sécurité a noté que l</w:t>
      </w:r>
      <w:r>
        <w:rPr>
          <w:lang w:val="fr-FR"/>
        </w:rPr>
        <w:t>’</w:t>
      </w:r>
      <w:r w:rsidRPr="00867EB6">
        <w:rPr>
          <w:lang w:val="fr-FR"/>
        </w:rPr>
        <w:t>aménagement des parois des bateaux ne relevait pas du 9.3.x.53.5 et a adopté l</w:t>
      </w:r>
      <w:r>
        <w:rPr>
          <w:lang w:val="fr-FR"/>
        </w:rPr>
        <w:t>’</w:t>
      </w:r>
      <w:r w:rsidRPr="00867EB6">
        <w:rPr>
          <w:lang w:val="fr-FR"/>
        </w:rPr>
        <w:t>amendement proposé au paragraphe</w:t>
      </w:r>
      <w:r w:rsidR="005E097B">
        <w:rPr>
          <w:lang w:val="fr-FR"/>
        </w:rPr>
        <w:t> </w:t>
      </w:r>
      <w:r w:rsidRPr="00867EB6">
        <w:rPr>
          <w:lang w:val="fr-FR"/>
        </w:rPr>
        <w:t>11.</w:t>
      </w:r>
    </w:p>
    <w:p w:rsidR="00F77ECC" w:rsidRPr="00867EB6" w:rsidRDefault="00F77ECC" w:rsidP="005E097B">
      <w:pPr>
        <w:pStyle w:val="SingleTxtG"/>
        <w:rPr>
          <w:lang w:val="fr-FR"/>
        </w:rPr>
      </w:pPr>
      <w:r w:rsidRPr="00867EB6">
        <w:rPr>
          <w:lang w:val="fr-FR"/>
        </w:rPr>
        <w:t>64.</w:t>
      </w:r>
      <w:r w:rsidRPr="00867EB6">
        <w:rPr>
          <w:lang w:val="fr-FR"/>
        </w:rPr>
        <w:tab/>
        <w:t xml:space="preserve">Le représentant des Pays-Bas a fait observer que les définitions de </w:t>
      </w:r>
      <w:r>
        <w:rPr>
          <w:lang w:val="fr-FR"/>
        </w:rPr>
        <w:t>«</w:t>
      </w:r>
      <w:r w:rsidR="005E097B">
        <w:rPr>
          <w:lang w:val="fr-FR"/>
        </w:rPr>
        <w:t> </w:t>
      </w:r>
      <w:r w:rsidRPr="00867EB6">
        <w:rPr>
          <w:lang w:val="fr-FR"/>
        </w:rPr>
        <w:t>systèmes de protection autonomes</w:t>
      </w:r>
      <w:r w:rsidR="005E097B">
        <w:rPr>
          <w:lang w:val="fr-FR"/>
        </w:rPr>
        <w:t> </w:t>
      </w:r>
      <w:r>
        <w:rPr>
          <w:lang w:val="fr-FR"/>
        </w:rPr>
        <w:t>»</w:t>
      </w:r>
      <w:r w:rsidRPr="00867EB6">
        <w:rPr>
          <w:lang w:val="fr-FR"/>
        </w:rPr>
        <w:t xml:space="preserve"> et de </w:t>
      </w:r>
      <w:r>
        <w:rPr>
          <w:lang w:val="fr-FR"/>
        </w:rPr>
        <w:t>«</w:t>
      </w:r>
      <w:r w:rsidR="005E097B">
        <w:rPr>
          <w:lang w:val="fr-FR"/>
        </w:rPr>
        <w:t> </w:t>
      </w:r>
      <w:r w:rsidRPr="00867EB6">
        <w:rPr>
          <w:lang w:val="fr-FR"/>
        </w:rPr>
        <w:t>soupapes de sécurité</w:t>
      </w:r>
      <w:r w:rsidR="005E097B">
        <w:rPr>
          <w:lang w:val="fr-FR"/>
        </w:rPr>
        <w:t> </w:t>
      </w:r>
      <w:r>
        <w:rPr>
          <w:lang w:val="fr-FR"/>
        </w:rPr>
        <w:t>»</w:t>
      </w:r>
      <w:r w:rsidRPr="00867EB6">
        <w:rPr>
          <w:lang w:val="fr-FR"/>
        </w:rPr>
        <w:t xml:space="preserve"> proposées dans le document INF.21 pourraient être mieux formulées. Le Comité de sécurité l</w:t>
      </w:r>
      <w:r>
        <w:rPr>
          <w:lang w:val="fr-FR"/>
        </w:rPr>
        <w:t>’</w:t>
      </w:r>
      <w:r w:rsidRPr="00867EB6">
        <w:rPr>
          <w:lang w:val="fr-FR"/>
        </w:rPr>
        <w:t>a invité à envisager de soumettre une proposition dans ce sens ultérieurement.</w:t>
      </w:r>
    </w:p>
    <w:p w:rsidR="00F77ECC" w:rsidRPr="00867EB6" w:rsidRDefault="00F77ECC" w:rsidP="005E097B">
      <w:pPr>
        <w:pStyle w:val="SingleTxtG"/>
        <w:rPr>
          <w:lang w:val="fr-FR"/>
        </w:rPr>
      </w:pPr>
      <w:r w:rsidRPr="00867EB6">
        <w:rPr>
          <w:lang w:val="fr-FR"/>
        </w:rPr>
        <w:t>65.</w:t>
      </w:r>
      <w:r w:rsidRPr="00867EB6">
        <w:rPr>
          <w:lang w:val="fr-FR"/>
        </w:rPr>
        <w:tab/>
        <w:t>À l</w:t>
      </w:r>
      <w:r>
        <w:rPr>
          <w:lang w:val="fr-FR"/>
        </w:rPr>
        <w:t>’</w:t>
      </w:r>
      <w:r w:rsidRPr="00867EB6">
        <w:rPr>
          <w:lang w:val="fr-FR"/>
        </w:rPr>
        <w:t>issue d</w:t>
      </w:r>
      <w:r>
        <w:rPr>
          <w:lang w:val="fr-FR"/>
        </w:rPr>
        <w:t>’</w:t>
      </w:r>
      <w:r w:rsidRPr="00867EB6">
        <w:rPr>
          <w:lang w:val="fr-FR"/>
        </w:rPr>
        <w:t>un échange de vues, le Comité de sécurité a adopté les propositions énoncées dans le document ECE/TRANS/WP.15/AC.2/2018/11, telles que modifiées pour tenir compte des propositions figurant dans les documents officiels ECE/TRANS/WP.15/AC.2/2018/9 et ECE/TRANS/WP.15/AC.2/2018/10 ainsi que dans les documents informels INF.14, INF.21, INF.21/Add.1 et INF.25, avec quelques modifications supplémentaires (voir annexe I).</w:t>
      </w:r>
    </w:p>
    <w:p w:rsidR="00F77ECC" w:rsidRPr="00867EB6" w:rsidRDefault="00F77ECC" w:rsidP="005E097B">
      <w:pPr>
        <w:pStyle w:val="H23G"/>
        <w:rPr>
          <w:lang w:val="fr-FR"/>
        </w:rPr>
      </w:pPr>
      <w:r w:rsidRPr="00867EB6">
        <w:rPr>
          <w:lang w:val="fr-FR"/>
        </w:rPr>
        <w:tab/>
        <w:t>14.</w:t>
      </w:r>
      <w:r w:rsidRPr="00867EB6">
        <w:rPr>
          <w:lang w:val="fr-FR"/>
        </w:rPr>
        <w:tab/>
        <w:t xml:space="preserve">Disposition transitoire aux fins de la mise en œuvre du concept modifié </w:t>
      </w:r>
      <w:r w:rsidR="005E097B">
        <w:rPr>
          <w:lang w:val="fr-FR"/>
        </w:rPr>
        <w:br/>
      </w:r>
      <w:r w:rsidRPr="00867EB6">
        <w:rPr>
          <w:lang w:val="fr-FR"/>
        </w:rPr>
        <w:t>pour la protection contre les explosions à bord des bateaux-citernes</w:t>
      </w:r>
      <w:bookmarkStart w:id="49" w:name="_Toc505688443"/>
      <w:bookmarkEnd w:id="49"/>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5E097B">
        <w:rPr>
          <w:i/>
          <w:lang w:val="fr-FR"/>
        </w:rPr>
        <w:t> </w:t>
      </w:r>
      <w:r>
        <w:rPr>
          <w:lang w:val="fr-FR"/>
        </w:rPr>
        <w:t>:</w:t>
      </w:r>
      <w:r w:rsidRPr="00867EB6">
        <w:rPr>
          <w:lang w:val="fr-FR"/>
        </w:rPr>
        <w:tab/>
        <w:t>INF.24 (OEB et UENF).</w:t>
      </w:r>
    </w:p>
    <w:p w:rsidR="00F77ECC" w:rsidRPr="00867EB6" w:rsidRDefault="00F77ECC" w:rsidP="005E097B">
      <w:pPr>
        <w:pStyle w:val="SingleTxtG"/>
        <w:rPr>
          <w:lang w:val="fr-FR"/>
        </w:rPr>
      </w:pPr>
      <w:r w:rsidRPr="00867EB6">
        <w:rPr>
          <w:lang w:val="fr-FR"/>
        </w:rPr>
        <w:t>66.</w:t>
      </w:r>
      <w:r w:rsidRPr="00867EB6">
        <w:rPr>
          <w:lang w:val="fr-FR"/>
        </w:rPr>
        <w:tab/>
        <w:t>Le représentant de l</w:t>
      </w:r>
      <w:r>
        <w:rPr>
          <w:lang w:val="fr-FR"/>
        </w:rPr>
        <w:t>’</w:t>
      </w:r>
      <w:r w:rsidRPr="00867EB6">
        <w:rPr>
          <w:lang w:val="fr-FR"/>
        </w:rPr>
        <w:t>UENF a expliqué que la disposition transitoire visait à donner aux constructeurs de bateaux le temps de prendre connaissance des nouvelles prescriptions et de régler les problèmes imprévus qui pourraient survenir lorsque celles-ci seraient appliquées pour la première fois pendant le processus de construction. La disposition transitoire donnerait aux constructeurs le temps d</w:t>
      </w:r>
      <w:r>
        <w:rPr>
          <w:lang w:val="fr-FR"/>
        </w:rPr>
        <w:t>’</w:t>
      </w:r>
      <w:r w:rsidRPr="00867EB6">
        <w:rPr>
          <w:lang w:val="fr-FR"/>
        </w:rPr>
        <w:t>achever la construction d</w:t>
      </w:r>
      <w:r>
        <w:rPr>
          <w:lang w:val="fr-FR"/>
        </w:rPr>
        <w:t>’</w:t>
      </w:r>
      <w:r w:rsidRPr="00867EB6">
        <w:rPr>
          <w:lang w:val="fr-FR"/>
        </w:rPr>
        <w:t>un bateau en respectant les dispositions de l</w:t>
      </w:r>
      <w:r>
        <w:rPr>
          <w:lang w:val="fr-FR"/>
        </w:rPr>
        <w:t>’</w:t>
      </w:r>
      <w:r w:rsidRPr="00867EB6">
        <w:rPr>
          <w:lang w:val="fr-FR"/>
        </w:rPr>
        <w:t>ADN applicables au moment du lancement du projet et en vertu desquelles l</w:t>
      </w:r>
      <w:r>
        <w:rPr>
          <w:lang w:val="fr-FR"/>
        </w:rPr>
        <w:t>’</w:t>
      </w:r>
      <w:r w:rsidRPr="00867EB6">
        <w:rPr>
          <w:lang w:val="fr-FR"/>
        </w:rPr>
        <w:t xml:space="preserve">agrément serait accordé. </w:t>
      </w:r>
    </w:p>
    <w:p w:rsidR="00F77ECC" w:rsidRPr="00867EB6" w:rsidRDefault="00F77ECC" w:rsidP="005E097B">
      <w:pPr>
        <w:pStyle w:val="SingleTxtG"/>
        <w:rPr>
          <w:lang w:val="fr-FR"/>
        </w:rPr>
      </w:pPr>
      <w:r w:rsidRPr="00867EB6">
        <w:rPr>
          <w:lang w:val="fr-FR"/>
        </w:rPr>
        <w:t>67.</w:t>
      </w:r>
      <w:r w:rsidRPr="00867EB6">
        <w:rPr>
          <w:lang w:val="fr-FR"/>
        </w:rPr>
        <w:tab/>
        <w:t>Le Comité de sécurité a noté que les sociétés de classification recommandées ADN ne prévoyaient pas de problèmes liés à l</w:t>
      </w:r>
      <w:r>
        <w:rPr>
          <w:lang w:val="fr-FR"/>
        </w:rPr>
        <w:t>’</w:t>
      </w:r>
      <w:r w:rsidRPr="00867EB6">
        <w:rPr>
          <w:lang w:val="fr-FR"/>
        </w:rPr>
        <w:t>application des nouvelles prescriptions. Constatant que la disposition transitoire générale énoncée au 1.6.1.1 s</w:t>
      </w:r>
      <w:r>
        <w:rPr>
          <w:lang w:val="fr-FR"/>
        </w:rPr>
        <w:t>’</w:t>
      </w:r>
      <w:r w:rsidRPr="00867EB6">
        <w:rPr>
          <w:lang w:val="fr-FR"/>
        </w:rPr>
        <w:t>appliquait également aux certificats d</w:t>
      </w:r>
      <w:r>
        <w:rPr>
          <w:lang w:val="fr-FR"/>
        </w:rPr>
        <w:t>’</w:t>
      </w:r>
      <w:r w:rsidRPr="00867EB6">
        <w:rPr>
          <w:lang w:val="fr-FR"/>
        </w:rPr>
        <w:t>agrément délivrés avant le 30</w:t>
      </w:r>
      <w:r w:rsidR="005E097B">
        <w:rPr>
          <w:lang w:val="fr-FR"/>
        </w:rPr>
        <w:t> </w:t>
      </w:r>
      <w:r w:rsidRPr="00867EB6">
        <w:rPr>
          <w:lang w:val="fr-FR"/>
        </w:rPr>
        <w:t>juin 2019 conformément aux dispositions de l</w:t>
      </w:r>
      <w:r>
        <w:rPr>
          <w:lang w:val="fr-FR"/>
        </w:rPr>
        <w:t>’</w:t>
      </w:r>
      <w:r w:rsidRPr="00867EB6">
        <w:rPr>
          <w:lang w:val="fr-FR"/>
        </w:rPr>
        <w:t>ADN applicables jusqu</w:t>
      </w:r>
      <w:r>
        <w:rPr>
          <w:lang w:val="fr-FR"/>
        </w:rPr>
        <w:t>’</w:t>
      </w:r>
      <w:r w:rsidRPr="00867EB6">
        <w:rPr>
          <w:lang w:val="fr-FR"/>
        </w:rPr>
        <w:t>au 31</w:t>
      </w:r>
      <w:r w:rsidR="005E097B">
        <w:rPr>
          <w:lang w:val="fr-FR"/>
        </w:rPr>
        <w:t> </w:t>
      </w:r>
      <w:r w:rsidRPr="00867EB6">
        <w:rPr>
          <w:lang w:val="fr-FR"/>
        </w:rPr>
        <w:t>décembre 2018, le Comité de sécurité n</w:t>
      </w:r>
      <w:r>
        <w:rPr>
          <w:lang w:val="fr-FR"/>
        </w:rPr>
        <w:t>’</w:t>
      </w:r>
      <w:r w:rsidRPr="00867EB6">
        <w:rPr>
          <w:lang w:val="fr-FR"/>
        </w:rPr>
        <w:t>a pas jugé nécessaire d</w:t>
      </w:r>
      <w:r>
        <w:rPr>
          <w:lang w:val="fr-FR"/>
        </w:rPr>
        <w:t>’</w:t>
      </w:r>
      <w:r w:rsidRPr="00867EB6">
        <w:rPr>
          <w:lang w:val="fr-FR"/>
        </w:rPr>
        <w:t>introduire une disposition transitoire spéciale pour la mise en œuvre du nouveau concept de protection contre les explosions. Il a invité les Parties contractantes, les associations professionnelles, les sociétés de classification et tous les acteurs de l</w:t>
      </w:r>
      <w:r>
        <w:rPr>
          <w:lang w:val="fr-FR"/>
        </w:rPr>
        <w:t>’</w:t>
      </w:r>
      <w:r w:rsidRPr="00867EB6">
        <w:rPr>
          <w:lang w:val="fr-FR"/>
        </w:rPr>
        <w:t>industrie navale à informer les parties concernées de l</w:t>
      </w:r>
      <w:r>
        <w:rPr>
          <w:lang w:val="fr-FR"/>
        </w:rPr>
        <w:t>’</w:t>
      </w:r>
      <w:r w:rsidRPr="00867EB6">
        <w:rPr>
          <w:lang w:val="fr-FR"/>
        </w:rPr>
        <w:t>entrée en vigueur des nouvelles dispositions le 1</w:t>
      </w:r>
      <w:r w:rsidRPr="005E097B">
        <w:rPr>
          <w:vertAlign w:val="superscript"/>
          <w:lang w:val="fr-FR"/>
        </w:rPr>
        <w:t>er</w:t>
      </w:r>
      <w:r w:rsidR="005E097B">
        <w:rPr>
          <w:lang w:val="fr-FR"/>
        </w:rPr>
        <w:t> </w:t>
      </w:r>
      <w:r w:rsidRPr="00867EB6">
        <w:rPr>
          <w:lang w:val="fr-FR"/>
        </w:rPr>
        <w:t>janvier 2019, afin que ces dernières puissent commencer à envisager les mesures à prendre pour en assurer le respect.</w:t>
      </w:r>
    </w:p>
    <w:p w:rsidR="00F77ECC" w:rsidRPr="00867EB6" w:rsidRDefault="00F77ECC" w:rsidP="005E097B">
      <w:pPr>
        <w:pStyle w:val="H23G"/>
        <w:rPr>
          <w:lang w:val="fr-FR"/>
        </w:rPr>
      </w:pPr>
      <w:r w:rsidRPr="00867EB6">
        <w:rPr>
          <w:lang w:val="fr-FR"/>
        </w:rPr>
        <w:tab/>
        <w:t>15.</w:t>
      </w:r>
      <w:r w:rsidRPr="00867EB6">
        <w:rPr>
          <w:lang w:val="fr-FR"/>
        </w:rPr>
        <w:tab/>
        <w:t>Obligations du transporteur</w:t>
      </w:r>
      <w:bookmarkStart w:id="50" w:name="_Toc505688444"/>
      <w:bookmarkEnd w:id="50"/>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5E097B">
        <w:rPr>
          <w:i/>
          <w:lang w:val="fr-FR"/>
        </w:rPr>
        <w:t> </w:t>
      </w:r>
      <w:r>
        <w:rPr>
          <w:lang w:val="fr-FR"/>
        </w:rPr>
        <w:t>:</w:t>
      </w:r>
      <w:r w:rsidRPr="00867EB6">
        <w:rPr>
          <w:lang w:val="fr-FR"/>
        </w:rPr>
        <w:tab/>
        <w:t>INF.17 (Autriche).</w:t>
      </w:r>
    </w:p>
    <w:p w:rsidR="00F77ECC" w:rsidRPr="00867EB6" w:rsidRDefault="00F77ECC" w:rsidP="005E097B">
      <w:pPr>
        <w:pStyle w:val="SingleTxtG"/>
        <w:rPr>
          <w:lang w:val="fr-FR"/>
        </w:rPr>
      </w:pPr>
      <w:r w:rsidRPr="00867EB6">
        <w:rPr>
          <w:lang w:val="fr-FR"/>
        </w:rPr>
        <w:t>68.</w:t>
      </w:r>
      <w:r w:rsidRPr="00867EB6">
        <w:rPr>
          <w:lang w:val="fr-FR"/>
        </w:rPr>
        <w:tab/>
        <w:t>Le Comité de sécurité a adopté l</w:t>
      </w:r>
      <w:r>
        <w:rPr>
          <w:lang w:val="fr-FR"/>
        </w:rPr>
        <w:t>’</w:t>
      </w:r>
      <w:r w:rsidRPr="00867EB6">
        <w:rPr>
          <w:lang w:val="fr-FR"/>
        </w:rPr>
        <w:t>amendement au 1.4.2.2.1 sans modifications (voir</w:t>
      </w:r>
      <w:r w:rsidR="005E097B">
        <w:rPr>
          <w:lang w:val="fr-FR"/>
        </w:rPr>
        <w:t> </w:t>
      </w:r>
      <w:r w:rsidRPr="00867EB6">
        <w:rPr>
          <w:lang w:val="fr-FR"/>
        </w:rPr>
        <w:t>annexe I).</w:t>
      </w:r>
    </w:p>
    <w:p w:rsidR="00F77ECC" w:rsidRPr="00867EB6" w:rsidRDefault="00F77ECC" w:rsidP="005E097B">
      <w:pPr>
        <w:pStyle w:val="H23G"/>
        <w:rPr>
          <w:lang w:val="fr-FR"/>
        </w:rPr>
      </w:pPr>
      <w:r w:rsidRPr="00867EB6">
        <w:rPr>
          <w:lang w:val="fr-FR"/>
        </w:rPr>
        <w:tab/>
        <w:t>16.</w:t>
      </w:r>
      <w:r w:rsidRPr="00867EB6">
        <w:rPr>
          <w:lang w:val="fr-FR"/>
        </w:rPr>
        <w:tab/>
        <w:t>Correction du 5.4.1.1.2</w:t>
      </w:r>
      <w:bookmarkStart w:id="51" w:name="_Toc505688445"/>
      <w:bookmarkEnd w:id="51"/>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5E097B">
        <w:rPr>
          <w:i/>
          <w:lang w:val="fr-FR"/>
        </w:rPr>
        <w:t> </w:t>
      </w:r>
      <w:r>
        <w:rPr>
          <w:lang w:val="fr-FR"/>
        </w:rPr>
        <w:t>:</w:t>
      </w:r>
      <w:r w:rsidRPr="00867EB6">
        <w:rPr>
          <w:lang w:val="fr-FR"/>
        </w:rPr>
        <w:tab/>
        <w:t>INF.18 (France).</w:t>
      </w:r>
    </w:p>
    <w:p w:rsidR="00F77ECC" w:rsidRPr="00867EB6" w:rsidRDefault="00F77ECC" w:rsidP="005E097B">
      <w:pPr>
        <w:pStyle w:val="SingleTxtG"/>
        <w:rPr>
          <w:lang w:val="fr-FR"/>
        </w:rPr>
      </w:pPr>
      <w:r w:rsidRPr="00867EB6">
        <w:rPr>
          <w:lang w:val="fr-FR"/>
        </w:rPr>
        <w:t>69.</w:t>
      </w:r>
      <w:r w:rsidRPr="00867EB6">
        <w:rPr>
          <w:lang w:val="fr-FR"/>
        </w:rPr>
        <w:tab/>
        <w:t>Le Comité de sécurité a adopté la correction du texte français visant à harmoniser la désignation officielle de transport du numéro ONU 1203 dans le tableau C et les exemples de description des marchandises dangereuses au 5.4.1.1.2 (voir annexe II). Il a été noté que cette correction serait communiquée à toutes les Parties contractantes pour acceptation.</w:t>
      </w:r>
    </w:p>
    <w:p w:rsidR="00F77ECC" w:rsidRPr="00867EB6" w:rsidRDefault="00F77ECC" w:rsidP="005E097B">
      <w:pPr>
        <w:pStyle w:val="H23G"/>
        <w:rPr>
          <w:lang w:val="fr-FR"/>
        </w:rPr>
      </w:pPr>
      <w:r w:rsidRPr="00867EB6">
        <w:rPr>
          <w:lang w:val="fr-FR"/>
        </w:rPr>
        <w:tab/>
        <w:t>17.</w:t>
      </w:r>
      <w:r w:rsidRPr="00867EB6">
        <w:rPr>
          <w:lang w:val="fr-FR"/>
        </w:rPr>
        <w:tab/>
        <w:t>Amélioration de la lisibilité et de l</w:t>
      </w:r>
      <w:r>
        <w:rPr>
          <w:lang w:val="fr-FR"/>
        </w:rPr>
        <w:t>’</w:t>
      </w:r>
      <w:r w:rsidRPr="00867EB6">
        <w:rPr>
          <w:lang w:val="fr-FR"/>
        </w:rPr>
        <w:t>utilité de l</w:t>
      </w:r>
      <w:r>
        <w:rPr>
          <w:lang w:val="fr-FR"/>
        </w:rPr>
        <w:t>’</w:t>
      </w:r>
      <w:r w:rsidRPr="00867EB6">
        <w:rPr>
          <w:lang w:val="fr-FR"/>
        </w:rPr>
        <w:t>ADN</w:t>
      </w:r>
      <w:bookmarkStart w:id="52" w:name="_Toc505688446"/>
      <w:bookmarkEnd w:id="52"/>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DE72AA">
        <w:rPr>
          <w:i/>
          <w:lang w:val="fr-FR"/>
        </w:rPr>
        <w:t> </w:t>
      </w:r>
      <w:r>
        <w:rPr>
          <w:lang w:val="fr-FR"/>
        </w:rPr>
        <w:t>:</w:t>
      </w:r>
      <w:r w:rsidRPr="00867EB6">
        <w:rPr>
          <w:lang w:val="fr-FR"/>
        </w:rPr>
        <w:tab/>
        <w:t>INF.20 (OEB et UENF).</w:t>
      </w:r>
    </w:p>
    <w:p w:rsidR="00F77ECC" w:rsidRPr="00867EB6" w:rsidRDefault="00F77ECC" w:rsidP="005E097B">
      <w:pPr>
        <w:pStyle w:val="SingleTxtG"/>
        <w:rPr>
          <w:lang w:val="fr-FR"/>
        </w:rPr>
      </w:pPr>
      <w:r w:rsidRPr="00867EB6">
        <w:rPr>
          <w:lang w:val="fr-FR"/>
        </w:rPr>
        <w:t>70.</w:t>
      </w:r>
      <w:r w:rsidRPr="00867EB6">
        <w:rPr>
          <w:lang w:val="fr-FR"/>
        </w:rPr>
        <w:tab/>
        <w:t>Le Comité de sécurité a adopté la proposition visée à la section</w:t>
      </w:r>
      <w:r w:rsidR="005E097B">
        <w:rPr>
          <w:lang w:val="fr-FR"/>
        </w:rPr>
        <w:t> </w:t>
      </w:r>
      <w:r w:rsidRPr="00867EB6">
        <w:rPr>
          <w:lang w:val="fr-FR"/>
        </w:rPr>
        <w:t xml:space="preserve">D (point 2) du document informel, visant à ajouter une définition de </w:t>
      </w:r>
      <w:r>
        <w:rPr>
          <w:lang w:val="fr-FR"/>
        </w:rPr>
        <w:t>«</w:t>
      </w:r>
      <w:r w:rsidR="005E097B">
        <w:rPr>
          <w:lang w:val="fr-FR"/>
        </w:rPr>
        <w:t> </w:t>
      </w:r>
      <w:r w:rsidRPr="00867EB6">
        <w:rPr>
          <w:lang w:val="fr-FR"/>
        </w:rPr>
        <w:t>CMR</w:t>
      </w:r>
      <w:r w:rsidR="005E097B">
        <w:rPr>
          <w:lang w:val="fr-FR"/>
        </w:rPr>
        <w:t> </w:t>
      </w:r>
      <w:r>
        <w:rPr>
          <w:lang w:val="fr-FR"/>
        </w:rPr>
        <w:t>»</w:t>
      </w:r>
      <w:r w:rsidRPr="00867EB6">
        <w:rPr>
          <w:lang w:val="fr-FR"/>
        </w:rPr>
        <w:t xml:space="preserve"> dans les notes explicatives relatives à la colonne (5) du tableau C du chapitre</w:t>
      </w:r>
      <w:r w:rsidR="005E097B">
        <w:rPr>
          <w:lang w:val="fr-FR"/>
        </w:rPr>
        <w:t> </w:t>
      </w:r>
      <w:r w:rsidRPr="00867EB6">
        <w:rPr>
          <w:lang w:val="fr-FR"/>
        </w:rPr>
        <w:t xml:space="preserve">3.2 (voir annexe I). </w:t>
      </w:r>
    </w:p>
    <w:p w:rsidR="00F77ECC" w:rsidRPr="00867EB6" w:rsidRDefault="00F77ECC" w:rsidP="005E097B">
      <w:pPr>
        <w:pStyle w:val="SingleTxtG"/>
        <w:rPr>
          <w:lang w:val="fr-FR"/>
        </w:rPr>
      </w:pPr>
      <w:r w:rsidRPr="00867EB6">
        <w:rPr>
          <w:lang w:val="fr-FR"/>
        </w:rPr>
        <w:t>71.</w:t>
      </w:r>
      <w:r w:rsidRPr="00867EB6">
        <w:rPr>
          <w:lang w:val="fr-FR"/>
        </w:rPr>
        <w:tab/>
        <w:t>S</w:t>
      </w:r>
      <w:r>
        <w:rPr>
          <w:lang w:val="fr-FR"/>
        </w:rPr>
        <w:t>’</w:t>
      </w:r>
      <w:r w:rsidRPr="00867EB6">
        <w:rPr>
          <w:lang w:val="fr-FR"/>
        </w:rPr>
        <w:t>agissant des propositions figurant dans les sections A, B, C, E, F et G du document informel, le Comité de sécurité a invité les représentants de l</w:t>
      </w:r>
      <w:r>
        <w:rPr>
          <w:lang w:val="fr-FR"/>
        </w:rPr>
        <w:t>’</w:t>
      </w:r>
      <w:r w:rsidRPr="00867EB6">
        <w:rPr>
          <w:lang w:val="fr-FR"/>
        </w:rPr>
        <w:t>OEB et de l</w:t>
      </w:r>
      <w:r>
        <w:rPr>
          <w:lang w:val="fr-FR"/>
        </w:rPr>
        <w:t>’</w:t>
      </w:r>
      <w:r w:rsidRPr="00867EB6">
        <w:rPr>
          <w:lang w:val="fr-FR"/>
        </w:rPr>
        <w:t>UENF</w:t>
      </w:r>
      <w:r w:rsidR="005E097B">
        <w:rPr>
          <w:lang w:val="fr-FR"/>
        </w:rPr>
        <w:t xml:space="preserve"> </w:t>
      </w:r>
      <w:r w:rsidRPr="00867EB6">
        <w:rPr>
          <w:lang w:val="fr-FR"/>
        </w:rPr>
        <w:t>à soumettre une version révisée de leur proposition dans un document officiel, en tenant compte des observations formulées, pour examen à la prochaine session.</w:t>
      </w:r>
    </w:p>
    <w:p w:rsidR="00F77ECC" w:rsidRPr="00867EB6" w:rsidRDefault="005E097B" w:rsidP="005E097B">
      <w:pPr>
        <w:pStyle w:val="SingleTxtG"/>
        <w:rPr>
          <w:lang w:val="fr-FR"/>
        </w:rPr>
      </w:pPr>
      <w:r>
        <w:rPr>
          <w:lang w:val="fr-FR"/>
        </w:rPr>
        <w:t>72.</w:t>
      </w:r>
      <w:r w:rsidR="00F77ECC" w:rsidRPr="00867EB6">
        <w:rPr>
          <w:lang w:val="fr-FR"/>
        </w:rPr>
        <w:tab/>
        <w:t xml:space="preserve">Le Comité de sécurité a estimé que la proposition tendant à introduire des définitions pour </w:t>
      </w:r>
      <w:r w:rsidR="00F77ECC">
        <w:rPr>
          <w:lang w:val="fr-FR"/>
        </w:rPr>
        <w:t>«</w:t>
      </w:r>
      <w:r>
        <w:rPr>
          <w:lang w:val="fr-FR"/>
        </w:rPr>
        <w:t> </w:t>
      </w:r>
      <w:r w:rsidR="00F77ECC" w:rsidRPr="00867EB6">
        <w:rPr>
          <w:lang w:val="fr-FR"/>
        </w:rPr>
        <w:t>point d</w:t>
      </w:r>
      <w:r w:rsidR="00F77ECC">
        <w:rPr>
          <w:lang w:val="fr-FR"/>
        </w:rPr>
        <w:t>’</w:t>
      </w:r>
      <w:r w:rsidR="00F77ECC" w:rsidRPr="00867EB6">
        <w:rPr>
          <w:lang w:val="fr-FR"/>
        </w:rPr>
        <w:t>ébullition</w:t>
      </w:r>
      <w:r>
        <w:rPr>
          <w:lang w:val="fr-FR"/>
        </w:rPr>
        <w:t> </w:t>
      </w:r>
      <w:r w:rsidR="00F77ECC">
        <w:rPr>
          <w:lang w:val="fr-FR"/>
        </w:rPr>
        <w:t>»</w:t>
      </w:r>
      <w:r w:rsidR="00F77ECC" w:rsidRPr="00867EB6">
        <w:rPr>
          <w:lang w:val="fr-FR"/>
        </w:rPr>
        <w:t xml:space="preserve">, </w:t>
      </w:r>
      <w:r w:rsidR="00F77ECC">
        <w:rPr>
          <w:lang w:val="fr-FR"/>
        </w:rPr>
        <w:t>«</w:t>
      </w:r>
      <w:r>
        <w:rPr>
          <w:lang w:val="fr-FR"/>
        </w:rPr>
        <w:t> </w:t>
      </w:r>
      <w:r w:rsidR="00F77ECC" w:rsidRPr="00867EB6">
        <w:rPr>
          <w:lang w:val="fr-FR"/>
        </w:rPr>
        <w:t>point d</w:t>
      </w:r>
      <w:r w:rsidR="00F77ECC">
        <w:rPr>
          <w:lang w:val="fr-FR"/>
        </w:rPr>
        <w:t>’</w:t>
      </w:r>
      <w:r w:rsidR="00F77ECC" w:rsidRPr="00867EB6">
        <w:rPr>
          <w:lang w:val="fr-FR"/>
        </w:rPr>
        <w:t>ébullition initial</w:t>
      </w:r>
      <w:r>
        <w:rPr>
          <w:lang w:val="fr-FR"/>
        </w:rPr>
        <w:t> </w:t>
      </w:r>
      <w:r w:rsidR="00F77ECC">
        <w:rPr>
          <w:lang w:val="fr-FR"/>
        </w:rPr>
        <w:t>»</w:t>
      </w:r>
      <w:r w:rsidR="00F77ECC" w:rsidRPr="00867EB6">
        <w:rPr>
          <w:lang w:val="fr-FR"/>
        </w:rPr>
        <w:t xml:space="preserve"> et </w:t>
      </w:r>
      <w:r w:rsidR="00F77ECC">
        <w:rPr>
          <w:lang w:val="fr-FR"/>
        </w:rPr>
        <w:t>«</w:t>
      </w:r>
      <w:r>
        <w:rPr>
          <w:lang w:val="fr-FR"/>
        </w:rPr>
        <w:t> </w:t>
      </w:r>
      <w:r w:rsidR="00F77ECC" w:rsidRPr="00867EB6">
        <w:rPr>
          <w:lang w:val="fr-FR"/>
        </w:rPr>
        <w:t>intervalle d</w:t>
      </w:r>
      <w:r w:rsidR="00F77ECC">
        <w:rPr>
          <w:lang w:val="fr-FR"/>
        </w:rPr>
        <w:t>’</w:t>
      </w:r>
      <w:r w:rsidR="00F77ECC" w:rsidRPr="00867EB6">
        <w:rPr>
          <w:lang w:val="fr-FR"/>
        </w:rPr>
        <w:t>ébullition</w:t>
      </w:r>
      <w:r>
        <w:rPr>
          <w:lang w:val="fr-FR"/>
        </w:rPr>
        <w:t> </w:t>
      </w:r>
      <w:r w:rsidR="00F77ECC">
        <w:rPr>
          <w:lang w:val="fr-FR"/>
        </w:rPr>
        <w:t>»</w:t>
      </w:r>
      <w:r w:rsidR="00F77ECC" w:rsidRPr="00867EB6">
        <w:rPr>
          <w:lang w:val="fr-FR"/>
        </w:rPr>
        <w:t xml:space="preserve"> concernait tous les modes de transport et devait donc être soumise au S</w:t>
      </w:r>
      <w:r>
        <w:rPr>
          <w:lang w:val="fr-FR"/>
        </w:rPr>
        <w:t>ous</w:t>
      </w:r>
      <w:r>
        <w:rPr>
          <w:lang w:val="fr-FR"/>
        </w:rPr>
        <w:noBreakHyphen/>
      </w:r>
      <w:r w:rsidR="00F77ECC" w:rsidRPr="00867EB6">
        <w:rPr>
          <w:lang w:val="fr-FR"/>
        </w:rPr>
        <w:t>Comité d</w:t>
      </w:r>
      <w:r w:rsidR="00F77ECC">
        <w:rPr>
          <w:lang w:val="fr-FR"/>
        </w:rPr>
        <w:t>’</w:t>
      </w:r>
      <w:r w:rsidR="00F77ECC" w:rsidRPr="00867EB6">
        <w:rPr>
          <w:lang w:val="fr-FR"/>
        </w:rPr>
        <w:t xml:space="preserve">experts du transport des marchandises dangereuses pour examen. </w:t>
      </w:r>
    </w:p>
    <w:p w:rsidR="00F77ECC" w:rsidRPr="00867EB6" w:rsidRDefault="00F77ECC" w:rsidP="005E097B">
      <w:pPr>
        <w:pStyle w:val="H23G"/>
        <w:rPr>
          <w:lang w:val="fr-FR"/>
        </w:rPr>
      </w:pPr>
      <w:r w:rsidRPr="00867EB6">
        <w:rPr>
          <w:lang w:val="fr-FR"/>
        </w:rPr>
        <w:tab/>
        <w:t>18.</w:t>
      </w:r>
      <w:r w:rsidRPr="00867EB6">
        <w:rPr>
          <w:lang w:val="fr-FR"/>
        </w:rPr>
        <w:tab/>
        <w:t>Correction de la désignation officielle de transport du numéro ONU 9001</w:t>
      </w:r>
      <w:bookmarkStart w:id="53" w:name="_Toc505688447"/>
      <w:bookmarkEnd w:id="53"/>
    </w:p>
    <w:p w:rsidR="00F77ECC" w:rsidRPr="00867EB6" w:rsidRDefault="00F77ECC" w:rsidP="005E097B">
      <w:pPr>
        <w:pStyle w:val="SingleTxtG"/>
        <w:rPr>
          <w:lang w:val="fr-FR"/>
        </w:rPr>
      </w:pPr>
      <w:r w:rsidRPr="00867EB6">
        <w:rPr>
          <w:lang w:val="fr-FR"/>
        </w:rPr>
        <w:t>73.</w:t>
      </w:r>
      <w:r w:rsidRPr="00867EB6">
        <w:rPr>
          <w:lang w:val="fr-FR"/>
        </w:rPr>
        <w:tab/>
        <w:t>Le Comité de sécurité a invité le représentant de l</w:t>
      </w:r>
      <w:r>
        <w:rPr>
          <w:lang w:val="fr-FR"/>
        </w:rPr>
        <w:t>’</w:t>
      </w:r>
      <w:r w:rsidRPr="00867EB6">
        <w:rPr>
          <w:lang w:val="fr-FR"/>
        </w:rPr>
        <w:t>Allemagne à soumettre un document officiel pour la session suivante, en tenant compte des observations formulées, afin que le texte russe puisse aussi être vérifié. Le représentant de l</w:t>
      </w:r>
      <w:r>
        <w:rPr>
          <w:lang w:val="fr-FR"/>
        </w:rPr>
        <w:t>’</w:t>
      </w:r>
      <w:r w:rsidRPr="00867EB6">
        <w:rPr>
          <w:lang w:val="fr-FR"/>
        </w:rPr>
        <w:t xml:space="preserve">Allemagne a invité les délégations intéressées à communiquer leurs observations par écrit. </w:t>
      </w:r>
    </w:p>
    <w:p w:rsidR="00F77ECC" w:rsidRPr="00867EB6" w:rsidRDefault="005E097B" w:rsidP="005E097B">
      <w:pPr>
        <w:pStyle w:val="H1G"/>
        <w:rPr>
          <w:lang w:val="fr-FR"/>
        </w:rPr>
      </w:pPr>
      <w:r>
        <w:rPr>
          <w:lang w:val="fr-FR"/>
        </w:rPr>
        <w:tab/>
        <w:t>C.</w:t>
      </w:r>
      <w:r w:rsidR="00F77ECC" w:rsidRPr="00867EB6">
        <w:rPr>
          <w:lang w:val="fr-FR"/>
        </w:rPr>
        <w:tab/>
        <w:t>Vérification des amendements adoptés lors de sessions précédentes</w:t>
      </w:r>
      <w:bookmarkStart w:id="54" w:name="_Toc505688448"/>
      <w:bookmarkEnd w:id="54"/>
    </w:p>
    <w:p w:rsidR="00F77ECC" w:rsidRPr="00867EB6" w:rsidRDefault="005E097B" w:rsidP="005E097B">
      <w:pPr>
        <w:pStyle w:val="H23G"/>
        <w:rPr>
          <w:lang w:val="fr-FR"/>
        </w:rPr>
      </w:pPr>
      <w:r>
        <w:rPr>
          <w:lang w:val="fr-FR"/>
        </w:rPr>
        <w:tab/>
        <w:t>1.</w:t>
      </w:r>
      <w:r w:rsidR="00F77ECC" w:rsidRPr="00867EB6">
        <w:rPr>
          <w:lang w:val="fr-FR"/>
        </w:rPr>
        <w:tab/>
        <w:t>Révision d</w:t>
      </w:r>
      <w:r w:rsidR="00F77ECC">
        <w:rPr>
          <w:lang w:val="fr-FR"/>
        </w:rPr>
        <w:t>’</w:t>
      </w:r>
      <w:r w:rsidR="00F77ECC" w:rsidRPr="00867EB6">
        <w:rPr>
          <w:lang w:val="fr-FR"/>
        </w:rPr>
        <w:t>amendements adoptés</w:t>
      </w:r>
      <w:r w:rsidR="00DE72AA">
        <w:rPr>
          <w:lang w:val="fr-FR"/>
        </w:rPr>
        <w:t> </w:t>
      </w:r>
      <w:r w:rsidR="00F77ECC">
        <w:rPr>
          <w:lang w:val="fr-FR"/>
        </w:rPr>
        <w:t>:</w:t>
      </w:r>
      <w:r w:rsidR="00F77ECC" w:rsidRPr="00867EB6">
        <w:rPr>
          <w:lang w:val="fr-FR"/>
        </w:rPr>
        <w:t xml:space="preserve"> dégazage des citernes à cargaison</w:t>
      </w:r>
      <w:bookmarkStart w:id="55" w:name="_Toc505688449"/>
      <w:bookmarkEnd w:id="55"/>
    </w:p>
    <w:p w:rsidR="00F77ECC" w:rsidRPr="00867EB6" w:rsidRDefault="00F77ECC" w:rsidP="004F3064">
      <w:pPr>
        <w:pStyle w:val="SingleTxtG"/>
        <w:tabs>
          <w:tab w:val="left" w:pos="3119"/>
        </w:tabs>
        <w:ind w:left="3119" w:hanging="1985"/>
        <w:jc w:val="left"/>
        <w:rPr>
          <w:lang w:val="fr-FR"/>
        </w:rPr>
      </w:pPr>
      <w:r w:rsidRPr="00867EB6">
        <w:rPr>
          <w:i/>
          <w:lang w:val="fr-FR"/>
        </w:rPr>
        <w:t>Document</w:t>
      </w:r>
      <w:r w:rsidR="005E097B">
        <w:rPr>
          <w:i/>
          <w:lang w:val="fr-FR"/>
        </w:rPr>
        <w:t>(s) </w:t>
      </w:r>
      <w:r>
        <w:rPr>
          <w:lang w:val="fr-FR"/>
        </w:rPr>
        <w:t>:</w:t>
      </w:r>
      <w:r w:rsidR="005E097B">
        <w:rPr>
          <w:lang w:val="fr-FR"/>
        </w:rPr>
        <w:tab/>
      </w:r>
      <w:r w:rsidRPr="00867EB6">
        <w:rPr>
          <w:lang w:val="fr-FR"/>
        </w:rPr>
        <w:t>ECE/TRANS/WP.15/AC.2/2018/13 (Allemagne et Pays-Bas).</w:t>
      </w:r>
    </w:p>
    <w:p w:rsidR="00F77ECC" w:rsidRPr="00867EB6" w:rsidRDefault="00F77ECC" w:rsidP="005E097B">
      <w:pPr>
        <w:pStyle w:val="SingleTxtG"/>
        <w:rPr>
          <w:lang w:val="fr-FR"/>
        </w:rPr>
      </w:pPr>
      <w:r w:rsidRPr="00867EB6">
        <w:rPr>
          <w:lang w:val="fr-FR"/>
        </w:rPr>
        <w:t>74.</w:t>
      </w:r>
      <w:r w:rsidRPr="00867EB6">
        <w:rPr>
          <w:lang w:val="fr-FR"/>
        </w:rPr>
        <w:tab/>
        <w:t>Le Comité de sécurité a adopté les propositions d</w:t>
      </w:r>
      <w:r>
        <w:rPr>
          <w:lang w:val="fr-FR"/>
        </w:rPr>
        <w:t>’</w:t>
      </w:r>
      <w:r w:rsidRPr="00867EB6">
        <w:rPr>
          <w:lang w:val="fr-FR"/>
        </w:rPr>
        <w:t>amendements au document ECE/TRANS/WP.15/AC.2/64/Add.1 telles que reproduites dans les annexes</w:t>
      </w:r>
      <w:r w:rsidR="005E097B">
        <w:rPr>
          <w:lang w:val="fr-FR"/>
        </w:rPr>
        <w:t> </w:t>
      </w:r>
      <w:r w:rsidRPr="00867EB6">
        <w:rPr>
          <w:lang w:val="fr-FR"/>
        </w:rPr>
        <w:t xml:space="preserve">I, II et III du </w:t>
      </w:r>
      <w:r w:rsidRPr="005E097B">
        <w:rPr>
          <w:spacing w:val="-2"/>
          <w:lang w:val="fr-FR"/>
        </w:rPr>
        <w:t>document ECE/TRANS/WP.15/AC.2/2018/13, avec quelques modifications supplémentaires</w:t>
      </w:r>
      <w:r w:rsidRPr="00867EB6">
        <w:rPr>
          <w:lang w:val="fr-FR"/>
        </w:rPr>
        <w:t xml:space="preserve"> (voir annexe I).</w:t>
      </w:r>
    </w:p>
    <w:p w:rsidR="00F77ECC" w:rsidRPr="00867EB6" w:rsidRDefault="00F77ECC" w:rsidP="005E097B">
      <w:pPr>
        <w:pStyle w:val="H23G"/>
        <w:rPr>
          <w:lang w:val="fr-FR"/>
        </w:rPr>
      </w:pPr>
      <w:r w:rsidRPr="00867EB6">
        <w:rPr>
          <w:lang w:val="fr-FR"/>
        </w:rPr>
        <w:tab/>
        <w:t>2.</w:t>
      </w:r>
      <w:r w:rsidRPr="00867EB6">
        <w:rPr>
          <w:lang w:val="fr-FR"/>
        </w:rPr>
        <w:tab/>
        <w:t>Paragraphe 7.2.4.25.5</w:t>
      </w:r>
      <w:bookmarkStart w:id="56" w:name="_Toc505688450"/>
      <w:bookmarkEnd w:id="56"/>
    </w:p>
    <w:p w:rsidR="00F77ECC" w:rsidRPr="00867EB6" w:rsidRDefault="00F77ECC" w:rsidP="004F3064">
      <w:pPr>
        <w:pStyle w:val="SingleTxtG"/>
        <w:tabs>
          <w:tab w:val="left" w:pos="3119"/>
        </w:tabs>
        <w:ind w:left="3119" w:hanging="1985"/>
        <w:jc w:val="left"/>
        <w:rPr>
          <w:lang w:val="fr-FR"/>
        </w:rPr>
      </w:pPr>
      <w:r w:rsidRPr="00867EB6">
        <w:rPr>
          <w:i/>
          <w:lang w:val="fr-FR"/>
        </w:rPr>
        <w:t>Document informel</w:t>
      </w:r>
      <w:r w:rsidR="005E097B">
        <w:rPr>
          <w:i/>
          <w:lang w:val="fr-FR"/>
        </w:rPr>
        <w:t> </w:t>
      </w:r>
      <w:r>
        <w:rPr>
          <w:lang w:val="fr-FR"/>
        </w:rPr>
        <w:t>:</w:t>
      </w:r>
      <w:r w:rsidRPr="00867EB6">
        <w:rPr>
          <w:lang w:val="fr-FR"/>
        </w:rPr>
        <w:tab/>
        <w:t>INF.3 (Allemagne).</w:t>
      </w:r>
    </w:p>
    <w:p w:rsidR="00F77ECC" w:rsidRPr="00867EB6" w:rsidRDefault="00F77ECC" w:rsidP="005E097B">
      <w:pPr>
        <w:pStyle w:val="SingleTxtG"/>
        <w:rPr>
          <w:lang w:val="fr-FR"/>
        </w:rPr>
      </w:pPr>
      <w:r w:rsidRPr="00867EB6">
        <w:rPr>
          <w:lang w:val="fr-FR"/>
        </w:rPr>
        <w:t>75.</w:t>
      </w:r>
      <w:r w:rsidRPr="00867EB6">
        <w:rPr>
          <w:lang w:val="fr-FR"/>
        </w:rPr>
        <w:tab/>
        <w:t>Le Comité de sécurité a estimé que le résultat de la mesure de la concentration de gaz inflammables de la cargaison précédente prescrite au deuxième alinéa du 7.2.4.25.5 (ECE/TRANS/WP.15/AC.2/64/Add.1) devait être consigné par écrit, et a accepté la proposition formulée dans le document INF.3 (voir annexe I).</w:t>
      </w:r>
    </w:p>
    <w:p w:rsidR="00F77ECC" w:rsidRPr="00867EB6" w:rsidRDefault="00F77ECC" w:rsidP="005E097B">
      <w:pPr>
        <w:pStyle w:val="H23G"/>
        <w:rPr>
          <w:lang w:val="fr-FR"/>
        </w:rPr>
      </w:pPr>
      <w:r w:rsidRPr="00867EB6">
        <w:rPr>
          <w:lang w:val="fr-FR"/>
        </w:rPr>
        <w:tab/>
        <w:t>3.</w:t>
      </w:r>
      <w:r w:rsidRPr="00867EB6">
        <w:rPr>
          <w:lang w:val="fr-FR"/>
        </w:rPr>
        <w:tab/>
        <w:t>Propositions d</w:t>
      </w:r>
      <w:r>
        <w:rPr>
          <w:lang w:val="fr-FR"/>
        </w:rPr>
        <w:t>’</w:t>
      </w:r>
      <w:r w:rsidRPr="00867EB6">
        <w:rPr>
          <w:lang w:val="fr-FR"/>
        </w:rPr>
        <w:t>amendements au Règlement annexé à l</w:t>
      </w:r>
      <w:r>
        <w:rPr>
          <w:lang w:val="fr-FR"/>
        </w:rPr>
        <w:t>’</w:t>
      </w:r>
      <w:r w:rsidRPr="00867EB6">
        <w:rPr>
          <w:lang w:val="fr-FR"/>
        </w:rPr>
        <w:t xml:space="preserve">ADN </w:t>
      </w:r>
      <w:r w:rsidR="005E097B">
        <w:rPr>
          <w:lang w:val="fr-FR"/>
        </w:rPr>
        <w:br/>
      </w:r>
      <w:r w:rsidRPr="00867EB6">
        <w:rPr>
          <w:lang w:val="fr-FR"/>
        </w:rPr>
        <w:t xml:space="preserve">pour </w:t>
      </w:r>
      <w:proofErr w:type="spellStart"/>
      <w:r w:rsidRPr="00867EB6">
        <w:rPr>
          <w:lang w:val="fr-FR"/>
        </w:rPr>
        <w:t>entrée</w:t>
      </w:r>
      <w:proofErr w:type="spellEnd"/>
      <w:r w:rsidRPr="00867EB6">
        <w:rPr>
          <w:lang w:val="fr-FR"/>
        </w:rPr>
        <w:t xml:space="preserve"> en vigueur</w:t>
      </w:r>
      <w:r>
        <w:rPr>
          <w:lang w:val="fr-FR"/>
        </w:rPr>
        <w:t xml:space="preserve"> </w:t>
      </w:r>
      <w:r w:rsidRPr="00867EB6">
        <w:rPr>
          <w:lang w:val="fr-FR"/>
        </w:rPr>
        <w:t>le 1</w:t>
      </w:r>
      <w:r w:rsidRPr="00867EB6">
        <w:rPr>
          <w:vertAlign w:val="superscript"/>
          <w:lang w:val="fr-FR"/>
        </w:rPr>
        <w:t>er</w:t>
      </w:r>
      <w:r w:rsidR="005E097B">
        <w:rPr>
          <w:vertAlign w:val="superscript"/>
          <w:lang w:val="fr-FR"/>
        </w:rPr>
        <w:t> </w:t>
      </w:r>
      <w:r w:rsidRPr="00867EB6">
        <w:rPr>
          <w:lang w:val="fr-FR"/>
        </w:rPr>
        <w:t>janvier 2019</w:t>
      </w:r>
      <w:bookmarkStart w:id="57" w:name="_Toc505688451"/>
      <w:bookmarkEnd w:id="57"/>
    </w:p>
    <w:p w:rsidR="00F77ECC" w:rsidRPr="00867EB6" w:rsidRDefault="00F77ECC" w:rsidP="005E097B">
      <w:pPr>
        <w:pStyle w:val="SingleTxtG"/>
        <w:tabs>
          <w:tab w:val="left" w:pos="3119"/>
        </w:tabs>
        <w:ind w:left="3119" w:hanging="1985"/>
        <w:jc w:val="left"/>
        <w:rPr>
          <w:lang w:val="fr-FR"/>
        </w:rPr>
      </w:pPr>
      <w:r w:rsidRPr="00867EB6">
        <w:rPr>
          <w:i/>
          <w:lang w:val="fr-FR"/>
        </w:rPr>
        <w:t>Document</w:t>
      </w:r>
      <w:r w:rsidR="005E097B">
        <w:rPr>
          <w:i/>
          <w:lang w:val="fr-FR"/>
        </w:rPr>
        <w:t>(</w:t>
      </w:r>
      <w:r w:rsidRPr="00867EB6">
        <w:rPr>
          <w:i/>
          <w:lang w:val="fr-FR"/>
        </w:rPr>
        <w:t>s</w:t>
      </w:r>
      <w:r w:rsidR="005E097B">
        <w:rPr>
          <w:i/>
          <w:lang w:val="fr-FR"/>
        </w:rPr>
        <w:t>) </w:t>
      </w:r>
      <w:r>
        <w:rPr>
          <w:lang w:val="fr-FR"/>
        </w:rPr>
        <w:t>:</w:t>
      </w:r>
      <w:r w:rsidRPr="00867EB6">
        <w:rPr>
          <w:lang w:val="fr-FR"/>
        </w:rPr>
        <w:tab/>
        <w:t>ECE/ADN/2018/1 (secrétariat)</w:t>
      </w:r>
      <w:r w:rsidR="005E097B">
        <w:rPr>
          <w:lang w:val="fr-FR"/>
        </w:rPr>
        <w:t> </w:t>
      </w:r>
      <w:r>
        <w:rPr>
          <w:lang w:val="fr-FR"/>
        </w:rPr>
        <w:t>;</w:t>
      </w:r>
      <w:r w:rsidR="005E097B">
        <w:rPr>
          <w:lang w:val="fr-FR"/>
        </w:rPr>
        <w:br/>
      </w:r>
      <w:r w:rsidRPr="00867EB6">
        <w:rPr>
          <w:lang w:val="fr-FR"/>
        </w:rPr>
        <w:t>ECE/TRANS/WP.15/AC.2/64/Corr.1 (secrétariat)</w:t>
      </w:r>
      <w:r w:rsidR="005E097B">
        <w:rPr>
          <w:lang w:val="fr-FR"/>
        </w:rPr>
        <w:t> </w:t>
      </w:r>
      <w:r>
        <w:rPr>
          <w:lang w:val="fr-FR"/>
        </w:rPr>
        <w:t>;</w:t>
      </w:r>
      <w:r w:rsidR="005E097B">
        <w:rPr>
          <w:lang w:val="fr-FR"/>
        </w:rPr>
        <w:br/>
      </w:r>
      <w:r w:rsidRPr="00867EB6">
        <w:rPr>
          <w:lang w:val="fr-FR"/>
        </w:rPr>
        <w:t>ECE/TRANS/WP.15/AC.2/2018/13 (Allemagne et Pays-Bas).</w:t>
      </w:r>
    </w:p>
    <w:p w:rsidR="00F77ECC" w:rsidRPr="00867EB6" w:rsidRDefault="00F77ECC" w:rsidP="002C60A4">
      <w:pPr>
        <w:pStyle w:val="SingleTxtG"/>
        <w:tabs>
          <w:tab w:val="left" w:pos="3119"/>
        </w:tabs>
        <w:ind w:left="3119" w:hanging="1985"/>
        <w:jc w:val="left"/>
        <w:rPr>
          <w:lang w:val="fr-FR"/>
        </w:rPr>
      </w:pPr>
      <w:r w:rsidRPr="00867EB6">
        <w:rPr>
          <w:i/>
          <w:lang w:val="fr-FR"/>
        </w:rPr>
        <w:t>Documents informels</w:t>
      </w:r>
      <w:r w:rsidR="002C60A4">
        <w:rPr>
          <w:i/>
          <w:lang w:val="fr-FR"/>
        </w:rPr>
        <w:t> </w:t>
      </w:r>
      <w:r>
        <w:rPr>
          <w:lang w:val="fr-FR"/>
        </w:rPr>
        <w:t>:</w:t>
      </w:r>
      <w:r w:rsidRPr="00867EB6">
        <w:rPr>
          <w:lang w:val="fr-FR"/>
        </w:rPr>
        <w:tab/>
        <w:t>INF.3 (Allemagne)</w:t>
      </w:r>
      <w:r w:rsidR="002C60A4">
        <w:rPr>
          <w:lang w:val="fr-FR"/>
        </w:rPr>
        <w:t> </w:t>
      </w:r>
      <w:r>
        <w:rPr>
          <w:lang w:val="fr-FR"/>
        </w:rPr>
        <w:t>;</w:t>
      </w:r>
      <w:r w:rsidR="002C60A4">
        <w:rPr>
          <w:lang w:val="fr-FR"/>
        </w:rPr>
        <w:br/>
      </w:r>
      <w:r w:rsidRPr="00867EB6">
        <w:rPr>
          <w:lang w:val="fr-FR"/>
        </w:rPr>
        <w:t>INF.25 (CCNR).</w:t>
      </w:r>
    </w:p>
    <w:p w:rsidR="00F77ECC" w:rsidRPr="00867EB6" w:rsidRDefault="00F77ECC" w:rsidP="00CE55D0">
      <w:pPr>
        <w:pStyle w:val="SingleTxtG"/>
        <w:rPr>
          <w:lang w:val="fr-FR"/>
        </w:rPr>
      </w:pPr>
      <w:r w:rsidRPr="00867EB6">
        <w:rPr>
          <w:lang w:val="fr-FR"/>
        </w:rPr>
        <w:t>76.</w:t>
      </w:r>
      <w:r w:rsidRPr="00867EB6">
        <w:rPr>
          <w:lang w:val="fr-FR"/>
        </w:rPr>
        <w:tab/>
        <w:t>Le Comité de sécurité a adopté les amendements figurant dans le document ECE/ADN/2018/1 avec les corrections correspondantes énoncées dans le document ECE/TRANS/WP.15/AC.2/64/Corr.1, et tel que modifié par le document ECE/TRANS/WP.15/AC.2/2018/13 et les documents informels INF.3 et INF.25, avec quelques modifications supplémentaires (voir annexe I).</w:t>
      </w:r>
    </w:p>
    <w:p w:rsidR="00F77ECC" w:rsidRPr="00867EB6" w:rsidRDefault="00F77ECC" w:rsidP="00CE55D0">
      <w:pPr>
        <w:pStyle w:val="HChG"/>
        <w:rPr>
          <w:lang w:val="fr-FR"/>
        </w:rPr>
      </w:pPr>
      <w:r w:rsidRPr="00867EB6">
        <w:rPr>
          <w:lang w:val="fr-FR"/>
        </w:rPr>
        <w:tab/>
        <w:t>VII.</w:t>
      </w:r>
      <w:r w:rsidRPr="00867EB6">
        <w:rPr>
          <w:lang w:val="fr-FR"/>
        </w:rPr>
        <w:tab/>
        <w:t>Rapports des groupes de travail informels</w:t>
      </w:r>
      <w:r>
        <w:rPr>
          <w:lang w:val="fr-FR"/>
        </w:rPr>
        <w:t xml:space="preserve"> </w:t>
      </w:r>
      <w:r w:rsidR="00CE55D0">
        <w:rPr>
          <w:lang w:val="fr-FR"/>
        </w:rPr>
        <w:br/>
      </w:r>
      <w:r w:rsidRPr="00867EB6">
        <w:rPr>
          <w:lang w:val="fr-FR"/>
        </w:rPr>
        <w:t>(point 6 de l</w:t>
      </w:r>
      <w:r>
        <w:rPr>
          <w:lang w:val="fr-FR"/>
        </w:rPr>
        <w:t>’</w:t>
      </w:r>
      <w:r w:rsidRPr="00867EB6">
        <w:rPr>
          <w:lang w:val="fr-FR"/>
        </w:rPr>
        <w:t>ordre du jour)</w:t>
      </w:r>
      <w:bookmarkStart w:id="58" w:name="_Toc505688452"/>
      <w:bookmarkEnd w:id="58"/>
    </w:p>
    <w:p w:rsidR="00F77ECC" w:rsidRPr="00867EB6" w:rsidRDefault="00F77ECC" w:rsidP="00CE55D0">
      <w:pPr>
        <w:pStyle w:val="H1G"/>
        <w:rPr>
          <w:lang w:val="fr-FR"/>
        </w:rPr>
      </w:pPr>
      <w:r w:rsidRPr="00867EB6">
        <w:rPr>
          <w:lang w:val="fr-FR"/>
        </w:rPr>
        <w:tab/>
        <w:t>A.</w:t>
      </w:r>
      <w:r w:rsidRPr="00867EB6">
        <w:rPr>
          <w:lang w:val="fr-FR"/>
        </w:rPr>
        <w:tab/>
        <w:t>Rapport de la première réunion du groupe de travail informel</w:t>
      </w:r>
      <w:r>
        <w:rPr>
          <w:lang w:val="fr-FR"/>
        </w:rPr>
        <w:t xml:space="preserve"> </w:t>
      </w:r>
      <w:r w:rsidR="00CE55D0">
        <w:rPr>
          <w:lang w:val="fr-FR"/>
        </w:rPr>
        <w:br/>
      </w:r>
      <w:r w:rsidRPr="00867EB6">
        <w:rPr>
          <w:lang w:val="fr-FR"/>
        </w:rPr>
        <w:t>du mélange de cargaisons à bord des barges</w:t>
      </w:r>
      <w:bookmarkStart w:id="59" w:name="_Toc505688453"/>
      <w:bookmarkEnd w:id="59"/>
    </w:p>
    <w:p w:rsidR="00F77ECC" w:rsidRPr="00867EB6" w:rsidRDefault="00F77ECC" w:rsidP="00365A38">
      <w:pPr>
        <w:pStyle w:val="SingleTxtG"/>
        <w:tabs>
          <w:tab w:val="left" w:pos="3119"/>
        </w:tabs>
        <w:ind w:left="3119" w:hanging="1985"/>
        <w:jc w:val="left"/>
        <w:rPr>
          <w:lang w:val="fr-FR"/>
        </w:rPr>
      </w:pPr>
      <w:r w:rsidRPr="00867EB6">
        <w:rPr>
          <w:i/>
          <w:lang w:val="fr-FR"/>
        </w:rPr>
        <w:t>Document informel</w:t>
      </w:r>
      <w:r w:rsidR="00CE55D0">
        <w:rPr>
          <w:i/>
          <w:lang w:val="fr-FR"/>
        </w:rPr>
        <w:t> </w:t>
      </w:r>
      <w:r>
        <w:rPr>
          <w:lang w:val="fr-FR"/>
        </w:rPr>
        <w:t>:</w:t>
      </w:r>
      <w:r w:rsidR="00CE55D0">
        <w:rPr>
          <w:lang w:val="fr-FR"/>
        </w:rPr>
        <w:t xml:space="preserve"> </w:t>
      </w:r>
      <w:r w:rsidR="00CE55D0">
        <w:rPr>
          <w:lang w:val="fr-FR"/>
        </w:rPr>
        <w:tab/>
      </w:r>
      <w:r w:rsidRPr="00867EB6">
        <w:rPr>
          <w:lang w:val="fr-FR"/>
        </w:rPr>
        <w:t>INF.9 (FETSA).</w:t>
      </w:r>
    </w:p>
    <w:p w:rsidR="00F77ECC" w:rsidRPr="00867EB6" w:rsidRDefault="00F77ECC" w:rsidP="00CE55D0">
      <w:pPr>
        <w:pStyle w:val="SingleTxtG"/>
        <w:rPr>
          <w:lang w:val="fr-FR"/>
        </w:rPr>
      </w:pPr>
      <w:r w:rsidRPr="00867EB6">
        <w:rPr>
          <w:lang w:val="fr-FR"/>
        </w:rPr>
        <w:t>77.</w:t>
      </w:r>
      <w:r w:rsidRPr="00867EB6">
        <w:rPr>
          <w:lang w:val="fr-FR"/>
        </w:rPr>
        <w:tab/>
        <w:t>Le Comité de sécurité a souligné que l</w:t>
      </w:r>
      <w:r>
        <w:rPr>
          <w:lang w:val="fr-FR"/>
        </w:rPr>
        <w:t>’</w:t>
      </w:r>
      <w:r w:rsidRPr="00867EB6">
        <w:rPr>
          <w:lang w:val="fr-FR"/>
        </w:rPr>
        <w:t>absence de dispositions, dans l</w:t>
      </w:r>
      <w:r>
        <w:rPr>
          <w:lang w:val="fr-FR"/>
        </w:rPr>
        <w:t>’</w:t>
      </w:r>
      <w:r w:rsidRPr="00867EB6">
        <w:rPr>
          <w:lang w:val="fr-FR"/>
        </w:rPr>
        <w:t>ADN, concernant le chargement d</w:t>
      </w:r>
      <w:r>
        <w:rPr>
          <w:lang w:val="fr-FR"/>
        </w:rPr>
        <w:t>’</w:t>
      </w:r>
      <w:r w:rsidRPr="00867EB6">
        <w:rPr>
          <w:lang w:val="fr-FR"/>
        </w:rPr>
        <w:t>une matière en sus d</w:t>
      </w:r>
      <w:r>
        <w:rPr>
          <w:lang w:val="fr-FR"/>
        </w:rPr>
        <w:t>’</w:t>
      </w:r>
      <w:r w:rsidRPr="00867EB6">
        <w:rPr>
          <w:lang w:val="fr-FR"/>
        </w:rPr>
        <w:t>un premier chargement n</w:t>
      </w:r>
      <w:r>
        <w:rPr>
          <w:lang w:val="fr-FR"/>
        </w:rPr>
        <w:t>’</w:t>
      </w:r>
      <w:r w:rsidRPr="00867EB6">
        <w:rPr>
          <w:lang w:val="fr-FR"/>
        </w:rPr>
        <w:t>impliquait pas que cette pratique était autorisée.</w:t>
      </w:r>
    </w:p>
    <w:p w:rsidR="00F77ECC" w:rsidRPr="00867EB6" w:rsidRDefault="00F77ECC" w:rsidP="00CE55D0">
      <w:pPr>
        <w:pStyle w:val="SingleTxtG"/>
        <w:rPr>
          <w:lang w:val="fr-FR"/>
        </w:rPr>
      </w:pPr>
      <w:r w:rsidRPr="00867EB6">
        <w:rPr>
          <w:lang w:val="fr-FR"/>
        </w:rPr>
        <w:t>78.</w:t>
      </w:r>
      <w:r w:rsidRPr="00867EB6">
        <w:rPr>
          <w:lang w:val="fr-FR"/>
        </w:rPr>
        <w:tab/>
        <w:t>Certaines délégations ont fait valoir que, puisque l</w:t>
      </w:r>
      <w:r>
        <w:rPr>
          <w:lang w:val="fr-FR"/>
        </w:rPr>
        <w:t>’</w:t>
      </w:r>
      <w:r w:rsidRPr="00867EB6">
        <w:rPr>
          <w:lang w:val="fr-FR"/>
        </w:rPr>
        <w:t>ADN portait sur le transport des marchandises dangereuses, les opérations de mélange à bord des bateaux ne relevaient pas de l</w:t>
      </w:r>
      <w:r>
        <w:rPr>
          <w:lang w:val="fr-FR"/>
        </w:rPr>
        <w:t>’</w:t>
      </w:r>
      <w:r w:rsidRPr="00867EB6">
        <w:rPr>
          <w:lang w:val="fr-FR"/>
        </w:rPr>
        <w:t>Accord et devraient être menées à l</w:t>
      </w:r>
      <w:r>
        <w:rPr>
          <w:lang w:val="fr-FR"/>
        </w:rPr>
        <w:t>’</w:t>
      </w:r>
      <w:r w:rsidRPr="00867EB6">
        <w:rPr>
          <w:lang w:val="fr-FR"/>
        </w:rPr>
        <w:t>extérieur du bateau (par exemple à terre, dans un site de stockage), auquel cas elles entreraient dans le champ d</w:t>
      </w:r>
      <w:r>
        <w:rPr>
          <w:lang w:val="fr-FR"/>
        </w:rPr>
        <w:t>’</w:t>
      </w:r>
      <w:r w:rsidRPr="00867EB6">
        <w:rPr>
          <w:lang w:val="fr-FR"/>
        </w:rPr>
        <w:t>application d</w:t>
      </w:r>
      <w:r>
        <w:rPr>
          <w:lang w:val="fr-FR"/>
        </w:rPr>
        <w:t>’</w:t>
      </w:r>
      <w:r w:rsidRPr="00867EB6">
        <w:rPr>
          <w:lang w:val="fr-FR"/>
        </w:rPr>
        <w:t>autres règlements (par exemple, la Directive Seveso). Elles ont soulevé un certain nombre de questions, par exemple celles de savoir comment la classe des mélanges ainsi obtenus pourrait être déterminée à bord et qui serait chargé de fixer les conditions de transport applicables et d</w:t>
      </w:r>
      <w:r>
        <w:rPr>
          <w:lang w:val="fr-FR"/>
        </w:rPr>
        <w:t>’</w:t>
      </w:r>
      <w:r w:rsidRPr="00867EB6">
        <w:rPr>
          <w:lang w:val="fr-FR"/>
        </w:rPr>
        <w:t>établir les documents de transport.</w:t>
      </w:r>
    </w:p>
    <w:p w:rsidR="00F77ECC" w:rsidRPr="00867EB6" w:rsidRDefault="00F77ECC" w:rsidP="00CE55D0">
      <w:pPr>
        <w:pStyle w:val="SingleTxtG"/>
        <w:rPr>
          <w:lang w:val="fr-FR"/>
        </w:rPr>
      </w:pPr>
      <w:r w:rsidRPr="00867EB6">
        <w:rPr>
          <w:lang w:val="fr-FR"/>
        </w:rPr>
        <w:t>79.</w:t>
      </w:r>
      <w:r w:rsidRPr="00867EB6">
        <w:rPr>
          <w:lang w:val="fr-FR"/>
        </w:rPr>
        <w:tab/>
        <w:t>Le Comité de sécurité a pris note des informations et des explications fournies par le représentant de la FETSA, mais n</w:t>
      </w:r>
      <w:r>
        <w:rPr>
          <w:lang w:val="fr-FR"/>
        </w:rPr>
        <w:t>’</w:t>
      </w:r>
      <w:r w:rsidRPr="00867EB6">
        <w:rPr>
          <w:lang w:val="fr-FR"/>
        </w:rPr>
        <w:t xml:space="preserve">a pas souhaité accorder une dérogation générale à toutes les matières transportées sous un même numéro ONU aux fins du mélange de cargaisons à bord de barges. </w:t>
      </w:r>
    </w:p>
    <w:p w:rsidR="00F77ECC" w:rsidRPr="00867EB6" w:rsidRDefault="00F77ECC" w:rsidP="00CE55D0">
      <w:pPr>
        <w:pStyle w:val="SingleTxtG"/>
        <w:rPr>
          <w:lang w:val="fr-FR"/>
        </w:rPr>
      </w:pPr>
      <w:r w:rsidRPr="00867EB6">
        <w:rPr>
          <w:lang w:val="fr-FR"/>
        </w:rPr>
        <w:t>80.</w:t>
      </w:r>
      <w:r w:rsidRPr="00867EB6">
        <w:rPr>
          <w:lang w:val="fr-FR"/>
        </w:rPr>
        <w:tab/>
        <w:t>Notant également que ce type de chargement n</w:t>
      </w:r>
      <w:r>
        <w:rPr>
          <w:lang w:val="fr-FR"/>
        </w:rPr>
        <w:t>’</w:t>
      </w:r>
      <w:r w:rsidRPr="00867EB6">
        <w:rPr>
          <w:lang w:val="fr-FR"/>
        </w:rPr>
        <w:t>était autorisé en transport maritime que pour un nombre restreint de matières, il a estimé qu</w:t>
      </w:r>
      <w:r>
        <w:rPr>
          <w:lang w:val="fr-FR"/>
        </w:rPr>
        <w:t>’</w:t>
      </w:r>
      <w:r w:rsidRPr="00867EB6">
        <w:rPr>
          <w:lang w:val="fr-FR"/>
        </w:rPr>
        <w:t>il devrait en être de même si des dispositions analogues étaient élaborées pour l</w:t>
      </w:r>
      <w:r>
        <w:rPr>
          <w:lang w:val="fr-FR"/>
        </w:rPr>
        <w:t>’</w:t>
      </w:r>
      <w:r w:rsidRPr="00867EB6">
        <w:rPr>
          <w:lang w:val="fr-FR"/>
        </w:rPr>
        <w:t xml:space="preserve">ADN. </w:t>
      </w:r>
    </w:p>
    <w:p w:rsidR="00F77ECC" w:rsidRPr="00867EB6" w:rsidRDefault="00F77ECC" w:rsidP="00CE55D0">
      <w:pPr>
        <w:pStyle w:val="SingleTxtG"/>
        <w:rPr>
          <w:lang w:val="fr-FR"/>
        </w:rPr>
      </w:pPr>
      <w:r w:rsidRPr="00867EB6">
        <w:rPr>
          <w:lang w:val="fr-FR"/>
        </w:rPr>
        <w:t>81.</w:t>
      </w:r>
      <w:r w:rsidRPr="00867EB6">
        <w:rPr>
          <w:lang w:val="fr-FR"/>
        </w:rPr>
        <w:tab/>
        <w:t>Le Comité de sécurité a prié le groupe de travail informel d</w:t>
      </w:r>
      <w:r>
        <w:rPr>
          <w:lang w:val="fr-FR"/>
        </w:rPr>
        <w:t>’</w:t>
      </w:r>
      <w:r w:rsidRPr="00867EB6">
        <w:rPr>
          <w:lang w:val="fr-FR"/>
        </w:rPr>
        <w:t>établir une liste précise des numéros ONU (c</w:t>
      </w:r>
      <w:r>
        <w:rPr>
          <w:lang w:val="fr-FR"/>
        </w:rPr>
        <w:t>’</w:t>
      </w:r>
      <w:r w:rsidRPr="00867EB6">
        <w:rPr>
          <w:lang w:val="fr-FR"/>
        </w:rPr>
        <w:t>est-à-dire des matières ou groupes de matières) à étudier et de réunir des informations sur la réglementation existante concernant le mélange de cargaisons (y</w:t>
      </w:r>
      <w:r w:rsidR="00CE55D0">
        <w:rPr>
          <w:lang w:val="fr-FR"/>
        </w:rPr>
        <w:t> </w:t>
      </w:r>
      <w:r w:rsidRPr="00867EB6">
        <w:rPr>
          <w:lang w:val="fr-FR"/>
        </w:rPr>
        <w:t>compris la classification des mélanges, les conditions de transport, etc.). Il a invité le groupe de travail informel à lui soumettre ces informations dans un document officiel pour une prochaine session et a encouragé toutes les parties intéressées à participer à ces travaux.</w:t>
      </w:r>
    </w:p>
    <w:p w:rsidR="00F77ECC" w:rsidRPr="00867EB6" w:rsidRDefault="00F77ECC" w:rsidP="00CE55D0">
      <w:pPr>
        <w:pStyle w:val="H1G"/>
        <w:rPr>
          <w:lang w:val="fr-FR"/>
        </w:rPr>
      </w:pPr>
      <w:r w:rsidRPr="00867EB6">
        <w:rPr>
          <w:lang w:val="fr-FR"/>
        </w:rPr>
        <w:tab/>
        <w:t>B.</w:t>
      </w:r>
      <w:r w:rsidRPr="00867EB6">
        <w:rPr>
          <w:lang w:val="fr-FR"/>
        </w:rPr>
        <w:tab/>
        <w:t xml:space="preserve">Quatorzième réunion du groupe de travail informel des sociétés </w:t>
      </w:r>
      <w:r w:rsidR="00CE55D0">
        <w:rPr>
          <w:lang w:val="fr-FR"/>
        </w:rPr>
        <w:br/>
      </w:r>
      <w:r w:rsidRPr="00867EB6">
        <w:rPr>
          <w:lang w:val="fr-FR"/>
        </w:rPr>
        <w:t>de classification recommandées ADN</w:t>
      </w:r>
      <w:bookmarkStart w:id="60" w:name="_Toc505688454"/>
      <w:bookmarkEnd w:id="60"/>
    </w:p>
    <w:p w:rsidR="00F77ECC" w:rsidRPr="00867EB6" w:rsidRDefault="00F77ECC" w:rsidP="00365A38">
      <w:pPr>
        <w:pStyle w:val="SingleTxtG"/>
        <w:tabs>
          <w:tab w:val="left" w:pos="3119"/>
        </w:tabs>
        <w:ind w:left="3119" w:hanging="1985"/>
        <w:jc w:val="left"/>
        <w:rPr>
          <w:lang w:val="fr-FR"/>
        </w:rPr>
      </w:pPr>
      <w:r w:rsidRPr="00867EB6">
        <w:rPr>
          <w:i/>
          <w:lang w:val="fr-FR"/>
        </w:rPr>
        <w:t>Document informel</w:t>
      </w:r>
      <w:r w:rsidR="00CE55D0">
        <w:rPr>
          <w:i/>
          <w:lang w:val="fr-FR"/>
        </w:rPr>
        <w:t> </w:t>
      </w:r>
      <w:r>
        <w:rPr>
          <w:lang w:val="fr-FR"/>
        </w:rPr>
        <w:t>:</w:t>
      </w:r>
      <w:r w:rsidR="00CE55D0">
        <w:rPr>
          <w:lang w:val="fr-FR"/>
        </w:rPr>
        <w:tab/>
      </w:r>
      <w:r w:rsidRPr="00867EB6">
        <w:rPr>
          <w:lang w:val="fr-FR"/>
        </w:rPr>
        <w:t>INF.12 (sociétés de classification recommandées ADN).</w:t>
      </w:r>
    </w:p>
    <w:p w:rsidR="00F77ECC" w:rsidRPr="00867EB6" w:rsidRDefault="00F77ECC" w:rsidP="00CE55D0">
      <w:pPr>
        <w:pStyle w:val="SingleTxtG"/>
        <w:rPr>
          <w:lang w:val="fr-FR"/>
        </w:rPr>
      </w:pPr>
      <w:r w:rsidRPr="00867EB6">
        <w:rPr>
          <w:lang w:val="fr-FR"/>
        </w:rPr>
        <w:t>82.</w:t>
      </w:r>
      <w:r w:rsidRPr="00867EB6">
        <w:rPr>
          <w:lang w:val="fr-FR"/>
        </w:rPr>
        <w:tab/>
        <w:t>Faute de temps, le Comité de sécurité n</w:t>
      </w:r>
      <w:r>
        <w:rPr>
          <w:lang w:val="fr-FR"/>
        </w:rPr>
        <w:t>’</w:t>
      </w:r>
      <w:r w:rsidRPr="00867EB6">
        <w:rPr>
          <w:lang w:val="fr-FR"/>
        </w:rPr>
        <w:t>a pas examiné le document ci-dessus.</w:t>
      </w:r>
    </w:p>
    <w:p w:rsidR="00F77ECC" w:rsidRPr="00867EB6" w:rsidRDefault="00F77ECC" w:rsidP="00CE55D0">
      <w:pPr>
        <w:pStyle w:val="HChG"/>
        <w:rPr>
          <w:lang w:val="fr-FR"/>
        </w:rPr>
      </w:pPr>
      <w:r w:rsidRPr="00867EB6">
        <w:rPr>
          <w:lang w:val="fr-FR"/>
        </w:rPr>
        <w:tab/>
        <w:t>VIII.</w:t>
      </w:r>
      <w:r w:rsidRPr="00867EB6">
        <w:rPr>
          <w:lang w:val="fr-FR"/>
        </w:rPr>
        <w:tab/>
        <w:t>Programme de travail et calendrier des réunions</w:t>
      </w:r>
      <w:r>
        <w:rPr>
          <w:lang w:val="fr-FR"/>
        </w:rPr>
        <w:t xml:space="preserve"> </w:t>
      </w:r>
      <w:r w:rsidR="00CE55D0">
        <w:rPr>
          <w:lang w:val="fr-FR"/>
        </w:rPr>
        <w:br/>
      </w:r>
      <w:r w:rsidRPr="00867EB6">
        <w:rPr>
          <w:lang w:val="fr-FR"/>
        </w:rPr>
        <w:t>(point 7 de l</w:t>
      </w:r>
      <w:r>
        <w:rPr>
          <w:lang w:val="fr-FR"/>
        </w:rPr>
        <w:t>’</w:t>
      </w:r>
      <w:r w:rsidR="008674EC">
        <w:rPr>
          <w:lang w:val="fr-FR"/>
        </w:rPr>
        <w:t>ordre du</w:t>
      </w:r>
      <w:r w:rsidRPr="00867EB6">
        <w:rPr>
          <w:lang w:val="fr-FR"/>
        </w:rPr>
        <w:t xml:space="preserve"> jour)</w:t>
      </w:r>
      <w:bookmarkStart w:id="61" w:name="_Toc505688455"/>
      <w:bookmarkEnd w:id="61"/>
    </w:p>
    <w:p w:rsidR="00F77ECC" w:rsidRPr="00867EB6" w:rsidRDefault="00F77ECC" w:rsidP="00CE55D0">
      <w:pPr>
        <w:pStyle w:val="SingleTxtG"/>
        <w:rPr>
          <w:lang w:val="fr-FR"/>
        </w:rPr>
      </w:pPr>
      <w:r w:rsidRPr="00867EB6">
        <w:rPr>
          <w:lang w:val="fr-FR"/>
        </w:rPr>
        <w:t>83.</w:t>
      </w:r>
      <w:r w:rsidRPr="00867EB6">
        <w:rPr>
          <w:lang w:val="fr-FR"/>
        </w:rPr>
        <w:tab/>
        <w:t>Le Comité de sécurité a noté que sa prochaine session se tiendrait à Genève du 27 au 31</w:t>
      </w:r>
      <w:r w:rsidR="00CE55D0">
        <w:rPr>
          <w:lang w:val="fr-FR"/>
        </w:rPr>
        <w:t> </w:t>
      </w:r>
      <w:r w:rsidRPr="00867EB6">
        <w:rPr>
          <w:lang w:val="fr-FR"/>
        </w:rPr>
        <w:t>août 2018 et que la vingt et unième session du Comité d</w:t>
      </w:r>
      <w:r>
        <w:rPr>
          <w:lang w:val="fr-FR"/>
        </w:rPr>
        <w:t>’</w:t>
      </w:r>
      <w:r w:rsidRPr="00867EB6">
        <w:rPr>
          <w:lang w:val="fr-FR"/>
        </w:rPr>
        <w:t>administration de l</w:t>
      </w:r>
      <w:r>
        <w:rPr>
          <w:lang w:val="fr-FR"/>
        </w:rPr>
        <w:t>’</w:t>
      </w:r>
      <w:r w:rsidRPr="00867EB6">
        <w:rPr>
          <w:lang w:val="fr-FR"/>
        </w:rPr>
        <w:t>ADN devrait avoir lieu le 31</w:t>
      </w:r>
      <w:r w:rsidR="00CE55D0">
        <w:rPr>
          <w:lang w:val="fr-FR"/>
        </w:rPr>
        <w:t> </w:t>
      </w:r>
      <w:r w:rsidRPr="00867EB6">
        <w:rPr>
          <w:lang w:val="fr-FR"/>
        </w:rPr>
        <w:t>août 2018. La date limite de soumission des documents pour ces réunions a été fixée au 1</w:t>
      </w:r>
      <w:r w:rsidRPr="00867EB6">
        <w:rPr>
          <w:vertAlign w:val="superscript"/>
          <w:lang w:val="fr-FR"/>
        </w:rPr>
        <w:t>er</w:t>
      </w:r>
      <w:r w:rsidR="00CE55D0">
        <w:rPr>
          <w:lang w:val="fr-FR"/>
        </w:rPr>
        <w:t> </w:t>
      </w:r>
      <w:r w:rsidRPr="00867EB6">
        <w:rPr>
          <w:lang w:val="fr-FR"/>
        </w:rPr>
        <w:t>juin 2018.</w:t>
      </w:r>
    </w:p>
    <w:p w:rsidR="00F77ECC" w:rsidRPr="00867EB6" w:rsidRDefault="00F77ECC" w:rsidP="00CE55D0">
      <w:pPr>
        <w:pStyle w:val="SingleTxtG"/>
        <w:rPr>
          <w:lang w:val="fr-FR"/>
        </w:rPr>
      </w:pPr>
      <w:r w:rsidRPr="00867EB6">
        <w:rPr>
          <w:lang w:val="fr-FR"/>
        </w:rPr>
        <w:t>84.</w:t>
      </w:r>
      <w:r w:rsidRPr="00867EB6">
        <w:rPr>
          <w:lang w:val="fr-FR"/>
        </w:rPr>
        <w:tab/>
        <w:t>Il a été rappelé qu</w:t>
      </w:r>
      <w:r>
        <w:rPr>
          <w:lang w:val="fr-FR"/>
        </w:rPr>
        <w:t>’</w:t>
      </w:r>
      <w:r w:rsidRPr="00867EB6">
        <w:rPr>
          <w:lang w:val="fr-FR"/>
        </w:rPr>
        <w:t>à sa trente-troisième session, le Comité de sécurité examinerait uniquement, pour adoption et entrée en vigueur le 1</w:t>
      </w:r>
      <w:r w:rsidRPr="00867EB6">
        <w:rPr>
          <w:vertAlign w:val="superscript"/>
          <w:lang w:val="fr-FR"/>
        </w:rPr>
        <w:t>er</w:t>
      </w:r>
      <w:r w:rsidR="00CE55D0">
        <w:rPr>
          <w:lang w:val="fr-FR"/>
        </w:rPr>
        <w:t> </w:t>
      </w:r>
      <w:r w:rsidRPr="00867EB6">
        <w:rPr>
          <w:lang w:val="fr-FR"/>
        </w:rPr>
        <w:t>janvier 2019, les corrections aux textes déjà adoptés et les propositions visant à assurer l</w:t>
      </w:r>
      <w:r>
        <w:rPr>
          <w:lang w:val="fr-FR"/>
        </w:rPr>
        <w:t>’</w:t>
      </w:r>
      <w:r w:rsidRPr="00867EB6">
        <w:rPr>
          <w:lang w:val="fr-FR"/>
        </w:rPr>
        <w:t>harmonisation avec les dispositions des éditions 2019 du RID et de l</w:t>
      </w:r>
      <w:r>
        <w:rPr>
          <w:lang w:val="fr-FR"/>
        </w:rPr>
        <w:t>’</w:t>
      </w:r>
      <w:r w:rsidRPr="00867EB6">
        <w:rPr>
          <w:lang w:val="fr-FR"/>
        </w:rPr>
        <w:t>ADR. Toutes les autres propositions d</w:t>
      </w:r>
      <w:r>
        <w:rPr>
          <w:lang w:val="fr-FR"/>
        </w:rPr>
        <w:t>’</w:t>
      </w:r>
      <w:r w:rsidRPr="00867EB6">
        <w:rPr>
          <w:lang w:val="fr-FR"/>
        </w:rPr>
        <w:t>amendements soumises à cette session seraient examinées en vue de leur entrée en vigueur le 1</w:t>
      </w:r>
      <w:r w:rsidRPr="00867EB6">
        <w:rPr>
          <w:vertAlign w:val="superscript"/>
          <w:lang w:val="fr-FR"/>
        </w:rPr>
        <w:t>er</w:t>
      </w:r>
      <w:r w:rsidR="00CE55D0">
        <w:rPr>
          <w:lang w:val="fr-FR"/>
        </w:rPr>
        <w:t> </w:t>
      </w:r>
      <w:r w:rsidRPr="00867EB6">
        <w:rPr>
          <w:lang w:val="fr-FR"/>
        </w:rPr>
        <w:t>janvier 2021.</w:t>
      </w:r>
    </w:p>
    <w:p w:rsidR="00F77ECC" w:rsidRPr="00867EB6" w:rsidRDefault="00F77ECC" w:rsidP="00CE55D0">
      <w:pPr>
        <w:pStyle w:val="HChG"/>
        <w:rPr>
          <w:lang w:val="fr-FR"/>
        </w:rPr>
      </w:pPr>
      <w:r w:rsidRPr="00867EB6">
        <w:rPr>
          <w:lang w:val="fr-FR"/>
        </w:rPr>
        <w:tab/>
        <w:t>IX.</w:t>
      </w:r>
      <w:r w:rsidRPr="00867EB6">
        <w:rPr>
          <w:lang w:val="fr-FR"/>
        </w:rPr>
        <w:tab/>
        <w:t>Questions diverses (point 8 de l</w:t>
      </w:r>
      <w:r>
        <w:rPr>
          <w:lang w:val="fr-FR"/>
        </w:rPr>
        <w:t>’</w:t>
      </w:r>
      <w:r w:rsidRPr="00867EB6">
        <w:rPr>
          <w:lang w:val="fr-FR"/>
        </w:rPr>
        <w:t>ordre du jour)</w:t>
      </w:r>
      <w:bookmarkStart w:id="62" w:name="_Toc505688456"/>
      <w:bookmarkEnd w:id="62"/>
    </w:p>
    <w:p w:rsidR="00F77ECC" w:rsidRPr="00867EB6" w:rsidRDefault="00F77ECC" w:rsidP="00CE55D0">
      <w:pPr>
        <w:pStyle w:val="SingleTxtG"/>
        <w:rPr>
          <w:lang w:val="fr-FR"/>
        </w:rPr>
      </w:pPr>
      <w:r w:rsidRPr="00867EB6">
        <w:rPr>
          <w:lang w:val="fr-FR"/>
        </w:rPr>
        <w:t>85.</w:t>
      </w:r>
      <w:r w:rsidRPr="00867EB6">
        <w:rPr>
          <w:lang w:val="fr-FR"/>
        </w:rPr>
        <w:tab/>
        <w:t>Aucune question n</w:t>
      </w:r>
      <w:r>
        <w:rPr>
          <w:lang w:val="fr-FR"/>
        </w:rPr>
        <w:t>’</w:t>
      </w:r>
      <w:r w:rsidRPr="00867EB6">
        <w:rPr>
          <w:lang w:val="fr-FR"/>
        </w:rPr>
        <w:t>a été soulevée au titre de ce point de l</w:t>
      </w:r>
      <w:r>
        <w:rPr>
          <w:lang w:val="fr-FR"/>
        </w:rPr>
        <w:t>’</w:t>
      </w:r>
      <w:r w:rsidRPr="00867EB6">
        <w:rPr>
          <w:lang w:val="fr-FR"/>
        </w:rPr>
        <w:t xml:space="preserve">ordre du jour. </w:t>
      </w:r>
    </w:p>
    <w:p w:rsidR="00F77ECC" w:rsidRPr="00867EB6" w:rsidRDefault="00F77ECC" w:rsidP="00CE55D0">
      <w:pPr>
        <w:pStyle w:val="HChG"/>
        <w:rPr>
          <w:lang w:val="fr-FR"/>
        </w:rPr>
      </w:pPr>
      <w:r w:rsidRPr="00867EB6">
        <w:rPr>
          <w:lang w:val="fr-FR"/>
        </w:rPr>
        <w:tab/>
        <w:t>X.</w:t>
      </w:r>
      <w:r w:rsidRPr="00867EB6">
        <w:rPr>
          <w:lang w:val="fr-FR"/>
        </w:rPr>
        <w:tab/>
        <w:t>Adoption du rapport (point 9 de l</w:t>
      </w:r>
      <w:r>
        <w:rPr>
          <w:lang w:val="fr-FR"/>
        </w:rPr>
        <w:t>’</w:t>
      </w:r>
      <w:r w:rsidRPr="00867EB6">
        <w:rPr>
          <w:lang w:val="fr-FR"/>
        </w:rPr>
        <w:t>ordre du jour)</w:t>
      </w:r>
      <w:bookmarkStart w:id="63" w:name="_Toc505688457"/>
      <w:bookmarkEnd w:id="63"/>
    </w:p>
    <w:p w:rsidR="00F77ECC" w:rsidRDefault="00F77ECC" w:rsidP="00CE55D0">
      <w:pPr>
        <w:pStyle w:val="SingleTxtG"/>
        <w:rPr>
          <w:lang w:val="fr-FR"/>
        </w:rPr>
      </w:pPr>
      <w:r w:rsidRPr="00867EB6">
        <w:rPr>
          <w:lang w:val="fr-FR"/>
        </w:rPr>
        <w:t>86.</w:t>
      </w:r>
      <w:r w:rsidRPr="00867EB6">
        <w:rPr>
          <w:lang w:val="fr-FR"/>
        </w:rPr>
        <w:tab/>
        <w:t>Le Comité de sécurité a adopté le rapport sur sa trente-deuxième session en se fondant sur un projet établi par le secrétariat.</w:t>
      </w:r>
    </w:p>
    <w:p w:rsidR="00CE55D0" w:rsidRPr="00CE55D0" w:rsidRDefault="00CE55D0" w:rsidP="00CE55D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E55D0" w:rsidRPr="00CE55D0" w:rsidSect="00527F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D5" w:rsidRDefault="007829D5" w:rsidP="00F95C08">
      <w:pPr>
        <w:spacing w:line="240" w:lineRule="auto"/>
      </w:pPr>
    </w:p>
  </w:endnote>
  <w:endnote w:type="continuationSeparator" w:id="0">
    <w:p w:rsidR="007829D5" w:rsidRPr="00AC3823" w:rsidRDefault="007829D5" w:rsidP="00AC3823">
      <w:pPr>
        <w:pStyle w:val="Footer"/>
      </w:pPr>
    </w:p>
  </w:endnote>
  <w:endnote w:type="continuationNotice" w:id="1">
    <w:p w:rsidR="007829D5" w:rsidRDefault="00782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D5" w:rsidRPr="00527FF7" w:rsidRDefault="007829D5" w:rsidP="00527FF7">
    <w:pPr>
      <w:pStyle w:val="Footer"/>
      <w:tabs>
        <w:tab w:val="right" w:pos="9638"/>
      </w:tabs>
    </w:pPr>
    <w:r w:rsidRPr="00527FF7">
      <w:rPr>
        <w:b/>
        <w:sz w:val="18"/>
      </w:rPr>
      <w:fldChar w:fldCharType="begin"/>
    </w:r>
    <w:r w:rsidRPr="00527FF7">
      <w:rPr>
        <w:b/>
        <w:sz w:val="18"/>
      </w:rPr>
      <w:instrText xml:space="preserve"> PAGE  \* MERGEFORMAT </w:instrText>
    </w:r>
    <w:r w:rsidRPr="00527FF7">
      <w:rPr>
        <w:b/>
        <w:sz w:val="18"/>
      </w:rPr>
      <w:fldChar w:fldCharType="separate"/>
    </w:r>
    <w:r w:rsidR="00C85681">
      <w:rPr>
        <w:b/>
        <w:noProof/>
        <w:sz w:val="18"/>
      </w:rPr>
      <w:t>14</w:t>
    </w:r>
    <w:r w:rsidRPr="00527FF7">
      <w:rPr>
        <w:b/>
        <w:sz w:val="18"/>
      </w:rPr>
      <w:fldChar w:fldCharType="end"/>
    </w:r>
    <w:r>
      <w:rPr>
        <w:b/>
        <w:sz w:val="18"/>
      </w:rPr>
      <w:tab/>
    </w:r>
    <w:r>
      <w:t>GE.18-01800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D5" w:rsidRPr="00527FF7" w:rsidRDefault="007829D5" w:rsidP="00527FF7">
    <w:pPr>
      <w:pStyle w:val="Footer"/>
      <w:tabs>
        <w:tab w:val="right" w:pos="9638"/>
      </w:tabs>
      <w:rPr>
        <w:b/>
        <w:sz w:val="18"/>
      </w:rPr>
    </w:pPr>
    <w:r>
      <w:t>GE.18-01800</w:t>
    </w:r>
    <w:r>
      <w:tab/>
    </w:r>
    <w:r w:rsidRPr="00527FF7">
      <w:rPr>
        <w:b/>
        <w:sz w:val="18"/>
      </w:rPr>
      <w:fldChar w:fldCharType="begin"/>
    </w:r>
    <w:r w:rsidRPr="00527FF7">
      <w:rPr>
        <w:b/>
        <w:sz w:val="18"/>
      </w:rPr>
      <w:instrText xml:space="preserve"> PAGE  \* MERGEFORMAT </w:instrText>
    </w:r>
    <w:r w:rsidRPr="00527FF7">
      <w:rPr>
        <w:b/>
        <w:sz w:val="18"/>
      </w:rPr>
      <w:fldChar w:fldCharType="separate"/>
    </w:r>
    <w:r w:rsidR="00C85681">
      <w:rPr>
        <w:b/>
        <w:noProof/>
        <w:sz w:val="18"/>
      </w:rPr>
      <w:t>15</w:t>
    </w:r>
    <w:r w:rsidRPr="00527F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D5" w:rsidRPr="00527FF7" w:rsidRDefault="007829D5" w:rsidP="00527FF7">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18-01800  (F)    210218    270218</w:t>
    </w:r>
    <w:r>
      <w:rPr>
        <w:sz w:val="20"/>
      </w:rPr>
      <w:br/>
    </w:r>
    <w:r w:rsidRPr="00527FF7">
      <w:rPr>
        <w:rFonts w:ascii="C39T30Lfz" w:hAnsi="C39T30Lfz"/>
        <w:sz w:val="56"/>
      </w:rPr>
      <w:t></w:t>
    </w:r>
    <w:r w:rsidRPr="00527FF7">
      <w:rPr>
        <w:rFonts w:ascii="C39T30Lfz" w:hAnsi="C39T30Lfz"/>
        <w:sz w:val="56"/>
      </w:rPr>
      <w:t></w:t>
    </w:r>
    <w:r w:rsidRPr="00527FF7">
      <w:rPr>
        <w:rFonts w:ascii="C39T30Lfz" w:hAnsi="C39T30Lfz"/>
        <w:sz w:val="56"/>
      </w:rPr>
      <w:t></w:t>
    </w:r>
    <w:r w:rsidRPr="00527FF7">
      <w:rPr>
        <w:rFonts w:ascii="C39T30Lfz" w:hAnsi="C39T30Lfz"/>
        <w:sz w:val="56"/>
      </w:rPr>
      <w:t></w:t>
    </w:r>
    <w:r w:rsidRPr="00527FF7">
      <w:rPr>
        <w:rFonts w:ascii="C39T30Lfz" w:hAnsi="C39T30Lfz"/>
        <w:sz w:val="56"/>
      </w:rPr>
      <w:t></w:t>
    </w:r>
    <w:r w:rsidRPr="00527FF7">
      <w:rPr>
        <w:rFonts w:ascii="C39T30Lfz" w:hAnsi="C39T30Lfz"/>
        <w:sz w:val="56"/>
      </w:rPr>
      <w:t></w:t>
    </w:r>
    <w:r w:rsidRPr="00527FF7">
      <w:rPr>
        <w:rFonts w:ascii="C39T30Lfz" w:hAnsi="C39T30Lfz"/>
        <w:sz w:val="56"/>
      </w:rPr>
      <w:t></w:t>
    </w:r>
    <w:r w:rsidRPr="00527FF7">
      <w:rPr>
        <w:rFonts w:ascii="C39T30Lfz" w:hAnsi="C39T30Lfz"/>
        <w:sz w:val="56"/>
      </w:rPr>
      <w:t></w:t>
    </w:r>
    <w:r w:rsidRPr="00527FF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D5" w:rsidRPr="00AC3823" w:rsidRDefault="007829D5" w:rsidP="00AC3823">
      <w:pPr>
        <w:pStyle w:val="Footer"/>
        <w:tabs>
          <w:tab w:val="right" w:pos="2155"/>
        </w:tabs>
        <w:spacing w:after="80" w:line="240" w:lineRule="atLeast"/>
        <w:ind w:left="680"/>
        <w:rPr>
          <w:u w:val="single"/>
        </w:rPr>
      </w:pPr>
      <w:r>
        <w:rPr>
          <w:u w:val="single"/>
        </w:rPr>
        <w:tab/>
      </w:r>
    </w:p>
  </w:footnote>
  <w:footnote w:type="continuationSeparator" w:id="0">
    <w:p w:rsidR="007829D5" w:rsidRPr="00AC3823" w:rsidRDefault="007829D5" w:rsidP="00AC3823">
      <w:pPr>
        <w:pStyle w:val="Footer"/>
        <w:tabs>
          <w:tab w:val="right" w:pos="2155"/>
        </w:tabs>
        <w:spacing w:after="80" w:line="240" w:lineRule="atLeast"/>
        <w:ind w:left="680"/>
        <w:rPr>
          <w:u w:val="single"/>
        </w:rPr>
      </w:pPr>
      <w:r>
        <w:rPr>
          <w:u w:val="single"/>
        </w:rPr>
        <w:tab/>
      </w:r>
    </w:p>
  </w:footnote>
  <w:footnote w:type="continuationNotice" w:id="1">
    <w:p w:rsidR="007829D5" w:rsidRPr="00AC3823" w:rsidRDefault="007829D5">
      <w:pPr>
        <w:spacing w:line="240" w:lineRule="auto"/>
        <w:rPr>
          <w:sz w:val="2"/>
          <w:szCs w:val="2"/>
        </w:rPr>
      </w:pPr>
    </w:p>
  </w:footnote>
  <w:footnote w:id="2">
    <w:p w:rsidR="007829D5" w:rsidRPr="00F31485" w:rsidRDefault="007829D5">
      <w:pPr>
        <w:pStyle w:val="FootnoteText"/>
      </w:pPr>
      <w:r>
        <w:rPr>
          <w:rStyle w:val="FootnoteReference"/>
        </w:rPr>
        <w:tab/>
      </w:r>
      <w:r w:rsidRPr="00F31485">
        <w:rPr>
          <w:rStyle w:val="FootnoteReference"/>
          <w:sz w:val="20"/>
          <w:vertAlign w:val="baseline"/>
        </w:rPr>
        <w:t>*</w:t>
      </w:r>
      <w:r>
        <w:rPr>
          <w:rStyle w:val="FootnoteReference"/>
          <w:sz w:val="20"/>
          <w:vertAlign w:val="baseline"/>
        </w:rPr>
        <w:tab/>
      </w:r>
      <w:r>
        <w:rPr>
          <w:lang w:val="fr-FR"/>
        </w:rPr>
        <w:t>Diffusé en langue allemande par la Commission centrale pour la navigation du Rhin sous la cote CCNR/ZKR/ADN/WP.15/AC.2/66.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D5" w:rsidRPr="00527FF7" w:rsidRDefault="00402729">
    <w:pPr>
      <w:pStyle w:val="Header"/>
    </w:pPr>
    <w:r>
      <w:fldChar w:fldCharType="begin"/>
    </w:r>
    <w:r>
      <w:instrText xml:space="preserve"> TITLE  \* MERGEFORMAT </w:instrText>
    </w:r>
    <w:r>
      <w:fldChar w:fldCharType="separate"/>
    </w:r>
    <w:r w:rsidR="00EC3F69">
      <w:t>ECE/TRANS/WP.15/AC.2/66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D5" w:rsidRPr="00527FF7" w:rsidRDefault="00402729" w:rsidP="00527FF7">
    <w:pPr>
      <w:pStyle w:val="Header"/>
      <w:jc w:val="right"/>
    </w:pPr>
    <w:r>
      <w:fldChar w:fldCharType="begin"/>
    </w:r>
    <w:r>
      <w:instrText xml:space="preserve"> TITLE  \* MERGEFORMAT </w:instrText>
    </w:r>
    <w:r>
      <w:fldChar w:fldCharType="separate"/>
    </w:r>
    <w:r w:rsidR="00EC3F69">
      <w:t>ECE/TRANS/WP.15/AC.2/66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5"/>
  </w:num>
  <w:num w:numId="18">
    <w:abstractNumId w:val="13"/>
  </w:num>
  <w:num w:numId="19">
    <w:abstractNumId w:val="11"/>
  </w:num>
  <w:num w:numId="20">
    <w:abstractNumId w:val="17"/>
  </w:num>
  <w:num w:numId="21">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E4D"/>
    <w:rsid w:val="00017F94"/>
    <w:rsid w:val="00023842"/>
    <w:rsid w:val="000334F9"/>
    <w:rsid w:val="00045FEB"/>
    <w:rsid w:val="00074BDF"/>
    <w:rsid w:val="0007796D"/>
    <w:rsid w:val="000A0F89"/>
    <w:rsid w:val="000A40F4"/>
    <w:rsid w:val="000B7790"/>
    <w:rsid w:val="000E21A9"/>
    <w:rsid w:val="000F2B09"/>
    <w:rsid w:val="00111F2F"/>
    <w:rsid w:val="00112211"/>
    <w:rsid w:val="0014365E"/>
    <w:rsid w:val="00143C66"/>
    <w:rsid w:val="00176178"/>
    <w:rsid w:val="001E430F"/>
    <w:rsid w:val="001F525A"/>
    <w:rsid w:val="00223272"/>
    <w:rsid w:val="0024779E"/>
    <w:rsid w:val="00257168"/>
    <w:rsid w:val="0026692D"/>
    <w:rsid w:val="002744B8"/>
    <w:rsid w:val="002832AC"/>
    <w:rsid w:val="002C60A4"/>
    <w:rsid w:val="002D7C93"/>
    <w:rsid w:val="00305801"/>
    <w:rsid w:val="003139AA"/>
    <w:rsid w:val="00355C20"/>
    <w:rsid w:val="00365A38"/>
    <w:rsid w:val="00391361"/>
    <w:rsid w:val="003916DE"/>
    <w:rsid w:val="00402729"/>
    <w:rsid w:val="00441C3B"/>
    <w:rsid w:val="00446FE5"/>
    <w:rsid w:val="00452396"/>
    <w:rsid w:val="004837D8"/>
    <w:rsid w:val="004D402B"/>
    <w:rsid w:val="004E17B7"/>
    <w:rsid w:val="004E468C"/>
    <w:rsid w:val="004F3064"/>
    <w:rsid w:val="00527FF7"/>
    <w:rsid w:val="005505B7"/>
    <w:rsid w:val="00573BE5"/>
    <w:rsid w:val="00586ED3"/>
    <w:rsid w:val="00596AA9"/>
    <w:rsid w:val="005E097B"/>
    <w:rsid w:val="00687193"/>
    <w:rsid w:val="0071601D"/>
    <w:rsid w:val="007618EC"/>
    <w:rsid w:val="007829D5"/>
    <w:rsid w:val="00787E4D"/>
    <w:rsid w:val="007A62E6"/>
    <w:rsid w:val="007F20FA"/>
    <w:rsid w:val="0080684C"/>
    <w:rsid w:val="00831A38"/>
    <w:rsid w:val="008674EC"/>
    <w:rsid w:val="00871C75"/>
    <w:rsid w:val="008776DC"/>
    <w:rsid w:val="00892D49"/>
    <w:rsid w:val="009446C0"/>
    <w:rsid w:val="009705C8"/>
    <w:rsid w:val="00983631"/>
    <w:rsid w:val="009B042A"/>
    <w:rsid w:val="009C1CF4"/>
    <w:rsid w:val="009F6B74"/>
    <w:rsid w:val="00A30353"/>
    <w:rsid w:val="00A65B63"/>
    <w:rsid w:val="00A9112E"/>
    <w:rsid w:val="00AC3823"/>
    <w:rsid w:val="00AE323C"/>
    <w:rsid w:val="00AF0CB5"/>
    <w:rsid w:val="00AF55F5"/>
    <w:rsid w:val="00B00181"/>
    <w:rsid w:val="00B00B0D"/>
    <w:rsid w:val="00B33FE6"/>
    <w:rsid w:val="00B765F7"/>
    <w:rsid w:val="00BA0CA9"/>
    <w:rsid w:val="00BF4EE1"/>
    <w:rsid w:val="00C02897"/>
    <w:rsid w:val="00C85681"/>
    <w:rsid w:val="00C877A9"/>
    <w:rsid w:val="00C97039"/>
    <w:rsid w:val="00CE55D0"/>
    <w:rsid w:val="00D3439C"/>
    <w:rsid w:val="00D42E5D"/>
    <w:rsid w:val="00DB1831"/>
    <w:rsid w:val="00DD3BFD"/>
    <w:rsid w:val="00DE72AA"/>
    <w:rsid w:val="00DF6678"/>
    <w:rsid w:val="00E0299A"/>
    <w:rsid w:val="00E85C74"/>
    <w:rsid w:val="00EA6547"/>
    <w:rsid w:val="00EC3F69"/>
    <w:rsid w:val="00EE6BC3"/>
    <w:rsid w:val="00EF2E22"/>
    <w:rsid w:val="00F31485"/>
    <w:rsid w:val="00F35BAF"/>
    <w:rsid w:val="00F660DF"/>
    <w:rsid w:val="00F77EC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FDA9C3-002F-4A56-8F13-29BB7197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6669</Words>
  <Characters>38015</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ECE/TRANS/WP.15/AC.2/66</vt:lpstr>
      <vt:lpstr>ECE/TRANS/WP.15/AC.2/66</vt:lpstr>
    </vt:vector>
  </TitlesOfParts>
  <Company>DCM</Company>
  <LinksUpToDate>false</LinksUpToDate>
  <CharactersWithSpaces>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ECE/TRANS/WP.15/AC.2/66</dc:title>
  <dc:subject/>
  <dc:creator>Christine  CHAUTAGNAT</dc:creator>
  <cp:keywords/>
  <cp:lastModifiedBy>Secretariat</cp:lastModifiedBy>
  <cp:revision>2</cp:revision>
  <cp:lastPrinted>2018-02-27T08:34:00Z</cp:lastPrinted>
  <dcterms:created xsi:type="dcterms:W3CDTF">2018-07-25T09:43:00Z</dcterms:created>
  <dcterms:modified xsi:type="dcterms:W3CDTF">2018-07-25T09:43:00Z</dcterms:modified>
</cp:coreProperties>
</file>