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42B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42B12" w:rsidP="00542B12">
            <w:pPr>
              <w:jc w:val="right"/>
            </w:pPr>
            <w:r w:rsidRPr="00542B12">
              <w:rPr>
                <w:sz w:val="40"/>
              </w:rPr>
              <w:t>ECE</w:t>
            </w:r>
            <w:r>
              <w:t>/TRANS/WP.29/2018/75</w:t>
            </w:r>
          </w:p>
        </w:tc>
      </w:tr>
      <w:tr w:rsidR="002D5AAC" w:rsidRPr="00EB39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42B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42B12" w:rsidRDefault="00542B12" w:rsidP="00542B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2018</w:t>
            </w:r>
          </w:p>
          <w:p w:rsidR="00542B12" w:rsidRDefault="00542B12" w:rsidP="00542B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42B12" w:rsidRPr="008D53B6" w:rsidRDefault="00542B12" w:rsidP="00542B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512EB6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12EB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542B12" w:rsidRPr="00512EB6" w:rsidRDefault="00542B12" w:rsidP="00512EB6">
      <w:pPr>
        <w:spacing w:before="120"/>
        <w:rPr>
          <w:spacing w:val="0"/>
          <w:w w:val="100"/>
          <w:kern w:val="0"/>
          <w:sz w:val="28"/>
          <w:szCs w:val="28"/>
        </w:rPr>
      </w:pPr>
      <w:r w:rsidRPr="00512EB6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542B12" w:rsidRPr="00512EB6" w:rsidRDefault="00542B12" w:rsidP="00512EB6">
      <w:pPr>
        <w:spacing w:before="120"/>
        <w:rPr>
          <w:b/>
          <w:spacing w:val="0"/>
          <w:w w:val="100"/>
          <w:kern w:val="0"/>
          <w:sz w:val="24"/>
          <w:szCs w:val="24"/>
        </w:rPr>
      </w:pPr>
      <w:r w:rsidRPr="00512EB6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512EB6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542B12" w:rsidRPr="00512EB6" w:rsidRDefault="00542B12" w:rsidP="00542B12">
      <w:pPr>
        <w:tabs>
          <w:tab w:val="center" w:pos="4819"/>
        </w:tabs>
        <w:spacing w:before="120"/>
        <w:rPr>
          <w:b/>
          <w:spacing w:val="0"/>
          <w:w w:val="100"/>
          <w:kern w:val="0"/>
        </w:rPr>
      </w:pPr>
      <w:r w:rsidRPr="00512EB6">
        <w:rPr>
          <w:b/>
          <w:spacing w:val="0"/>
          <w:w w:val="100"/>
          <w:kern w:val="0"/>
        </w:rPr>
        <w:t>175-я сессия</w:t>
      </w:r>
    </w:p>
    <w:p w:rsidR="00542B12" w:rsidRPr="00512EB6" w:rsidRDefault="00542B12" w:rsidP="00542B12">
      <w:pPr>
        <w:rPr>
          <w:spacing w:val="0"/>
          <w:w w:val="100"/>
          <w:kern w:val="0"/>
        </w:rPr>
      </w:pPr>
      <w:r w:rsidRPr="00512EB6">
        <w:rPr>
          <w:spacing w:val="0"/>
          <w:w w:val="100"/>
          <w:kern w:val="0"/>
        </w:rPr>
        <w:t>Женева, 19</w:t>
      </w:r>
      <w:r w:rsidRPr="00EB39C7">
        <w:rPr>
          <w:spacing w:val="0"/>
          <w:w w:val="100"/>
          <w:kern w:val="0"/>
        </w:rPr>
        <w:t>–</w:t>
      </w:r>
      <w:r w:rsidRPr="00512EB6">
        <w:rPr>
          <w:spacing w:val="0"/>
          <w:w w:val="100"/>
          <w:kern w:val="0"/>
        </w:rPr>
        <w:t>22 июня 2018 года</w:t>
      </w:r>
    </w:p>
    <w:p w:rsidR="00542B12" w:rsidRPr="00512EB6" w:rsidRDefault="00542B12" w:rsidP="00542B12">
      <w:pPr>
        <w:rPr>
          <w:spacing w:val="0"/>
          <w:w w:val="100"/>
          <w:kern w:val="0"/>
        </w:rPr>
      </w:pPr>
      <w:r w:rsidRPr="00512EB6">
        <w:rPr>
          <w:spacing w:val="0"/>
          <w:w w:val="100"/>
          <w:kern w:val="0"/>
        </w:rPr>
        <w:t>Пункт 18.10 предварительной повестки дня</w:t>
      </w:r>
    </w:p>
    <w:p w:rsidR="00542B12" w:rsidRPr="00512EB6" w:rsidRDefault="00542B12" w:rsidP="00542B12">
      <w:pPr>
        <w:rPr>
          <w:b/>
          <w:bCs/>
          <w:spacing w:val="0"/>
          <w:w w:val="100"/>
          <w:kern w:val="0"/>
        </w:rPr>
      </w:pPr>
      <w:r w:rsidRPr="00512EB6">
        <w:rPr>
          <w:b/>
          <w:bCs/>
          <w:spacing w:val="0"/>
          <w:w w:val="100"/>
          <w:kern w:val="0"/>
        </w:rPr>
        <w:t xml:space="preserve">Ход разработки новых ГТП ООН </w:t>
      </w:r>
      <w:r w:rsidRPr="00512EB6">
        <w:rPr>
          <w:b/>
          <w:bCs/>
          <w:spacing w:val="0"/>
          <w:w w:val="100"/>
          <w:kern w:val="0"/>
        </w:rPr>
        <w:br/>
        <w:t>и поправок к введенным ГТП ООН:</w:t>
      </w:r>
      <w:r w:rsidRPr="00512EB6">
        <w:rPr>
          <w:b/>
          <w:spacing w:val="0"/>
          <w:w w:val="100"/>
          <w:kern w:val="0"/>
        </w:rPr>
        <w:br/>
      </w:r>
      <w:r w:rsidRPr="00512EB6">
        <w:rPr>
          <w:b/>
          <w:bCs/>
          <w:spacing w:val="0"/>
          <w:w w:val="100"/>
          <w:kern w:val="0"/>
        </w:rPr>
        <w:t xml:space="preserve">транспортные средства, работающие </w:t>
      </w:r>
      <w:r w:rsidRPr="00512EB6">
        <w:rPr>
          <w:b/>
          <w:bCs/>
          <w:spacing w:val="0"/>
          <w:w w:val="100"/>
          <w:kern w:val="0"/>
        </w:rPr>
        <w:br/>
        <w:t>на водороде и</w:t>
      </w:r>
      <w:r w:rsidRPr="00EB39C7">
        <w:rPr>
          <w:b/>
          <w:bCs/>
          <w:spacing w:val="0"/>
          <w:w w:val="100"/>
          <w:kern w:val="0"/>
        </w:rPr>
        <w:t xml:space="preserve"> </w:t>
      </w:r>
      <w:r w:rsidRPr="00512EB6">
        <w:rPr>
          <w:b/>
          <w:bCs/>
          <w:spacing w:val="0"/>
          <w:w w:val="100"/>
          <w:kern w:val="0"/>
        </w:rPr>
        <w:t>топливных элементах (ТСВТЭ)</w:t>
      </w:r>
      <w:r w:rsidRPr="00512EB6">
        <w:rPr>
          <w:b/>
          <w:bCs/>
          <w:spacing w:val="0"/>
          <w:w w:val="100"/>
          <w:kern w:val="0"/>
        </w:rPr>
        <w:br/>
        <w:t>(ГТП № 13 ООН) – этап 2</w:t>
      </w:r>
    </w:p>
    <w:p w:rsidR="00542B12" w:rsidRPr="00512EB6" w:rsidRDefault="00542B12" w:rsidP="00542B12">
      <w:pPr>
        <w:pStyle w:val="HChGR"/>
        <w:rPr>
          <w:spacing w:val="0"/>
          <w:w w:val="100"/>
          <w:kern w:val="0"/>
        </w:rPr>
      </w:pPr>
      <w:r w:rsidRPr="00512EB6">
        <w:rPr>
          <w:spacing w:val="0"/>
          <w:w w:val="100"/>
          <w:kern w:val="0"/>
        </w:rPr>
        <w:tab/>
      </w:r>
      <w:r w:rsidRPr="00512EB6">
        <w:rPr>
          <w:spacing w:val="0"/>
          <w:w w:val="100"/>
          <w:kern w:val="0"/>
        </w:rPr>
        <w:tab/>
        <w:t>Круг ведения неофициальной рабочей группы по</w:t>
      </w:r>
      <w:r w:rsidR="007B44FD">
        <w:rPr>
          <w:spacing w:val="0"/>
          <w:w w:val="100"/>
          <w:kern w:val="0"/>
        </w:rPr>
        <w:t xml:space="preserve"> </w:t>
      </w:r>
      <w:r w:rsidRPr="00512EB6">
        <w:rPr>
          <w:spacing w:val="0"/>
          <w:w w:val="100"/>
          <w:kern w:val="0"/>
        </w:rPr>
        <w:t>этапу 2 разработки Г</w:t>
      </w:r>
      <w:r w:rsidR="007B44FD">
        <w:rPr>
          <w:spacing w:val="0"/>
          <w:w w:val="100"/>
          <w:kern w:val="0"/>
        </w:rPr>
        <w:t>ТП</w:t>
      </w:r>
      <w:r w:rsidRPr="00512EB6">
        <w:rPr>
          <w:spacing w:val="0"/>
          <w:w w:val="100"/>
          <w:kern w:val="0"/>
        </w:rPr>
        <w:t xml:space="preserve"> № 13 ООН (транспортные средства, работающие на водороде и топливных элементах)</w:t>
      </w:r>
    </w:p>
    <w:p w:rsidR="00542B12" w:rsidRPr="00512EB6" w:rsidRDefault="00542B12" w:rsidP="00542B12">
      <w:pPr>
        <w:pStyle w:val="H1GR"/>
        <w:rPr>
          <w:spacing w:val="0"/>
          <w:w w:val="100"/>
          <w:kern w:val="0"/>
        </w:rPr>
      </w:pPr>
      <w:r w:rsidRPr="00512EB6">
        <w:rPr>
          <w:spacing w:val="0"/>
          <w:w w:val="100"/>
          <w:kern w:val="0"/>
        </w:rPr>
        <w:tab/>
      </w:r>
      <w:r w:rsidRPr="00512EB6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512EB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 xml:space="preserve">Воспроизведенный ниже текст был принят </w:t>
      </w:r>
      <w:r w:rsidRPr="00512EB6">
        <w:rPr>
          <w:bCs/>
          <w:szCs w:val="16"/>
          <w:lang w:val="ru-RU"/>
        </w:rPr>
        <w:t>Рабочей группой по пассивной безопасности</w:t>
      </w:r>
      <w:r w:rsidRPr="00512EB6">
        <w:rPr>
          <w:lang w:val="ru-RU"/>
        </w:rPr>
        <w:t xml:space="preserve"> (</w:t>
      </w:r>
      <w:r w:rsidRPr="00512EB6">
        <w:t>GRSP</w:t>
      </w:r>
      <w:r w:rsidRPr="00512EB6">
        <w:rPr>
          <w:lang w:val="ru-RU"/>
        </w:rPr>
        <w:t xml:space="preserve">) на ее шестьдесят второй сессии </w:t>
      </w:r>
      <w:r w:rsidRPr="00512EB6">
        <w:rPr>
          <w:bCs/>
          <w:lang w:val="ru-RU"/>
        </w:rPr>
        <w:t>(</w:t>
      </w:r>
      <w:r w:rsidRPr="00512EB6">
        <w:rPr>
          <w:bCs/>
          <w:lang w:val="en-US"/>
        </w:rPr>
        <w:t>ECE</w:t>
      </w:r>
      <w:r w:rsidRPr="00512EB6">
        <w:rPr>
          <w:bCs/>
          <w:lang w:val="ru-RU"/>
        </w:rPr>
        <w:t>/</w:t>
      </w:r>
      <w:r w:rsidRPr="00512EB6">
        <w:rPr>
          <w:bCs/>
          <w:lang w:val="en-US"/>
        </w:rPr>
        <w:t>TRANS</w:t>
      </w:r>
      <w:r w:rsidRPr="00512EB6">
        <w:rPr>
          <w:bCs/>
          <w:lang w:val="ru-RU"/>
        </w:rPr>
        <w:t>/</w:t>
      </w:r>
      <w:r w:rsidRPr="00512EB6">
        <w:rPr>
          <w:bCs/>
          <w:lang w:val="en-US"/>
        </w:rPr>
        <w:t>WP</w:t>
      </w:r>
      <w:r w:rsidRPr="00512EB6">
        <w:rPr>
          <w:bCs/>
          <w:lang w:val="ru-RU"/>
        </w:rPr>
        <w:t>.29/</w:t>
      </w:r>
      <w:r w:rsidRPr="00512EB6">
        <w:rPr>
          <w:bCs/>
          <w:lang w:val="en-US"/>
        </w:rPr>
        <w:t>GRSP</w:t>
      </w:r>
      <w:r w:rsidRPr="00512EB6">
        <w:rPr>
          <w:bCs/>
          <w:lang w:val="ru-RU"/>
        </w:rPr>
        <w:t xml:space="preserve">/62, </w:t>
      </w:r>
      <w:r w:rsidR="007B44FD">
        <w:rPr>
          <w:bCs/>
          <w:lang w:val="ru-RU"/>
        </w:rPr>
        <w:t>пункт</w:t>
      </w:r>
      <w:r w:rsidRPr="00512EB6">
        <w:rPr>
          <w:bCs/>
          <w:lang w:val="ru-RU"/>
        </w:rPr>
        <w:t xml:space="preserve"> </w:t>
      </w:r>
      <w:r w:rsidRPr="00EB39C7">
        <w:rPr>
          <w:bCs/>
          <w:lang w:val="ru-RU"/>
        </w:rPr>
        <w:t>8)</w:t>
      </w:r>
      <w:r w:rsidRPr="00EB39C7">
        <w:rPr>
          <w:lang w:val="ru-RU"/>
        </w:rPr>
        <w:t xml:space="preserve">. </w:t>
      </w:r>
      <w:r w:rsidRPr="00512EB6">
        <w:rPr>
          <w:lang w:val="ru-RU"/>
        </w:rPr>
        <w:t xml:space="preserve">В его основу положен документ </w:t>
      </w:r>
      <w:r w:rsidRPr="00512EB6">
        <w:t>GRSP</w:t>
      </w:r>
      <w:r w:rsidRPr="00512EB6">
        <w:rPr>
          <w:lang w:val="ru-RU"/>
        </w:rPr>
        <w:t>-62-25-</w:t>
      </w:r>
      <w:r w:rsidRPr="00512EB6">
        <w:t>Rev</w:t>
      </w:r>
      <w:r w:rsidRPr="00512EB6">
        <w:rPr>
          <w:lang w:val="ru-RU"/>
        </w:rPr>
        <w:t xml:space="preserve">.1, воспроизведенный в приложении </w:t>
      </w:r>
      <w:r w:rsidRPr="00512EB6">
        <w:t>II</w:t>
      </w:r>
      <w:r w:rsidRPr="00512EB6">
        <w:rPr>
          <w:lang w:val="ru-RU"/>
        </w:rPr>
        <w:t xml:space="preserve"> к докладу. Этот документ – в случае его принятия – будет включен в ГТП в качестве добавления согласно положениям пунктов 6.3.4.2, 6.3.7 и 6.4 Соглашения 1998 года.</w:t>
      </w:r>
    </w:p>
    <w:p w:rsidR="00542B12" w:rsidRPr="00EB39C7" w:rsidRDefault="00542B12" w:rsidP="00BF3C6B">
      <w:pPr>
        <w:pStyle w:val="HChG"/>
        <w:rPr>
          <w:lang w:val="ru-RU"/>
        </w:rPr>
      </w:pPr>
      <w:r w:rsidRPr="00512EB6">
        <w:rPr>
          <w:lang w:val="ru-RU"/>
        </w:rPr>
        <w:br w:type="page"/>
      </w:r>
      <w:r w:rsidRPr="00EB39C7">
        <w:rPr>
          <w:lang w:val="ru-RU"/>
        </w:rPr>
        <w:lastRenderedPageBreak/>
        <w:tab/>
      </w:r>
      <w:r w:rsidRPr="00EB39C7">
        <w:rPr>
          <w:lang w:val="ru-RU"/>
        </w:rPr>
        <w:tab/>
        <w:t>Круг ведения неофициальной рабочей группы по этапу 2 разработки Г</w:t>
      </w:r>
      <w:r w:rsidR="00BF3C6B" w:rsidRPr="00EB39C7">
        <w:rPr>
          <w:lang w:val="ru-RU"/>
        </w:rPr>
        <w:t>ТП</w:t>
      </w:r>
      <w:r w:rsidRPr="00EB39C7">
        <w:rPr>
          <w:lang w:val="ru-RU"/>
        </w:rPr>
        <w:t xml:space="preserve"> № 13 ООН (транспортные средства, работающие на водороде и топливных элементах)</w:t>
      </w:r>
    </w:p>
    <w:p w:rsidR="00542B12" w:rsidRPr="00EB39C7" w:rsidRDefault="00BF3C6B" w:rsidP="00BF3C6B">
      <w:pPr>
        <w:pStyle w:val="H1G"/>
        <w:rPr>
          <w:lang w:val="ru-RU"/>
        </w:rPr>
      </w:pPr>
      <w:r w:rsidRPr="00EB39C7">
        <w:rPr>
          <w:lang w:val="ru-RU"/>
        </w:rPr>
        <w:tab/>
      </w:r>
      <w:r w:rsidRPr="00EB39C7">
        <w:rPr>
          <w:lang w:val="ru-RU"/>
        </w:rPr>
        <w:tab/>
      </w:r>
      <w:r w:rsidR="00542B12" w:rsidRPr="00EB39C7">
        <w:rPr>
          <w:lang w:val="ru-RU"/>
        </w:rPr>
        <w:t xml:space="preserve">Принятый текст, основанный на документе </w:t>
      </w:r>
      <w:r w:rsidR="00542B12" w:rsidRPr="00BF3C6B">
        <w:t>GRSP</w:t>
      </w:r>
      <w:r w:rsidR="00542B12" w:rsidRPr="00EB39C7">
        <w:rPr>
          <w:lang w:val="ru-RU"/>
        </w:rPr>
        <w:t>-62-25-</w:t>
      </w:r>
      <w:r w:rsidR="00542B12" w:rsidRPr="00BF3C6B">
        <w:t>Rev</w:t>
      </w:r>
      <w:r w:rsidR="00542B12" w:rsidRPr="00EB39C7">
        <w:rPr>
          <w:lang w:val="ru-RU"/>
        </w:rPr>
        <w:t>.1</w:t>
      </w:r>
      <w:r w:rsidRPr="00EB39C7">
        <w:rPr>
          <w:lang w:val="ru-RU"/>
        </w:rPr>
        <w:t xml:space="preserve"> </w:t>
      </w:r>
      <w:r w:rsidR="00542B12" w:rsidRPr="00EB39C7">
        <w:rPr>
          <w:lang w:val="ru-RU"/>
        </w:rPr>
        <w:t>(см.</w:t>
      </w:r>
      <w:r>
        <w:rPr>
          <w:lang w:val="ru-RU"/>
        </w:rPr>
        <w:t> </w:t>
      </w:r>
      <w:r w:rsidR="00542B12" w:rsidRPr="00EB39C7">
        <w:rPr>
          <w:lang w:val="ru-RU"/>
        </w:rPr>
        <w:t>пункт 8 доклада)</w:t>
      </w:r>
    </w:p>
    <w:p w:rsidR="00542B12" w:rsidRPr="00EB39C7" w:rsidRDefault="00542B12" w:rsidP="00BF3C6B">
      <w:pPr>
        <w:pStyle w:val="HChG"/>
        <w:rPr>
          <w:lang w:val="ru-RU"/>
        </w:rPr>
      </w:pPr>
      <w:r w:rsidRPr="00EB39C7">
        <w:rPr>
          <w:lang w:val="ru-RU"/>
        </w:rPr>
        <w:tab/>
      </w:r>
      <w:r w:rsidRPr="00BF3C6B">
        <w:t>A</w:t>
      </w:r>
      <w:r w:rsidRPr="00EB39C7">
        <w:rPr>
          <w:lang w:val="ru-RU"/>
        </w:rPr>
        <w:t>.</w:t>
      </w:r>
      <w:r w:rsidRPr="00EB39C7">
        <w:rPr>
          <w:lang w:val="ru-RU"/>
        </w:rPr>
        <w:tab/>
        <w:t>Введение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1.</w:t>
      </w:r>
      <w:r w:rsidRPr="00512EB6">
        <w:rPr>
          <w:lang w:val="ru-RU"/>
        </w:rPr>
        <w:tab/>
        <w:t>В июне 2013 года Всемирный форум для согласования правил в области транспортных средств (</w:t>
      </w:r>
      <w:r w:rsidRPr="00512EB6">
        <w:rPr>
          <w:lang w:val="en-US"/>
        </w:rPr>
        <w:t>WP</w:t>
      </w:r>
      <w:r w:rsidRPr="00512EB6">
        <w:rPr>
          <w:lang w:val="ru-RU"/>
        </w:rPr>
        <w:t>.29) и Исполнительный комитет Соглашения 1998 года (</w:t>
      </w:r>
      <w:r w:rsidRPr="00512EB6">
        <w:rPr>
          <w:lang w:val="en-US"/>
        </w:rPr>
        <w:t>AC</w:t>
      </w:r>
      <w:r w:rsidRPr="00512EB6">
        <w:rPr>
          <w:lang w:val="ru-RU"/>
        </w:rPr>
        <w:t xml:space="preserve">.3) приняли Глобальные технические правила ООН (ГТП № 13), касающиеся </w:t>
      </w:r>
      <w:bookmarkStart w:id="1" w:name="OLE_LINK79"/>
      <w:bookmarkStart w:id="2" w:name="OLE_LINK80"/>
      <w:r w:rsidRPr="00512EB6">
        <w:rPr>
          <w:lang w:val="ru-RU"/>
        </w:rPr>
        <w:t xml:space="preserve">транспортных средств, работающих на водороде и топливных элементах </w:t>
      </w:r>
      <w:bookmarkEnd w:id="1"/>
      <w:bookmarkEnd w:id="2"/>
      <w:r w:rsidRPr="00512EB6">
        <w:rPr>
          <w:lang w:val="ru-RU"/>
        </w:rPr>
        <w:t>(ТСВТЭ). Эти ГТП ООН были разработаны на этапе 1 подгруппой по безопасности (ПГБ) и</w:t>
      </w:r>
      <w:r w:rsidR="00BF3C6B">
        <w:rPr>
          <w:lang w:val="ru-RU"/>
        </w:rPr>
        <w:t> </w:t>
      </w:r>
      <w:r w:rsidRPr="00512EB6">
        <w:rPr>
          <w:lang w:val="ru-RU"/>
        </w:rPr>
        <w:t>включают положения по безопасности в отношении емкости для водородного топлива, топливной системы и высоковольтной системы ТСВТЭ. Затем эти ГТП ООН были приняты и перенесены в национальное законодательство некоторыми Договаривающимися сторонами Соглашения 1998 года. Рассмотрение некоторых положений, требующих долгосрочных исследований, было отложено до этапа 2.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2.</w:t>
      </w:r>
      <w:r w:rsidRPr="00512EB6">
        <w:rPr>
          <w:lang w:val="ru-RU"/>
        </w:rPr>
        <w:tab/>
        <w:t xml:space="preserve">В марте 2017 года </w:t>
      </w:r>
      <w:r w:rsidRPr="00512EB6">
        <w:rPr>
          <w:lang w:val="en-US"/>
        </w:rPr>
        <w:t>AC</w:t>
      </w:r>
      <w:r w:rsidRPr="00512EB6">
        <w:rPr>
          <w:lang w:val="ru-RU"/>
        </w:rPr>
        <w:t>.3 в целом поддержал совместное предложение, внесенное Японией, Республикой Корея и Европейским союзом, об учреждении неофициальной рабочей группы (НРГ) для функционирования на этапе 2 разработки ГТП № 13 ООН в рамках Соглашения 1998 года.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3.</w:t>
      </w:r>
      <w:r w:rsidRPr="00512EB6">
        <w:rPr>
          <w:lang w:val="ru-RU"/>
        </w:rPr>
        <w:tab/>
        <w:t xml:space="preserve">В настоящем документе излагается круг ведения (КВ) НРГ, включая ее цель, сферу действия, принципы работы, </w:t>
      </w:r>
      <w:bookmarkStart w:id="3" w:name="OLE_LINK77"/>
      <w:bookmarkStart w:id="4" w:name="OLE_LINK78"/>
      <w:r w:rsidRPr="00512EB6">
        <w:rPr>
          <w:lang w:val="ru-RU"/>
        </w:rPr>
        <w:t>график работы и ожидаемые результаты</w:t>
      </w:r>
      <w:bookmarkEnd w:id="3"/>
      <w:bookmarkEnd w:id="4"/>
      <w:r w:rsidRPr="00512EB6">
        <w:rPr>
          <w:lang w:val="ru-RU"/>
        </w:rPr>
        <w:t xml:space="preserve">. </w:t>
      </w:r>
    </w:p>
    <w:p w:rsidR="00542B12" w:rsidRPr="00EB39C7" w:rsidRDefault="00542B12" w:rsidP="00BF3C6B">
      <w:pPr>
        <w:pStyle w:val="HChG"/>
        <w:rPr>
          <w:lang w:val="ru-RU"/>
        </w:rPr>
      </w:pPr>
      <w:r w:rsidRPr="00293E40">
        <w:rPr>
          <w:lang w:val="ru-RU"/>
        </w:rPr>
        <w:tab/>
      </w:r>
      <w:r w:rsidRPr="00BF3C6B">
        <w:t>B</w:t>
      </w:r>
      <w:r w:rsidRPr="00EB39C7">
        <w:rPr>
          <w:lang w:val="ru-RU"/>
        </w:rPr>
        <w:t>.</w:t>
      </w:r>
      <w:r w:rsidRPr="00EB39C7">
        <w:rPr>
          <w:lang w:val="ru-RU"/>
        </w:rPr>
        <w:tab/>
        <w:t>Цель рабочей группы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4.</w:t>
      </w:r>
      <w:r w:rsidRPr="00512EB6">
        <w:rPr>
          <w:lang w:val="ru-RU"/>
        </w:rPr>
        <w:tab/>
        <w:t>Цель НРГ состоит в разработке дополнительных положений по безопасности, которые не готовы для принятия на этапе 1 и/или требуют дополнительных исследований. НРГ будет также обновлять/уточнять существующие требования и процедуры испытаний в рамках ГТП № 13 ООН на основе новых данных и опыта дорожной эксплуатации.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5.</w:t>
      </w:r>
      <w:r w:rsidRPr="00512EB6">
        <w:rPr>
          <w:lang w:val="ru-RU"/>
        </w:rPr>
        <w:tab/>
        <w:t>Положения, обеспечивающие такие же уровни безопасности, как и в случае обычных транспортных средств, работающих на бензине, будут основываться на показателях результативности, а также – по мере возможности – на научной информации и иных данных, с тем чтобы не ограничивать будущее техническое развитие. Сфера действия НРГ на этапе 2 охватывает нижеследующие аспекты. Если будут предложены дополнительные вопросы, то НРГ будет принимать решения относительно их включения путем консенсуса: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a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 xml:space="preserve">возможный пересмотр области применения с учетом дополнительных классов транспортных средств; 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b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>потенциальные возможности для согласования требований в отношении краш-тестов для транспортных средств;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c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>потенциальные возможности для ссылки на существующие требования о высоковольтных системах в ГТП ООН в отношении электромобилей;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d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>требования в отношении совместимости материалов и водородного охрупчивания;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e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>требования к заправочному блоку;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f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 xml:space="preserve">оценка процедуры предложенного на этапе 1 испытания на разрушение под действием длительной нагрузки на основе эксплуатационных характеристик; 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lastRenderedPageBreak/>
        <w:t>g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>анализ результатов исследований, полученных по завершении этапа 1, с</w:t>
      </w:r>
      <w:r w:rsidR="00861194">
        <w:rPr>
          <w:lang w:val="ru-RU"/>
        </w:rPr>
        <w:t> </w:t>
      </w:r>
      <w:r w:rsidRPr="00512EB6">
        <w:rPr>
          <w:lang w:val="ru-RU"/>
        </w:rPr>
        <w:t>особым упором на исследования в области электробезопасности, систем хранения водорода и послеаварийной безопасности; а также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 xml:space="preserve"> </w:t>
      </w:r>
      <w:r w:rsidRPr="00512EB6">
        <w:rPr>
          <w:lang w:val="en-US"/>
        </w:rPr>
        <w:t>h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 xml:space="preserve">рассмотрение требования в отношении минимального давления разрыва, составляющего 200% номинального рабочего давления (НРД) или меньше для топливных резервуаров; 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en-US"/>
        </w:rPr>
        <w:t>i</w:t>
      </w:r>
      <w:r w:rsidRPr="00512EB6">
        <w:rPr>
          <w:lang w:val="ru-RU"/>
        </w:rPr>
        <w:t>)</w:t>
      </w:r>
      <w:r w:rsidRPr="00512EB6">
        <w:rPr>
          <w:lang w:val="ru-RU"/>
        </w:rPr>
        <w:tab/>
        <w:t>рассмотрение вопроса о системе защитных ограждений на случай пробоя изоляции.</w:t>
      </w:r>
    </w:p>
    <w:p w:rsidR="00542B12" w:rsidRPr="00EB39C7" w:rsidRDefault="00542B12" w:rsidP="00861194">
      <w:pPr>
        <w:pStyle w:val="HChG"/>
        <w:rPr>
          <w:lang w:val="ru-RU"/>
        </w:rPr>
      </w:pPr>
      <w:r w:rsidRPr="00293E40">
        <w:rPr>
          <w:lang w:val="ru-RU"/>
        </w:rPr>
        <w:tab/>
      </w:r>
      <w:r w:rsidRPr="00861194">
        <w:t>D</w:t>
      </w:r>
      <w:r w:rsidRPr="00EB39C7">
        <w:rPr>
          <w:lang w:val="ru-RU"/>
        </w:rPr>
        <w:t>.</w:t>
      </w:r>
      <w:r w:rsidRPr="00EB39C7">
        <w:rPr>
          <w:lang w:val="ru-RU"/>
        </w:rPr>
        <w:tab/>
        <w:t>Принципы работы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a)</w:t>
      </w:r>
      <w:r w:rsidRPr="00512EB6">
        <w:rPr>
          <w:lang w:val="ru-RU"/>
        </w:rPr>
        <w:tab/>
        <w:t>Спонсорами НРГ будут Япония, Республика Корея и Европейский союз. НРГ будет функционировать под руководством сопредседателей (Япония и Соединенные Штаты Америки), заместителей председателя (Китай и Республика Корея), а также секретаря (Международная организация предприятий автомобильной промышленности (МОПАП)).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b)</w:t>
      </w:r>
      <w:r w:rsidRPr="00512EB6">
        <w:rPr>
          <w:lang w:val="ru-RU"/>
        </w:rPr>
        <w:tab/>
        <w:t xml:space="preserve">НРГ является подгруппой Рабочей группы по пассивной безопасности (GRSP) и открыта для участия всех членов GRSP, включая Договаривающиеся стороны соглашений 1958 и 1998 годов и неправительственные организации. 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c)</w:t>
      </w:r>
      <w:r w:rsidRPr="00512EB6">
        <w:rPr>
          <w:lang w:val="ru-RU"/>
        </w:rPr>
        <w:tab/>
        <w:t>НРГ будет отчитываться перед GRSP, WP</w:t>
      </w:r>
      <w:r w:rsidR="00861194">
        <w:rPr>
          <w:lang w:val="ru-RU"/>
        </w:rPr>
        <w:t>.</w:t>
      </w:r>
      <w:r w:rsidR="004669E4">
        <w:rPr>
          <w:lang w:val="ru-RU"/>
        </w:rPr>
        <w:t>2</w:t>
      </w:r>
      <w:r w:rsidRPr="00512EB6">
        <w:rPr>
          <w:lang w:val="ru-RU"/>
        </w:rPr>
        <w:t>9 и АС.</w:t>
      </w:r>
      <w:r w:rsidR="00C82D99">
        <w:rPr>
          <w:lang w:val="ru-RU"/>
        </w:rPr>
        <w:t>3</w:t>
      </w:r>
      <w:r w:rsidRPr="00512EB6">
        <w:rPr>
          <w:lang w:val="ru-RU"/>
        </w:rPr>
        <w:t>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d)</w:t>
      </w:r>
      <w:r w:rsidRPr="00512EB6">
        <w:rPr>
          <w:lang w:val="ru-RU"/>
        </w:rPr>
        <w:tab/>
        <w:t>Официальным языком НРГ будет английский язык.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e)</w:t>
      </w:r>
      <w:r w:rsidRPr="00512EB6">
        <w:rPr>
          <w:lang w:val="ru-RU"/>
        </w:rPr>
        <w:tab/>
        <w:t>Все документы должны передаваться секретарю группы в приемлемом электронном формате.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f)</w:t>
      </w:r>
      <w:r w:rsidRPr="00512EB6">
        <w:rPr>
          <w:lang w:val="ru-RU"/>
        </w:rPr>
        <w:tab/>
        <w:t>Форматирование документов должно осуществляться по крайней мере за (десять) рабочих дней до начала совещания. Документы будут размещаться на веб</w:t>
      </w:r>
      <w:r w:rsidR="00B66C7D">
        <w:rPr>
          <w:lang w:val="ru-RU"/>
        </w:rPr>
        <w:noBreakHyphen/>
      </w:r>
      <w:r w:rsidRPr="00512EB6">
        <w:rPr>
          <w:lang w:val="ru-RU"/>
        </w:rPr>
        <w:t>сайте ООН</w:t>
      </w:r>
      <w:r w:rsidR="00B66C7D">
        <w:rPr>
          <w:lang w:val="ru-RU"/>
        </w:rPr>
        <w:t xml:space="preserve"> по крайней мере</w:t>
      </w:r>
      <w:r w:rsidRPr="00512EB6">
        <w:rPr>
          <w:lang w:val="ru-RU"/>
        </w:rPr>
        <w:t xml:space="preserve"> за (пять) рабочих дней до начала совещаний.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g)</w:t>
      </w:r>
      <w:r w:rsidRPr="00512EB6">
        <w:rPr>
          <w:lang w:val="ru-RU"/>
        </w:rPr>
        <w:tab/>
        <w:t xml:space="preserve">Секретарь НРГ будет распространять проект протокола совещания среди всех членов в течение (пятнадцати) рабочих дней после даты проведения любого совещания с целью его официального утверждения на следующем совещании. 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h)</w:t>
      </w:r>
      <w:r w:rsidRPr="00512EB6">
        <w:rPr>
          <w:lang w:val="ru-RU"/>
        </w:rPr>
        <w:tab/>
        <w:t>Решения и предложения группы принимаются консенсусом. Если консенсуса достичь невозможно, то председатели группы могут представлять различные точки зрения и в соответствующих случаях обращаться к GRSP за указаниями.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i)</w:t>
      </w:r>
      <w:r w:rsidRPr="00512EB6">
        <w:rPr>
          <w:lang w:val="ru-RU"/>
        </w:rPr>
        <w:tab/>
        <w:t>Совещания проводятся по договоренности с большинством участников на основе совместного предложения председателей НРГ. Совещания могут проводиться как при личном присутствии участников, так и в виртуальном формате с использованием веб-технологий.</w:t>
      </w:r>
    </w:p>
    <w:p w:rsidR="00542B12" w:rsidRPr="00512EB6" w:rsidRDefault="00542B12" w:rsidP="00542B12">
      <w:pPr>
        <w:pStyle w:val="SingleTxtG"/>
        <w:ind w:firstLine="567"/>
        <w:rPr>
          <w:lang w:val="ru-RU"/>
        </w:rPr>
      </w:pPr>
      <w:r w:rsidRPr="00512EB6">
        <w:rPr>
          <w:lang w:val="ru-RU"/>
        </w:rPr>
        <w:t>j)</w:t>
      </w:r>
      <w:r w:rsidRPr="00512EB6">
        <w:rPr>
          <w:lang w:val="ru-RU"/>
        </w:rPr>
        <w:tab/>
        <w:t>Предварительная повестка дня составляется руководством НРГ. Первым пунктом предварительной повестки дня каждой сессии является утверждение повестки дня. Вторым пунктом является утверждение протокола предыдущей сессии, а затем техническая дискуссия и прочие аспекты.</w:t>
      </w:r>
    </w:p>
    <w:p w:rsidR="00542B12" w:rsidRPr="00EB39C7" w:rsidRDefault="00542B12" w:rsidP="00B66C7D">
      <w:pPr>
        <w:pStyle w:val="HChG"/>
        <w:rPr>
          <w:lang w:val="ru-RU"/>
        </w:rPr>
      </w:pPr>
      <w:r w:rsidRPr="00EB39C7">
        <w:rPr>
          <w:lang w:val="ru-RU"/>
        </w:rPr>
        <w:tab/>
      </w:r>
      <w:r w:rsidRPr="00B66C7D">
        <w:t>E</w:t>
      </w:r>
      <w:r w:rsidRPr="00EB39C7">
        <w:rPr>
          <w:lang w:val="ru-RU"/>
        </w:rPr>
        <w:t>.</w:t>
      </w:r>
      <w:r w:rsidRPr="00EB39C7">
        <w:rPr>
          <w:lang w:val="ru-RU"/>
        </w:rPr>
        <w:tab/>
        <w:t>График работы и ожидаемые результаты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en-US"/>
        </w:rPr>
        <w:t>O</w:t>
      </w:r>
      <w:r w:rsidRPr="00512EB6">
        <w:rPr>
          <w:lang w:val="ru-RU"/>
        </w:rPr>
        <w:t>ктябрь 2017 года: первое совещание НРГ.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Ноябрь 2017 года: доклад Всемирному форуму для согласования правил в области транспортных средств (</w:t>
      </w:r>
      <w:r w:rsidRPr="00512EB6">
        <w:t>WP</w:t>
      </w:r>
      <w:r w:rsidRPr="00512EB6">
        <w:rPr>
          <w:lang w:val="ru-RU"/>
        </w:rPr>
        <w:t xml:space="preserve">.29) и Исполнительному комитету Соглашения 1998 года (АС.3). 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 xml:space="preserve">Декабрь 2017 года: доклад для </w:t>
      </w:r>
      <w:r w:rsidRPr="00512EB6">
        <w:rPr>
          <w:lang w:val="en-US"/>
        </w:rPr>
        <w:t>GRSP</w:t>
      </w:r>
      <w:r w:rsidRPr="00512EB6">
        <w:rPr>
          <w:lang w:val="ru-RU"/>
        </w:rPr>
        <w:t>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Февраль 2018 года: второе совещание НРГ.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en-US"/>
        </w:rPr>
        <w:lastRenderedPageBreak/>
        <w:t>Ma</w:t>
      </w:r>
      <w:r w:rsidRPr="00512EB6">
        <w:rPr>
          <w:lang w:val="ru-RU"/>
        </w:rPr>
        <w:t xml:space="preserve">й 2018 года: доклад для </w:t>
      </w:r>
      <w:r w:rsidRPr="00512EB6">
        <w:rPr>
          <w:lang w:val="en-US"/>
        </w:rPr>
        <w:t>GRSP</w:t>
      </w:r>
      <w:r w:rsidRPr="00512EB6">
        <w:rPr>
          <w:lang w:val="ru-RU"/>
        </w:rPr>
        <w:t>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Июнь 2018 года: третье совещание НРГ.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Июнь 2018 года: доклад Всемирному форуму для согласования правил в области транспортных средств (</w:t>
      </w:r>
      <w:r w:rsidRPr="00512EB6">
        <w:t>WP</w:t>
      </w:r>
      <w:r w:rsidRPr="00512EB6">
        <w:rPr>
          <w:lang w:val="ru-RU"/>
        </w:rPr>
        <w:t xml:space="preserve">.29) и Исполнительному комитету Соглашения 1998 года (АС.3). 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en-US"/>
        </w:rPr>
        <w:t>O</w:t>
      </w:r>
      <w:r w:rsidRPr="00512EB6">
        <w:rPr>
          <w:lang w:val="ru-RU"/>
        </w:rPr>
        <w:t>ктябрь 2018 года: четвертое совещание НРГ.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Ноябрь 2018 года: доклад Всемирному форуму для согласования правил в области транспортных средств (</w:t>
      </w:r>
      <w:r w:rsidRPr="00512EB6">
        <w:t>WP</w:t>
      </w:r>
      <w:r w:rsidRPr="00512EB6">
        <w:rPr>
          <w:lang w:val="ru-RU"/>
        </w:rPr>
        <w:t xml:space="preserve">.29) и Исполнительному комитету Соглашения 1998 года (АС.3). 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 xml:space="preserve">Декабрь 2018 года: доклад для </w:t>
      </w:r>
      <w:r w:rsidRPr="00512EB6">
        <w:rPr>
          <w:lang w:val="en-US"/>
        </w:rPr>
        <w:t>GRSP</w:t>
      </w:r>
      <w:r w:rsidRPr="00512EB6">
        <w:rPr>
          <w:lang w:val="ru-RU"/>
        </w:rPr>
        <w:t>.</w:t>
      </w:r>
    </w:p>
    <w:p w:rsidR="00542B12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2019</w:t>
      </w:r>
      <w:r w:rsidR="00B66C7D">
        <w:rPr>
          <w:lang w:val="ru-RU"/>
        </w:rPr>
        <w:t>–</w:t>
      </w:r>
      <w:r w:rsidRPr="00512EB6">
        <w:rPr>
          <w:lang w:val="ru-RU"/>
        </w:rPr>
        <w:t xml:space="preserve">2020 годы: по три совещания НРГ в год с регулярными докладами к сессиям </w:t>
      </w:r>
      <w:r w:rsidRPr="00512EB6">
        <w:rPr>
          <w:lang w:val="en-US"/>
        </w:rPr>
        <w:t>WP</w:t>
      </w:r>
      <w:r w:rsidRPr="00512EB6">
        <w:rPr>
          <w:lang w:val="ru-RU"/>
        </w:rPr>
        <w:t xml:space="preserve">.29 и </w:t>
      </w:r>
      <w:r w:rsidRPr="00512EB6">
        <w:rPr>
          <w:lang w:val="en-US"/>
        </w:rPr>
        <w:t>GRSP</w:t>
      </w:r>
      <w:r w:rsidRPr="00512EB6">
        <w:rPr>
          <w:lang w:val="ru-RU"/>
        </w:rPr>
        <w:t>.</w:t>
      </w:r>
    </w:p>
    <w:p w:rsidR="00E12C5F" w:rsidRPr="00512EB6" w:rsidRDefault="00542B12" w:rsidP="00542B12">
      <w:pPr>
        <w:pStyle w:val="SingleTxtG"/>
        <w:rPr>
          <w:lang w:val="ru-RU"/>
        </w:rPr>
      </w:pPr>
      <w:r w:rsidRPr="00512EB6">
        <w:rPr>
          <w:lang w:val="ru-RU"/>
        </w:rPr>
        <w:t>Конец 2020 года: предполагаемое завершение этапа 2 разработки ГТП № 13 ООН (транспортные средства, работающие на водороде и топливных элементах).</w:t>
      </w:r>
    </w:p>
    <w:p w:rsidR="00542B12" w:rsidRPr="00512EB6" w:rsidRDefault="00542B12" w:rsidP="00542B12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 w:rsidRPr="00512EB6">
        <w:rPr>
          <w:spacing w:val="0"/>
          <w:w w:val="100"/>
          <w:kern w:val="0"/>
          <w:u w:val="single"/>
        </w:rPr>
        <w:tab/>
      </w:r>
      <w:r w:rsidRPr="00512EB6">
        <w:rPr>
          <w:spacing w:val="0"/>
          <w:w w:val="100"/>
          <w:kern w:val="0"/>
          <w:u w:val="single"/>
        </w:rPr>
        <w:tab/>
      </w:r>
      <w:r w:rsidRPr="00512EB6">
        <w:rPr>
          <w:spacing w:val="0"/>
          <w:w w:val="100"/>
          <w:kern w:val="0"/>
          <w:u w:val="single"/>
        </w:rPr>
        <w:tab/>
      </w:r>
    </w:p>
    <w:sectPr w:rsidR="00542B12" w:rsidRPr="00512EB6" w:rsidSect="00542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16" w:rsidRPr="00A312BC" w:rsidRDefault="00115316" w:rsidP="00A312BC"/>
  </w:endnote>
  <w:endnote w:type="continuationSeparator" w:id="0">
    <w:p w:rsidR="00115316" w:rsidRPr="00A312BC" w:rsidRDefault="001153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12" w:rsidRPr="00542B12" w:rsidRDefault="00542B12">
    <w:pPr>
      <w:pStyle w:val="Footer"/>
    </w:pPr>
    <w:r w:rsidRPr="00542B12">
      <w:rPr>
        <w:b/>
        <w:sz w:val="18"/>
      </w:rPr>
      <w:fldChar w:fldCharType="begin"/>
    </w:r>
    <w:r w:rsidRPr="00542B12">
      <w:rPr>
        <w:b/>
        <w:sz w:val="18"/>
      </w:rPr>
      <w:instrText xml:space="preserve"> PAGE  \* MERGEFORMAT </w:instrText>
    </w:r>
    <w:r w:rsidRPr="00542B12">
      <w:rPr>
        <w:b/>
        <w:sz w:val="18"/>
      </w:rPr>
      <w:fldChar w:fldCharType="separate"/>
    </w:r>
    <w:r w:rsidR="00C31251">
      <w:rPr>
        <w:b/>
        <w:noProof/>
        <w:sz w:val="18"/>
      </w:rPr>
      <w:t>2</w:t>
    </w:r>
    <w:r w:rsidRPr="00542B12">
      <w:rPr>
        <w:b/>
        <w:sz w:val="18"/>
      </w:rPr>
      <w:fldChar w:fldCharType="end"/>
    </w:r>
    <w:r>
      <w:rPr>
        <w:b/>
        <w:sz w:val="18"/>
      </w:rPr>
      <w:tab/>
    </w:r>
    <w:r>
      <w:t>GE.18-05576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12" w:rsidRPr="00542B12" w:rsidRDefault="00542B12" w:rsidP="00542B1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GE.18-05576</w:t>
    </w:r>
    <w:r>
      <w:tab/>
    </w:r>
    <w:r w:rsidRPr="00542B12">
      <w:rPr>
        <w:b/>
        <w:sz w:val="18"/>
      </w:rPr>
      <w:fldChar w:fldCharType="begin"/>
    </w:r>
    <w:r w:rsidRPr="00542B12">
      <w:rPr>
        <w:b/>
        <w:sz w:val="18"/>
      </w:rPr>
      <w:instrText xml:space="preserve"> PAGE  \* MERGEFORMAT </w:instrText>
    </w:r>
    <w:r w:rsidRPr="00542B12">
      <w:rPr>
        <w:b/>
        <w:sz w:val="18"/>
      </w:rPr>
      <w:fldChar w:fldCharType="separate"/>
    </w:r>
    <w:r w:rsidR="00C31251">
      <w:rPr>
        <w:b/>
        <w:noProof/>
        <w:sz w:val="18"/>
      </w:rPr>
      <w:t>3</w:t>
    </w:r>
    <w:r w:rsidRPr="00542B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42B12" w:rsidRDefault="00542B12" w:rsidP="00542B1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18-05576  (R)</w:t>
    </w:r>
    <w:r w:rsidR="00581304">
      <w:rPr>
        <w:lang w:val="en-US"/>
      </w:rPr>
      <w:t xml:space="preserve">  110418  110418</w:t>
    </w:r>
    <w:r>
      <w:br/>
    </w:r>
    <w:r w:rsidRPr="00542B12">
      <w:rPr>
        <w:rFonts w:ascii="C39T30Lfz" w:hAnsi="C39T30Lfz"/>
        <w:spacing w:val="0"/>
        <w:w w:val="100"/>
        <w:sz w:val="56"/>
      </w:rPr>
      <w:t></w:t>
    </w:r>
    <w:r w:rsidRPr="00542B12">
      <w:rPr>
        <w:rFonts w:ascii="C39T30Lfz" w:hAnsi="C39T30Lfz"/>
        <w:spacing w:val="0"/>
        <w:w w:val="100"/>
        <w:sz w:val="56"/>
      </w:rPr>
      <w:t></w:t>
    </w:r>
    <w:r w:rsidRPr="00542B12">
      <w:rPr>
        <w:rFonts w:ascii="C39T30Lfz" w:hAnsi="C39T30Lfz"/>
        <w:spacing w:val="0"/>
        <w:w w:val="100"/>
        <w:sz w:val="56"/>
      </w:rPr>
      <w:t></w:t>
    </w:r>
    <w:r w:rsidRPr="00542B12">
      <w:rPr>
        <w:rFonts w:ascii="C39T30Lfz" w:hAnsi="C39T30Lfz"/>
        <w:spacing w:val="0"/>
        <w:w w:val="100"/>
        <w:sz w:val="56"/>
      </w:rPr>
      <w:t></w:t>
    </w:r>
    <w:r w:rsidRPr="00542B12">
      <w:rPr>
        <w:rFonts w:ascii="C39T30Lfz" w:hAnsi="C39T30Lfz"/>
        <w:spacing w:val="0"/>
        <w:w w:val="100"/>
        <w:sz w:val="56"/>
      </w:rPr>
      <w:t></w:t>
    </w:r>
    <w:r w:rsidRPr="00542B12">
      <w:rPr>
        <w:rFonts w:ascii="C39T30Lfz" w:hAnsi="C39T30Lfz"/>
        <w:spacing w:val="0"/>
        <w:w w:val="100"/>
        <w:sz w:val="56"/>
      </w:rPr>
      <w:t></w:t>
    </w:r>
    <w:r w:rsidRPr="00542B12">
      <w:rPr>
        <w:rFonts w:ascii="C39T30Lfz" w:hAnsi="C39T30Lfz"/>
        <w:spacing w:val="0"/>
        <w:w w:val="100"/>
        <w:sz w:val="56"/>
      </w:rPr>
      <w:t></w:t>
    </w:r>
    <w:r w:rsidRPr="00542B12">
      <w:rPr>
        <w:rFonts w:ascii="C39T30Lfz" w:hAnsi="C39T30Lfz"/>
        <w:spacing w:val="0"/>
        <w:w w:val="100"/>
        <w:sz w:val="56"/>
      </w:rPr>
      <w:t></w:t>
    </w:r>
    <w:r w:rsidRPr="00542B1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16" w:rsidRPr="001075E9" w:rsidRDefault="001153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5316" w:rsidRDefault="001153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42B12" w:rsidRPr="006E1445" w:rsidRDefault="00542B12" w:rsidP="00542B12">
      <w:pPr>
        <w:pStyle w:val="FootnoteText"/>
        <w:rPr>
          <w:spacing w:val="0"/>
          <w:w w:val="100"/>
          <w:kern w:val="0"/>
          <w:lang w:val="ru-RU"/>
        </w:rPr>
      </w:pPr>
      <w:r w:rsidRPr="006E1445">
        <w:rPr>
          <w:spacing w:val="0"/>
          <w:w w:val="100"/>
          <w:kern w:val="0"/>
        </w:rPr>
        <w:tab/>
      </w:r>
      <w:r w:rsidRPr="006E1445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6E1445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</w:t>
      </w:r>
      <w:r w:rsidR="006E1445" w:rsidRPr="00293E40">
        <w:rPr>
          <w:spacing w:val="0"/>
          <w:w w:val="100"/>
          <w:kern w:val="0"/>
          <w:lang w:val="ru-RU"/>
        </w:rPr>
        <w:t xml:space="preserve"> </w:t>
      </w:r>
      <w:r w:rsidR="006E1445" w:rsidRPr="00293E40">
        <w:rPr>
          <w:spacing w:val="0"/>
          <w:w w:val="100"/>
          <w:kern w:val="0"/>
          <w:lang w:val="ru-RU"/>
        </w:rPr>
        <w:br/>
      </w:r>
      <w:r w:rsidRPr="006E1445">
        <w:rPr>
          <w:spacing w:val="0"/>
          <w:w w:val="100"/>
          <w:kern w:val="0"/>
          <w:lang w:val="ru-RU"/>
        </w:rPr>
        <w:t>2018−2019 годы (</w:t>
      </w:r>
      <w:r w:rsidRPr="006E1445">
        <w:rPr>
          <w:spacing w:val="0"/>
          <w:w w:val="100"/>
          <w:kern w:val="0"/>
          <w:lang w:val="en-US"/>
        </w:rPr>
        <w:t>ECE</w:t>
      </w:r>
      <w:r w:rsidRPr="006E1445">
        <w:rPr>
          <w:spacing w:val="0"/>
          <w:w w:val="100"/>
          <w:kern w:val="0"/>
          <w:lang w:val="ru-RU"/>
        </w:rPr>
        <w:t>/</w:t>
      </w:r>
      <w:r w:rsidRPr="006E1445">
        <w:rPr>
          <w:spacing w:val="0"/>
          <w:w w:val="100"/>
          <w:kern w:val="0"/>
          <w:lang w:val="en-US"/>
        </w:rPr>
        <w:t>TRANS</w:t>
      </w:r>
      <w:r w:rsidRPr="006E1445">
        <w:rPr>
          <w:spacing w:val="0"/>
          <w:w w:val="100"/>
          <w:kern w:val="0"/>
          <w:lang w:val="ru-RU"/>
        </w:rPr>
        <w:t xml:space="preserve">/274, пункт 123, и </w:t>
      </w:r>
      <w:r w:rsidRPr="006E1445">
        <w:rPr>
          <w:spacing w:val="0"/>
          <w:w w:val="100"/>
          <w:kern w:val="0"/>
          <w:lang w:val="en-US"/>
        </w:rPr>
        <w:t>ECE</w:t>
      </w:r>
      <w:r w:rsidRPr="006E1445">
        <w:rPr>
          <w:spacing w:val="0"/>
          <w:w w:val="100"/>
          <w:kern w:val="0"/>
          <w:lang w:val="ru-RU"/>
        </w:rPr>
        <w:t>/</w:t>
      </w:r>
      <w:r w:rsidRPr="006E1445">
        <w:rPr>
          <w:spacing w:val="0"/>
          <w:w w:val="100"/>
          <w:kern w:val="0"/>
          <w:lang w:val="en-US"/>
        </w:rPr>
        <w:t>TRANS</w:t>
      </w:r>
      <w:r w:rsidRPr="006E1445">
        <w:rPr>
          <w:spacing w:val="0"/>
          <w:w w:val="100"/>
          <w:kern w:val="0"/>
          <w:lang w:val="ru-RU"/>
        </w:rPr>
        <w:t>/2018/21</w:t>
      </w:r>
      <w:r w:rsidR="00293E40" w:rsidRPr="00293E40">
        <w:rPr>
          <w:spacing w:val="0"/>
          <w:w w:val="100"/>
          <w:kern w:val="0"/>
          <w:lang w:val="ru-RU"/>
        </w:rPr>
        <w:t xml:space="preserve"> </w:t>
      </w:r>
      <w:r w:rsidR="00293E40">
        <w:rPr>
          <w:spacing w:val="0"/>
          <w:w w:val="100"/>
          <w:kern w:val="0"/>
          <w:lang w:val="ru-RU"/>
        </w:rPr>
        <w:t xml:space="preserve">и </w:t>
      </w:r>
      <w:r w:rsidRPr="006E1445">
        <w:rPr>
          <w:spacing w:val="0"/>
          <w:w w:val="100"/>
          <w:kern w:val="0"/>
          <w:lang w:val="en-US"/>
        </w:rPr>
        <w:t>Add</w:t>
      </w:r>
      <w:r w:rsidRPr="006E1445">
        <w:rPr>
          <w:spacing w:val="0"/>
          <w:w w:val="100"/>
          <w:kern w:val="0"/>
          <w:lang w:val="ru-RU"/>
        </w:rPr>
        <w:t>.1, направление работы 3.1) Всемирный форум будет разрабатывать, согласовывать и</w:t>
      </w:r>
      <w:r w:rsidRPr="006E1445">
        <w:rPr>
          <w:spacing w:val="0"/>
          <w:w w:val="100"/>
          <w:kern w:val="0"/>
          <w:lang w:val="en-US"/>
        </w:rPr>
        <w:t> </w:t>
      </w:r>
      <w:r w:rsidRPr="006E1445">
        <w:rPr>
          <w:spacing w:val="0"/>
          <w:w w:val="100"/>
          <w:kern w:val="0"/>
          <w:lang w:val="ru-RU"/>
        </w:rPr>
        <w:t>обновлять правила в целях улучшения характеристик транспортных средств. Настоящий</w:t>
      </w:r>
      <w:r w:rsidRPr="006E1445">
        <w:rPr>
          <w:spacing w:val="0"/>
          <w:w w:val="100"/>
          <w:kern w:val="0"/>
          <w:lang w:val="en-US"/>
        </w:rPr>
        <w:t xml:space="preserve"> </w:t>
      </w:r>
      <w:r w:rsidRPr="006E1445">
        <w:rPr>
          <w:spacing w:val="0"/>
          <w:w w:val="100"/>
          <w:kern w:val="0"/>
          <w:lang w:val="ru-RU"/>
        </w:rPr>
        <w:t>документ</w:t>
      </w:r>
      <w:r w:rsidRPr="006E1445">
        <w:rPr>
          <w:spacing w:val="0"/>
          <w:w w:val="100"/>
          <w:kern w:val="0"/>
          <w:lang w:val="en-US"/>
        </w:rPr>
        <w:t xml:space="preserve"> </w:t>
      </w:r>
      <w:r w:rsidRPr="006E1445">
        <w:rPr>
          <w:spacing w:val="0"/>
          <w:w w:val="100"/>
          <w:kern w:val="0"/>
          <w:lang w:val="ru-RU"/>
        </w:rPr>
        <w:t>представлен</w:t>
      </w:r>
      <w:r w:rsidRPr="006E1445">
        <w:rPr>
          <w:spacing w:val="0"/>
          <w:w w:val="100"/>
          <w:kern w:val="0"/>
          <w:lang w:val="en-US"/>
        </w:rPr>
        <w:t xml:space="preserve"> </w:t>
      </w:r>
      <w:r w:rsidRPr="006E1445">
        <w:rPr>
          <w:spacing w:val="0"/>
          <w:w w:val="100"/>
          <w:kern w:val="0"/>
          <w:lang w:val="ru-RU"/>
        </w:rPr>
        <w:t>в</w:t>
      </w:r>
      <w:r w:rsidR="006E1445">
        <w:rPr>
          <w:spacing w:val="0"/>
          <w:w w:val="100"/>
          <w:kern w:val="0"/>
          <w:lang w:val="en-US"/>
        </w:rPr>
        <w:t> </w:t>
      </w:r>
      <w:r w:rsidRPr="006E1445">
        <w:rPr>
          <w:spacing w:val="0"/>
          <w:w w:val="100"/>
          <w:kern w:val="0"/>
          <w:lang w:val="ru-RU"/>
        </w:rPr>
        <w:t>соответствии</w:t>
      </w:r>
      <w:r w:rsidRPr="006E1445">
        <w:rPr>
          <w:spacing w:val="0"/>
          <w:w w:val="100"/>
          <w:kern w:val="0"/>
          <w:lang w:val="en-US"/>
        </w:rPr>
        <w:t xml:space="preserve"> </w:t>
      </w:r>
      <w:r w:rsidRPr="006E1445">
        <w:rPr>
          <w:spacing w:val="0"/>
          <w:w w:val="100"/>
          <w:kern w:val="0"/>
          <w:lang w:val="ru-RU"/>
        </w:rPr>
        <w:t>с</w:t>
      </w:r>
      <w:r w:rsidRPr="006E1445">
        <w:rPr>
          <w:spacing w:val="0"/>
          <w:w w:val="100"/>
          <w:kern w:val="0"/>
          <w:lang w:val="en-US"/>
        </w:rPr>
        <w:t xml:space="preserve"> </w:t>
      </w:r>
      <w:r w:rsidRPr="006E1445">
        <w:rPr>
          <w:spacing w:val="0"/>
          <w:w w:val="100"/>
          <w:kern w:val="0"/>
          <w:lang w:val="ru-RU"/>
        </w:rPr>
        <w:t>этим</w:t>
      </w:r>
      <w:r w:rsidRPr="006E1445">
        <w:rPr>
          <w:spacing w:val="0"/>
          <w:w w:val="100"/>
          <w:kern w:val="0"/>
          <w:lang w:val="en-US"/>
        </w:rPr>
        <w:t xml:space="preserve"> </w:t>
      </w:r>
      <w:r w:rsidRPr="006E1445">
        <w:rPr>
          <w:spacing w:val="0"/>
          <w:w w:val="100"/>
          <w:kern w:val="0"/>
          <w:lang w:val="ru-RU"/>
        </w:rPr>
        <w:t>мандатом</w:t>
      </w:r>
      <w:r w:rsidR="007B44FD">
        <w:rPr>
          <w:spacing w:val="0"/>
          <w:w w:val="100"/>
          <w:kern w:val="0"/>
          <w:lang w:val="ru-RU"/>
        </w:rPr>
        <w:t>.</w:t>
      </w:r>
    </w:p>
    <w:p w:rsidR="00542B12" w:rsidRDefault="00542B12" w:rsidP="00542B12">
      <w:pPr>
        <w:pStyle w:val="FootnoteText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12" w:rsidRPr="00542B12" w:rsidRDefault="00C3125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39C7">
      <w:t>ECE/TRANS/WP.29/2018/75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12" w:rsidRPr="00542B12" w:rsidRDefault="00C31251" w:rsidP="00542B1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39C7">
      <w:t>ECE/TRANS/WP.29/2018/75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04" w:rsidRDefault="00581304" w:rsidP="0058130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316"/>
    <w:rsid w:val="0014152F"/>
    <w:rsid w:val="001632D2"/>
    <w:rsid w:val="00180183"/>
    <w:rsid w:val="0018024D"/>
    <w:rsid w:val="00181447"/>
    <w:rsid w:val="0018649F"/>
    <w:rsid w:val="00196389"/>
    <w:rsid w:val="001B3EF6"/>
    <w:rsid w:val="001C7A89"/>
    <w:rsid w:val="00255343"/>
    <w:rsid w:val="0027151D"/>
    <w:rsid w:val="00293E4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69E4"/>
    <w:rsid w:val="00472C5C"/>
    <w:rsid w:val="004E05B7"/>
    <w:rsid w:val="0050108D"/>
    <w:rsid w:val="00512EB6"/>
    <w:rsid w:val="00513081"/>
    <w:rsid w:val="00517901"/>
    <w:rsid w:val="00526683"/>
    <w:rsid w:val="00542B12"/>
    <w:rsid w:val="005639C1"/>
    <w:rsid w:val="005709E0"/>
    <w:rsid w:val="00572E19"/>
    <w:rsid w:val="00581304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1445"/>
    <w:rsid w:val="006F35EE"/>
    <w:rsid w:val="007021FF"/>
    <w:rsid w:val="00712895"/>
    <w:rsid w:val="00734ACB"/>
    <w:rsid w:val="00757357"/>
    <w:rsid w:val="00792497"/>
    <w:rsid w:val="007B44FD"/>
    <w:rsid w:val="00806737"/>
    <w:rsid w:val="00825F8D"/>
    <w:rsid w:val="00834B71"/>
    <w:rsid w:val="0086119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3239"/>
    <w:rsid w:val="00AB4B51"/>
    <w:rsid w:val="00B10CC7"/>
    <w:rsid w:val="00B36DF7"/>
    <w:rsid w:val="00B539E7"/>
    <w:rsid w:val="00B62458"/>
    <w:rsid w:val="00B63B6E"/>
    <w:rsid w:val="00B66C7D"/>
    <w:rsid w:val="00BC18B2"/>
    <w:rsid w:val="00BD33EE"/>
    <w:rsid w:val="00BE1CC7"/>
    <w:rsid w:val="00BF3C6B"/>
    <w:rsid w:val="00C106D6"/>
    <w:rsid w:val="00C119AE"/>
    <w:rsid w:val="00C31251"/>
    <w:rsid w:val="00C60F0C"/>
    <w:rsid w:val="00C805C9"/>
    <w:rsid w:val="00C82D99"/>
    <w:rsid w:val="00C92939"/>
    <w:rsid w:val="00CA1679"/>
    <w:rsid w:val="00CB151C"/>
    <w:rsid w:val="00CC5D6B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39C7"/>
    <w:rsid w:val="00ED0BDA"/>
    <w:rsid w:val="00EE142A"/>
    <w:rsid w:val="00EF1360"/>
    <w:rsid w:val="00EF3220"/>
    <w:rsid w:val="00F2523A"/>
    <w:rsid w:val="00F43903"/>
    <w:rsid w:val="00F460A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3D4C66C-2BC6-4DED-B663-D26F9108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542B1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542B12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42B1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542B1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qFormat/>
    <w:rsid w:val="00542B1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MS Mincho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542B12"/>
    <w:rPr>
      <w:rFonts w:eastAsia="MS Mincho"/>
      <w:b/>
      <w:sz w:val="24"/>
      <w:lang w:val="en-GB" w:eastAsia="en-US"/>
    </w:rPr>
  </w:style>
  <w:style w:type="character" w:customStyle="1" w:styleId="HChGChar">
    <w:name w:val="_ H _Ch_G Char"/>
    <w:link w:val="HChG"/>
    <w:rsid w:val="00542B12"/>
    <w:rPr>
      <w:rFonts w:eastAsia="MS Mincho"/>
      <w:b/>
      <w:sz w:val="28"/>
      <w:lang w:val="en-GB" w:eastAsia="en-US"/>
    </w:rPr>
  </w:style>
  <w:style w:type="character" w:customStyle="1" w:styleId="H23GChar">
    <w:name w:val="_ H_2/3_G Char"/>
    <w:link w:val="H23G"/>
    <w:locked/>
    <w:rsid w:val="00542B12"/>
    <w:rPr>
      <w:rFonts w:eastAsia="MS Mincho"/>
      <w:b/>
      <w:lang w:val="en-GB" w:eastAsia="en-US"/>
    </w:rPr>
  </w:style>
  <w:style w:type="paragraph" w:customStyle="1" w:styleId="SectionTitle">
    <w:name w:val="SectionTitle"/>
    <w:basedOn w:val="Normal"/>
    <w:next w:val="Heading1"/>
    <w:semiHidden/>
    <w:rsid w:val="00542B12"/>
    <w:pPr>
      <w:keepNext/>
      <w:numPr>
        <w:numId w:val="19"/>
      </w:numPr>
      <w:spacing w:before="120" w:after="360" w:line="240" w:lineRule="auto"/>
      <w:ind w:left="0" w:firstLine="0"/>
      <w:jc w:val="center"/>
    </w:pPr>
    <w:rPr>
      <w:rFonts w:eastAsia="Times New Roman" w:cs="Times New Roman"/>
      <w:b/>
      <w:smallCaps/>
      <w:spacing w:val="0"/>
      <w:w w:val="100"/>
      <w:kern w:val="0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ECE/TRANS/WP.29/2018/75</vt:lpstr>
      <vt:lpstr>ECE/TRANS/WP.29/2018/75</vt:lpstr>
      <vt:lpstr>A/</vt:lpstr>
    </vt:vector>
  </TitlesOfParts>
  <Company>DCM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ECE/TRANS/WP.29/2018/75</dc:title>
  <dc:subject/>
  <dc:creator>SHUVALOVA Natalia</dc:creator>
  <cp:keywords/>
  <cp:lastModifiedBy>New</cp:lastModifiedBy>
  <cp:revision>2</cp:revision>
  <cp:lastPrinted>2018-04-11T15:10:00Z</cp:lastPrinted>
  <dcterms:created xsi:type="dcterms:W3CDTF">2018-05-03T15:30:00Z</dcterms:created>
  <dcterms:modified xsi:type="dcterms:W3CDTF">2018-05-03T15:30:00Z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