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6D3896">
        <w:trPr>
          <w:cantSplit/>
          <w:trHeight w:hRule="exact" w:val="851"/>
        </w:trPr>
        <w:tc>
          <w:tcPr>
            <w:tcW w:w="1276" w:type="dxa"/>
            <w:tcBorders>
              <w:bottom w:val="single" w:sz="4" w:space="0" w:color="auto"/>
            </w:tcBorders>
            <w:shd w:val="clear" w:color="auto" w:fill="auto"/>
            <w:vAlign w:val="bottom"/>
          </w:tcPr>
          <w:p w:rsidR="00B56E9C" w:rsidRDefault="00B56E9C" w:rsidP="006D3896">
            <w:pPr>
              <w:spacing w:after="80"/>
            </w:pPr>
          </w:p>
        </w:tc>
        <w:tc>
          <w:tcPr>
            <w:tcW w:w="2268" w:type="dxa"/>
            <w:tcBorders>
              <w:bottom w:val="single" w:sz="4" w:space="0" w:color="auto"/>
            </w:tcBorders>
            <w:shd w:val="clear" w:color="auto" w:fill="auto"/>
            <w:vAlign w:val="bottom"/>
          </w:tcPr>
          <w:p w:rsidR="00B56E9C" w:rsidRPr="006D3896" w:rsidRDefault="00B56E9C" w:rsidP="006D3896">
            <w:pPr>
              <w:spacing w:after="80" w:line="300" w:lineRule="exact"/>
              <w:rPr>
                <w:b/>
                <w:sz w:val="24"/>
                <w:szCs w:val="24"/>
              </w:rPr>
            </w:pPr>
            <w:r w:rsidRPr="006D389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475AB" w:rsidP="006D3896">
            <w:pPr>
              <w:jc w:val="right"/>
            </w:pPr>
            <w:r w:rsidRPr="006D3896">
              <w:rPr>
                <w:sz w:val="40"/>
              </w:rPr>
              <w:t>ECE</w:t>
            </w:r>
            <w:r>
              <w:t>/TRANS/WP.29/201</w:t>
            </w:r>
            <w:r w:rsidR="00132CDD">
              <w:t>8</w:t>
            </w:r>
            <w:r>
              <w:t>/</w:t>
            </w:r>
            <w:r w:rsidR="00527DDC">
              <w:t>79</w:t>
            </w:r>
          </w:p>
        </w:tc>
      </w:tr>
      <w:tr w:rsidR="00B56E9C" w:rsidTr="006D3896">
        <w:trPr>
          <w:cantSplit/>
          <w:trHeight w:hRule="exact" w:val="2835"/>
        </w:trPr>
        <w:tc>
          <w:tcPr>
            <w:tcW w:w="1276" w:type="dxa"/>
            <w:tcBorders>
              <w:top w:val="single" w:sz="4" w:space="0" w:color="auto"/>
              <w:bottom w:val="single" w:sz="12" w:space="0" w:color="auto"/>
            </w:tcBorders>
            <w:shd w:val="clear" w:color="auto" w:fill="auto"/>
          </w:tcPr>
          <w:p w:rsidR="00B56E9C" w:rsidRDefault="007B03D1" w:rsidP="006D389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6D3896" w:rsidRDefault="00D773DF" w:rsidP="006D3896">
            <w:pPr>
              <w:spacing w:before="120" w:line="420" w:lineRule="exact"/>
              <w:rPr>
                <w:sz w:val="40"/>
                <w:szCs w:val="40"/>
              </w:rPr>
            </w:pPr>
            <w:r w:rsidRPr="006D3896">
              <w:rPr>
                <w:b/>
                <w:sz w:val="40"/>
                <w:szCs w:val="40"/>
              </w:rPr>
              <w:t>Economic and Social Council</w:t>
            </w:r>
          </w:p>
        </w:tc>
        <w:tc>
          <w:tcPr>
            <w:tcW w:w="2835" w:type="dxa"/>
            <w:tcBorders>
              <w:top w:val="single" w:sz="4" w:space="0" w:color="auto"/>
              <w:bottom w:val="single" w:sz="12" w:space="0" w:color="auto"/>
            </w:tcBorders>
            <w:shd w:val="clear" w:color="auto" w:fill="auto"/>
          </w:tcPr>
          <w:p w:rsidR="002475AB" w:rsidRDefault="002475AB" w:rsidP="006D3896">
            <w:pPr>
              <w:spacing w:before="240" w:line="240" w:lineRule="exact"/>
            </w:pPr>
            <w:r>
              <w:t>Distr.: General</w:t>
            </w:r>
          </w:p>
          <w:p w:rsidR="002475AB" w:rsidRDefault="0035119D" w:rsidP="006D3896">
            <w:pPr>
              <w:spacing w:line="240" w:lineRule="exact"/>
            </w:pPr>
            <w:r>
              <w:t>10</w:t>
            </w:r>
            <w:r w:rsidR="002475AB">
              <w:t xml:space="preserve"> </w:t>
            </w:r>
            <w:r w:rsidR="00132CDD">
              <w:t>A</w:t>
            </w:r>
            <w:r w:rsidR="00604CC8">
              <w:t>p</w:t>
            </w:r>
            <w:r w:rsidR="00132CDD">
              <w:t>ril</w:t>
            </w:r>
            <w:r w:rsidR="002475AB">
              <w:t xml:space="preserve"> 201</w:t>
            </w:r>
            <w:r w:rsidR="00132CDD">
              <w:t>8</w:t>
            </w:r>
          </w:p>
          <w:p w:rsidR="002475AB" w:rsidRDefault="002475AB" w:rsidP="006D3896">
            <w:pPr>
              <w:spacing w:line="240" w:lineRule="exact"/>
            </w:pPr>
          </w:p>
          <w:p w:rsidR="00EA2A77" w:rsidRDefault="002475AB" w:rsidP="006D3896">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D125E9" w:rsidRPr="00474896" w:rsidRDefault="00D125E9" w:rsidP="00D125E9">
      <w:pPr>
        <w:spacing w:before="120"/>
        <w:rPr>
          <w:b/>
        </w:rPr>
      </w:pPr>
      <w:r w:rsidRPr="00474896">
        <w:rPr>
          <w:b/>
        </w:rPr>
        <w:t>1</w:t>
      </w:r>
      <w:r w:rsidR="00132CDD" w:rsidRPr="00474896">
        <w:rPr>
          <w:b/>
        </w:rPr>
        <w:t>75</w:t>
      </w:r>
      <w:r w:rsidR="00132CDD" w:rsidRPr="0035119D">
        <w:rPr>
          <w:b/>
        </w:rPr>
        <w:t>th</w:t>
      </w:r>
      <w:r w:rsidR="00132CDD" w:rsidRPr="00474896">
        <w:rPr>
          <w:b/>
        </w:rPr>
        <w:t xml:space="preserve"> </w:t>
      </w:r>
      <w:r w:rsidRPr="00474896">
        <w:rPr>
          <w:b/>
        </w:rPr>
        <w:t>session</w:t>
      </w:r>
    </w:p>
    <w:p w:rsidR="00D125E9" w:rsidRPr="00474896" w:rsidRDefault="00D125E9" w:rsidP="00D125E9">
      <w:r w:rsidRPr="00474896">
        <w:t xml:space="preserve">Geneva, </w:t>
      </w:r>
      <w:r w:rsidR="00474896" w:rsidRPr="00474896">
        <w:rPr>
          <w:lang w:val="en-US"/>
        </w:rPr>
        <w:t>19-22 June 2018</w:t>
      </w:r>
    </w:p>
    <w:p w:rsidR="00D125E9" w:rsidRPr="00474896" w:rsidRDefault="00D125E9" w:rsidP="00D125E9">
      <w:r w:rsidRPr="00474896">
        <w:t>Item 15 of the provisional agenda</w:t>
      </w:r>
    </w:p>
    <w:p w:rsidR="00915EF6" w:rsidRDefault="00474896" w:rsidP="00C96DF2">
      <w:pPr>
        <w:rPr>
          <w:b/>
        </w:rPr>
      </w:pPr>
      <w:r w:rsidRPr="00474896">
        <w:rPr>
          <w:b/>
        </w:rPr>
        <w:t xml:space="preserve">Consideration of technical regulations to be listed </w:t>
      </w:r>
      <w:r w:rsidR="0035119D">
        <w:rPr>
          <w:b/>
        </w:rPr>
        <w:br/>
      </w:r>
      <w:r w:rsidRPr="00474896">
        <w:rPr>
          <w:b/>
        </w:rPr>
        <w:t>in the Compendium of Candidates for UN GTRs</w:t>
      </w:r>
      <w:r w:rsidR="00604CC8">
        <w:rPr>
          <w:b/>
        </w:rPr>
        <w:t>, if any:</w:t>
      </w:r>
    </w:p>
    <w:p w:rsidR="00F545C2" w:rsidRPr="00F545C2" w:rsidRDefault="00F545C2" w:rsidP="0035119D">
      <w:pPr>
        <w:pStyle w:val="HChG"/>
        <w:rPr>
          <w:bCs/>
        </w:rPr>
      </w:pPr>
      <w:r>
        <w:tab/>
      </w:r>
      <w:r>
        <w:tab/>
      </w:r>
      <w:r w:rsidR="00474896" w:rsidRPr="00FC4B10">
        <w:rPr>
          <w:lang w:val="en-US"/>
        </w:rPr>
        <w:t>Request to insert in the Compendium of Candidate for UN GTR, European Union Regulation</w:t>
      </w:r>
      <w:r w:rsidR="00474896">
        <w:rPr>
          <w:lang w:val="en-US"/>
        </w:rPr>
        <w:t>s</w:t>
      </w:r>
      <w:r w:rsidR="00474896" w:rsidRPr="00FC4B10">
        <w:rPr>
          <w:lang w:val="en-US"/>
        </w:rPr>
        <w:t xml:space="preserve"> No. 2</w:t>
      </w:r>
      <w:r w:rsidR="00474896">
        <w:rPr>
          <w:lang w:val="en-US"/>
        </w:rPr>
        <w:t>017/1151 and 2017/1154</w:t>
      </w:r>
      <w:r w:rsidR="00474896" w:rsidRPr="00FC4B10">
        <w:rPr>
          <w:lang w:val="en-US"/>
        </w:rPr>
        <w:t xml:space="preserve"> on Real Driving Emissions (RDE)</w:t>
      </w:r>
    </w:p>
    <w:p w:rsidR="00C11291" w:rsidRDefault="00F545C2" w:rsidP="00F545C2">
      <w:pPr>
        <w:pStyle w:val="H1G"/>
      </w:pPr>
      <w:r>
        <w:tab/>
      </w:r>
      <w:r>
        <w:tab/>
        <w:t xml:space="preserve">Submitted by the </w:t>
      </w:r>
      <w:r w:rsidR="003F61F2">
        <w:t xml:space="preserve">representative of the </w:t>
      </w:r>
      <w:r w:rsidR="00132CDD">
        <w:t>European Union</w:t>
      </w:r>
      <w:r w:rsidR="000647E2" w:rsidRPr="002545EE">
        <w:rPr>
          <w:rStyle w:val="FootnoteReference"/>
          <w:sz w:val="20"/>
          <w:vertAlign w:val="baseline"/>
        </w:rPr>
        <w:footnoteReference w:customMarkFollows="1" w:id="2"/>
        <w:t>*</w:t>
      </w:r>
    </w:p>
    <w:p w:rsidR="00F545C2" w:rsidRDefault="00F545C2" w:rsidP="00F545C2">
      <w:pPr>
        <w:pStyle w:val="SingleTxtG"/>
        <w:ind w:firstLine="567"/>
        <w:rPr>
          <w:lang w:eastAsia="ja-JP"/>
        </w:rPr>
      </w:pPr>
      <w:r>
        <w:rPr>
          <w:rFonts w:hint="eastAsia"/>
          <w:lang w:eastAsia="ja-JP"/>
        </w:rPr>
        <w:t>Th</w:t>
      </w:r>
      <w:r>
        <w:rPr>
          <w:lang w:eastAsia="ja-JP"/>
        </w:rPr>
        <w:t>e</w:t>
      </w:r>
      <w:r>
        <w:rPr>
          <w:rFonts w:hint="eastAsia"/>
          <w:lang w:eastAsia="ja-JP"/>
        </w:rPr>
        <w:t xml:space="preserve"> document </w:t>
      </w:r>
      <w:r>
        <w:rPr>
          <w:lang w:eastAsia="ja-JP"/>
        </w:rPr>
        <w:t xml:space="preserve">reproduced below </w:t>
      </w:r>
      <w:r>
        <w:rPr>
          <w:rFonts w:hint="eastAsia"/>
          <w:lang w:eastAsia="ja-JP"/>
        </w:rPr>
        <w:t xml:space="preserve">is submitted by </w:t>
      </w:r>
      <w:r>
        <w:rPr>
          <w:lang w:eastAsia="ja-JP"/>
        </w:rPr>
        <w:t xml:space="preserve">the </w:t>
      </w:r>
      <w:r w:rsidR="00132CDD">
        <w:rPr>
          <w:lang w:eastAsia="ja-JP"/>
        </w:rPr>
        <w:t xml:space="preserve">European Union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for consideration. It </w:t>
      </w:r>
      <w:r>
        <w:rPr>
          <w:lang w:eastAsia="ja-JP"/>
        </w:rPr>
        <w:t>is a</w:t>
      </w:r>
      <w:r>
        <w:rPr>
          <w:rFonts w:hint="eastAsia"/>
        </w:rPr>
        <w:t xml:space="preserve"> </w:t>
      </w:r>
      <w:r>
        <w:t>request</w:t>
      </w:r>
      <w:r>
        <w:rPr>
          <w:rFonts w:hint="eastAsia"/>
        </w:rPr>
        <w:t xml:space="preserve"> </w:t>
      </w:r>
      <w:r>
        <w:t>to include in the Compendium of Candidates the</w:t>
      </w:r>
      <w:r w:rsidR="00132CDD">
        <w:t xml:space="preserve"> Real Driving Emissions methodology</w:t>
      </w:r>
      <w:r>
        <w:rPr>
          <w:rFonts w:hint="eastAsia"/>
        </w:rPr>
        <w:t>.</w:t>
      </w:r>
      <w:r>
        <w:rPr>
          <w:rFonts w:hint="eastAsia"/>
          <w:lang w:eastAsia="ja-JP"/>
        </w:rPr>
        <w:t xml:space="preserve"> The document is based on </w:t>
      </w:r>
      <w:r>
        <w:rPr>
          <w:lang w:eastAsia="ja-JP"/>
        </w:rPr>
        <w:t xml:space="preserve">informal document </w:t>
      </w:r>
      <w:r w:rsidR="00A03B07">
        <w:rPr>
          <w:bCs/>
        </w:rPr>
        <w:t>WP</w:t>
      </w:r>
      <w:r w:rsidR="00F41957">
        <w:rPr>
          <w:bCs/>
        </w:rPr>
        <w:t>.</w:t>
      </w:r>
      <w:r w:rsidR="00A03B07">
        <w:rPr>
          <w:bCs/>
        </w:rPr>
        <w:t>29–</w:t>
      </w:r>
      <w:r w:rsidR="00132CDD">
        <w:rPr>
          <w:bCs/>
        </w:rPr>
        <w:t>174</w:t>
      </w:r>
      <w:r w:rsidR="00A03B07">
        <w:rPr>
          <w:bCs/>
        </w:rPr>
        <w:t>–</w:t>
      </w:r>
      <w:r w:rsidR="00132CDD">
        <w:rPr>
          <w:bCs/>
        </w:rPr>
        <w:t>09</w:t>
      </w:r>
      <w:r w:rsidRPr="003E03D8">
        <w:rPr>
          <w:lang w:eastAsia="ja-JP"/>
        </w:rPr>
        <w:t>.</w:t>
      </w:r>
      <w:r>
        <w:rPr>
          <w:lang w:eastAsia="ja-JP"/>
        </w:rPr>
        <w:t xml:space="preserve"> </w:t>
      </w:r>
      <w:proofErr w:type="gramStart"/>
      <w:r>
        <w:rPr>
          <w:lang w:eastAsia="ja-JP"/>
        </w:rPr>
        <w:t>In order to</w:t>
      </w:r>
      <w:proofErr w:type="gramEnd"/>
      <w:r>
        <w:rPr>
          <w:lang w:eastAsia="ja-JP"/>
        </w:rPr>
        <w:t xml:space="preserve"> be considered by AC.3, this request is accompanied </w:t>
      </w:r>
      <w:r w:rsidR="00127D23">
        <w:rPr>
          <w:lang w:eastAsia="ja-JP"/>
        </w:rPr>
        <w:t>by</w:t>
      </w:r>
      <w:r>
        <w:rPr>
          <w:lang w:eastAsia="ja-JP"/>
        </w:rPr>
        <w:t xml:space="preserve"> a copy of the regulations mentioned (see Article 5, paras. 5.2.1., 5.2.1.1. and 5.2.2. of the 1998 Agreement).</w:t>
      </w:r>
    </w:p>
    <w:p w:rsidR="00AC47CD" w:rsidRPr="0035119D" w:rsidRDefault="000647E2" w:rsidP="0035119D">
      <w:pPr>
        <w:pStyle w:val="HChG"/>
        <w:ind w:firstLine="0"/>
      </w:pPr>
      <w:r>
        <w:rPr>
          <w:lang w:eastAsia="ja-JP"/>
        </w:rPr>
        <w:br w:type="page"/>
      </w:r>
      <w:r w:rsidR="0035119D" w:rsidRPr="00FC4B10">
        <w:rPr>
          <w:lang w:val="en-US"/>
        </w:rPr>
        <w:lastRenderedPageBreak/>
        <w:t>Request to insert in the Compendium of Candidate for UN GTR, European Union Regulation</w:t>
      </w:r>
      <w:r w:rsidR="0035119D">
        <w:rPr>
          <w:lang w:val="en-US"/>
        </w:rPr>
        <w:t>s</w:t>
      </w:r>
      <w:r w:rsidR="0035119D" w:rsidRPr="00FC4B10">
        <w:rPr>
          <w:lang w:val="en-US"/>
        </w:rPr>
        <w:t xml:space="preserve"> No. 2</w:t>
      </w:r>
      <w:r w:rsidR="0035119D">
        <w:rPr>
          <w:lang w:val="en-US"/>
        </w:rPr>
        <w:t>017/1151 and 2017/1154</w:t>
      </w:r>
      <w:r w:rsidR="0035119D" w:rsidRPr="00FC4B10">
        <w:rPr>
          <w:lang w:val="en-US"/>
        </w:rPr>
        <w:t xml:space="preserve"> on Real Driving Emissions (RDE)</w:t>
      </w:r>
    </w:p>
    <w:p w:rsidR="00CA50AE" w:rsidRPr="00CA50AE" w:rsidRDefault="004E68C9" w:rsidP="0035119D">
      <w:pPr>
        <w:pStyle w:val="SingleTxtG"/>
        <w:rPr>
          <w:lang w:val="en"/>
        </w:rPr>
      </w:pPr>
      <w:r>
        <w:rPr>
          <w:lang w:val="en"/>
        </w:rPr>
        <w:t>1.</w:t>
      </w:r>
      <w:r>
        <w:rPr>
          <w:lang w:val="en"/>
        </w:rPr>
        <w:tab/>
      </w:r>
      <w:r w:rsidR="00132CDD">
        <w:t>The European Union requests</w:t>
      </w:r>
      <w:r w:rsidR="00132CDD">
        <w:rPr>
          <w:rFonts w:hint="eastAsia"/>
        </w:rPr>
        <w:t xml:space="preserve"> </w:t>
      </w:r>
      <w:r w:rsidR="00132CDD">
        <w:t>to include in the Compendium of Candidates the European Real Driving Emissions (RDE) Methodology, as this is currently developed in European RDE acts 1, 2 and 3.</w:t>
      </w:r>
    </w:p>
    <w:p w:rsidR="00CA50AE" w:rsidRPr="00604CC8" w:rsidRDefault="00CA50AE" w:rsidP="00604CC8">
      <w:pPr>
        <w:pStyle w:val="HChG"/>
      </w:pPr>
      <w:r w:rsidRPr="00604CC8">
        <w:tab/>
      </w:r>
      <w:r w:rsidR="0035119D" w:rsidRPr="00604CC8">
        <w:t>I.</w:t>
      </w:r>
      <w:r w:rsidRPr="00604CC8">
        <w:tab/>
      </w:r>
      <w:r w:rsidR="00132CDD" w:rsidRPr="00604CC8">
        <w:t>Background</w:t>
      </w:r>
      <w:r w:rsidRPr="00604CC8">
        <w:t xml:space="preserve"> </w:t>
      </w:r>
    </w:p>
    <w:p w:rsidR="00CA50AE" w:rsidRPr="0035119D" w:rsidRDefault="00132CDD" w:rsidP="0035119D">
      <w:pPr>
        <w:pStyle w:val="SingleTxtG"/>
      </w:pPr>
      <w:r>
        <w:rPr>
          <w:lang w:val="en"/>
        </w:rPr>
        <w:t>2</w:t>
      </w:r>
      <w:r w:rsidR="004E68C9">
        <w:rPr>
          <w:lang w:val="en"/>
        </w:rPr>
        <w:t>.</w:t>
      </w:r>
      <w:r w:rsidR="004E68C9">
        <w:rPr>
          <w:lang w:val="en"/>
        </w:rPr>
        <w:tab/>
      </w:r>
      <w:r>
        <w:t>The European technical working group on RDE-LDV has been working continuously since 2011 in order to develop a procedure capable to assess the emissions from light duty vehicles duri</w:t>
      </w:r>
      <w:r w:rsidRPr="0035119D">
        <w:t>ng real world driving, the so-called Real Driving Emissions (RDE) procedure. Automotive industry, instrument manufacturers, technical experts, environmental NGOs and European legislators participated to the work of the group</w:t>
      </w:r>
      <w:r w:rsidR="00CA50AE" w:rsidRPr="0035119D">
        <w:t xml:space="preserve">. </w:t>
      </w:r>
    </w:p>
    <w:p w:rsidR="00CA50AE" w:rsidRPr="0035119D" w:rsidRDefault="00132CDD" w:rsidP="0035119D">
      <w:pPr>
        <w:pStyle w:val="SingleTxtG"/>
      </w:pPr>
      <w:r w:rsidRPr="0035119D">
        <w:t>3</w:t>
      </w:r>
      <w:r w:rsidR="004E68C9" w:rsidRPr="0035119D">
        <w:t>.</w:t>
      </w:r>
      <w:r w:rsidR="004E68C9" w:rsidRPr="0035119D">
        <w:tab/>
      </w:r>
      <w:r w:rsidRPr="0035119D">
        <w:t>The methodology was implemented in European legislation in three steps between 2015 and 2017 (RDE1, RDE2 and RDE3). RDE1 set the main elements of the methodology, RDE2 set the related Not-To Exceed (NTE) limits for NOx measurements and RDE3 introduced cold start and the measurement of Particle Numbers</w:t>
      </w:r>
      <w:r w:rsidR="00CA50AE" w:rsidRPr="0035119D">
        <w:t xml:space="preserve">. </w:t>
      </w:r>
    </w:p>
    <w:p w:rsidR="00CA50AE" w:rsidRPr="00CA50AE" w:rsidRDefault="0035119D" w:rsidP="0035119D">
      <w:pPr>
        <w:pStyle w:val="SingleTxtG"/>
        <w:rPr>
          <w:lang w:val="en"/>
        </w:rPr>
      </w:pPr>
      <w:r>
        <w:t>4</w:t>
      </w:r>
      <w:r w:rsidR="004E68C9" w:rsidRPr="0035119D">
        <w:t>.</w:t>
      </w:r>
      <w:r w:rsidR="004E68C9" w:rsidRPr="0035119D">
        <w:tab/>
      </w:r>
      <w:r w:rsidR="00132CDD" w:rsidRPr="0035119D">
        <w:t>The consolidated text describing</w:t>
      </w:r>
      <w:r w:rsidR="00132CDD" w:rsidRPr="00946422">
        <w:t xml:space="preserve"> the methodology as it stands in Europe can be found in the Annex </w:t>
      </w:r>
      <w:proofErr w:type="spellStart"/>
      <w:r w:rsidR="00132CDD" w:rsidRPr="00946422">
        <w:t>IIIa</w:t>
      </w:r>
      <w:proofErr w:type="spellEnd"/>
      <w:r w:rsidR="00132CDD" w:rsidRPr="00946422">
        <w:t xml:space="preserve"> of the Regulation (EU) 2017/1151, in the following link: </w:t>
      </w:r>
      <w:hyperlink r:id="rId8" w:history="1">
        <w:r w:rsidR="00132CDD" w:rsidRPr="001813A4">
          <w:rPr>
            <w:rStyle w:val="Hyperlink"/>
          </w:rPr>
          <w:t>http://eur-lex.europa.eu/legal-content/EN/TXT/?uri=CELEX:02017R1151-20170727</w:t>
        </w:r>
      </w:hyperlink>
      <w:r w:rsidR="00CA50AE" w:rsidRPr="00CA50AE">
        <w:rPr>
          <w:lang w:val="en"/>
        </w:rPr>
        <w:t>.</w:t>
      </w:r>
    </w:p>
    <w:p w:rsidR="00C7354A" w:rsidRPr="00604CC8" w:rsidRDefault="00C7354A" w:rsidP="00604CC8">
      <w:pPr>
        <w:pStyle w:val="HChG"/>
        <w:rPr>
          <w:rStyle w:val="Strong"/>
          <w:rFonts w:eastAsia="MS Mincho"/>
          <w:b/>
          <w:bCs w:val="0"/>
        </w:rPr>
      </w:pPr>
      <w:r w:rsidRPr="00604CC8">
        <w:rPr>
          <w:rStyle w:val="Strong"/>
          <w:b/>
          <w:bCs w:val="0"/>
        </w:rPr>
        <w:tab/>
      </w:r>
      <w:r w:rsidR="0035119D" w:rsidRPr="00604CC8">
        <w:rPr>
          <w:rStyle w:val="Strong"/>
          <w:b/>
          <w:bCs w:val="0"/>
        </w:rPr>
        <w:t>II.</w:t>
      </w:r>
      <w:r w:rsidRPr="00604CC8">
        <w:rPr>
          <w:rStyle w:val="Strong"/>
          <w:b/>
          <w:bCs w:val="0"/>
        </w:rPr>
        <w:tab/>
      </w:r>
      <w:r w:rsidR="00132CDD" w:rsidRPr="00604CC8">
        <w:rPr>
          <w:rStyle w:val="Strong"/>
          <w:b/>
          <w:bCs w:val="0"/>
        </w:rPr>
        <w:t>Real Driving Emissions development</w:t>
      </w:r>
    </w:p>
    <w:p w:rsidR="00132CDD" w:rsidRPr="0035119D" w:rsidRDefault="0035119D" w:rsidP="0035119D">
      <w:pPr>
        <w:pStyle w:val="SingleTxtG"/>
      </w:pPr>
      <w:r>
        <w:rPr>
          <w:lang w:val="en"/>
        </w:rPr>
        <w:t>5</w:t>
      </w:r>
      <w:r w:rsidR="004E68C9">
        <w:rPr>
          <w:lang w:val="en"/>
        </w:rPr>
        <w:t>.</w:t>
      </w:r>
      <w:r w:rsidR="004E68C9">
        <w:rPr>
          <w:lang w:val="en"/>
        </w:rPr>
        <w:tab/>
      </w:r>
      <w:r w:rsidR="00132CDD" w:rsidRPr="00132CDD">
        <w:rPr>
          <w:lang w:val="en"/>
        </w:rPr>
        <w:t xml:space="preserve">In Europe the mandatory NOx emission limits for diesel cars have been progressively lowered from 500 mg/km at Euro 3 to 80 mg/km at Euro 6. However, there was strong evidence available already in 2011 that despite these increasingly stringent NOx limits, that were verified under </w:t>
      </w:r>
      <w:proofErr w:type="spellStart"/>
      <w:r w:rsidR="00132CDD" w:rsidRPr="00132CDD">
        <w:rPr>
          <w:lang w:val="en"/>
        </w:rPr>
        <w:t>labo</w:t>
      </w:r>
      <w:r w:rsidR="00132CDD" w:rsidRPr="0035119D">
        <w:t>ratory</w:t>
      </w:r>
      <w:proofErr w:type="spellEnd"/>
      <w:r w:rsidR="00132CDD" w:rsidRPr="0035119D">
        <w:t xml:space="preserve"> conditions and on the standardised test cycle (NEDC), the actual NOx emissions under real-world conditions remained high (Weiss et al. 2011). Euro 5/6 </w:t>
      </w:r>
      <w:r w:rsidR="001C63D2" w:rsidRPr="0035119D">
        <w:t xml:space="preserve">legislation (EU </w:t>
      </w:r>
      <w:r w:rsidR="008937C0" w:rsidRPr="0035119D">
        <w:t xml:space="preserve">2007/715) nevertheless </w:t>
      </w:r>
      <w:r w:rsidR="00132CDD" w:rsidRPr="0035119D">
        <w:t xml:space="preserve">requires the regulatory emission limits to </w:t>
      </w:r>
      <w:r w:rsidR="008937C0" w:rsidRPr="0035119D">
        <w:t xml:space="preserve">be met under </w:t>
      </w:r>
      <w:r w:rsidR="00132CDD" w:rsidRPr="0035119D">
        <w:t xml:space="preserve">"normal conditions of use" and not to a specific test cycle. </w:t>
      </w:r>
    </w:p>
    <w:p w:rsidR="00132CDD" w:rsidRPr="0035119D" w:rsidRDefault="0035119D" w:rsidP="0035119D">
      <w:pPr>
        <w:pStyle w:val="SingleTxtG"/>
      </w:pPr>
      <w:r>
        <w:t>6</w:t>
      </w:r>
      <w:r w:rsidR="00132CDD" w:rsidRPr="0035119D">
        <w:t>.</w:t>
      </w:r>
      <w:r w:rsidR="00132CDD" w:rsidRPr="0035119D">
        <w:tab/>
        <w:t xml:space="preserve">In response to this, the Commission has developed the RDE procedure. This new test procedure makes use of a Portable Emission Measurement System (PEMS) in order to measure emissions while the car drives on a real road. Methodologies were also developed to ensure that the vehicle is driven in a normal way without biased driving that would result in higher emissions than encountered in normal conditions of use and for evaluating the results. </w:t>
      </w:r>
    </w:p>
    <w:p w:rsidR="00132CDD" w:rsidRPr="00132CDD" w:rsidRDefault="0035119D" w:rsidP="0035119D">
      <w:pPr>
        <w:pStyle w:val="SingleTxtG"/>
        <w:rPr>
          <w:lang w:val="en"/>
        </w:rPr>
      </w:pPr>
      <w:r>
        <w:t>7</w:t>
      </w:r>
      <w:r w:rsidR="00132CDD" w:rsidRPr="0035119D">
        <w:t>.</w:t>
      </w:r>
      <w:r w:rsidR="00132CDD" w:rsidRPr="0035119D">
        <w:tab/>
        <w:t>The RDE procedure is vital to controlling the real driving emissions of NOx from diesel cars and of Particles from both diesel and GDI cars. It was phased in for monitoring purposes in Europe from early 2016 to complement the laboratory testing. For the procedure to be effective, mandatory not-to exceed limits were introduced in Europe with a staged introduction, starting in September</w:t>
      </w:r>
      <w:r w:rsidR="00132CDD" w:rsidRPr="00132CDD">
        <w:rPr>
          <w:lang w:val="en"/>
        </w:rPr>
        <w:t xml:space="preserve"> 2017 for new types of vehicles.</w:t>
      </w:r>
    </w:p>
    <w:tbl>
      <w:tblPr>
        <w:tblW w:w="7068" w:type="dxa"/>
        <w:tblInd w:w="1242" w:type="dxa"/>
        <w:tblLayout w:type="fixed"/>
        <w:tblLook w:val="0000" w:firstRow="0" w:lastRow="0" w:firstColumn="0" w:lastColumn="0" w:noHBand="0" w:noVBand="0"/>
      </w:tblPr>
      <w:tblGrid>
        <w:gridCol w:w="1276"/>
        <w:gridCol w:w="2674"/>
        <w:gridCol w:w="3118"/>
      </w:tblGrid>
      <w:tr w:rsidR="00132CDD" w:rsidRPr="00527DDC" w:rsidTr="00527DDC">
        <w:tc>
          <w:tcPr>
            <w:tcW w:w="1276" w:type="dxa"/>
            <w:tcBorders>
              <w:top w:val="single" w:sz="2" w:space="0" w:color="auto"/>
              <w:left w:val="single" w:sz="2" w:space="0" w:color="auto"/>
              <w:bottom w:val="single" w:sz="12" w:space="0" w:color="auto"/>
              <w:right w:val="single" w:sz="2" w:space="0" w:color="auto"/>
            </w:tcBorders>
          </w:tcPr>
          <w:p w:rsidR="00132CDD" w:rsidRPr="00527DDC" w:rsidRDefault="00132CDD" w:rsidP="0035119D">
            <w:pPr>
              <w:pStyle w:val="NormalCentered"/>
              <w:keepNext/>
              <w:keepLines/>
              <w:spacing w:before="80" w:after="80" w:line="200" w:lineRule="exact"/>
              <w:rPr>
                <w:i/>
                <w:iCs/>
                <w:sz w:val="16"/>
                <w:szCs w:val="16"/>
              </w:rPr>
            </w:pPr>
            <w:bookmarkStart w:id="0" w:name="_GoBack"/>
            <w:bookmarkEnd w:id="0"/>
            <w:r w:rsidRPr="00527DDC">
              <w:rPr>
                <w:i/>
                <w:iCs/>
                <w:sz w:val="16"/>
                <w:szCs w:val="16"/>
              </w:rPr>
              <w:lastRenderedPageBreak/>
              <w:t>CF per Stage</w:t>
            </w:r>
          </w:p>
        </w:tc>
        <w:tc>
          <w:tcPr>
            <w:tcW w:w="2674" w:type="dxa"/>
            <w:tcBorders>
              <w:top w:val="single" w:sz="2" w:space="0" w:color="auto"/>
              <w:left w:val="single" w:sz="2" w:space="0" w:color="auto"/>
              <w:bottom w:val="single" w:sz="12" w:space="0" w:color="auto"/>
              <w:right w:val="single" w:sz="2" w:space="0" w:color="auto"/>
            </w:tcBorders>
          </w:tcPr>
          <w:p w:rsidR="00132CDD" w:rsidRPr="00527DDC" w:rsidRDefault="00132CDD" w:rsidP="0035119D">
            <w:pPr>
              <w:pStyle w:val="NormalCentered"/>
              <w:keepNext/>
              <w:keepLines/>
              <w:spacing w:before="80" w:after="80" w:line="200" w:lineRule="exact"/>
              <w:rPr>
                <w:i/>
                <w:iCs/>
                <w:sz w:val="16"/>
                <w:szCs w:val="16"/>
                <w:lang w:val="en-GB"/>
              </w:rPr>
            </w:pPr>
            <w:r w:rsidRPr="00527DDC">
              <w:rPr>
                <w:i/>
                <w:iCs/>
                <w:sz w:val="16"/>
                <w:szCs w:val="16"/>
                <w:lang w:val="en-GB"/>
              </w:rPr>
              <w:t>Mass of oxides of nitrogen (NO</w:t>
            </w:r>
            <w:r w:rsidRPr="00527DDC">
              <w:rPr>
                <w:i/>
                <w:iCs/>
                <w:sz w:val="16"/>
                <w:szCs w:val="16"/>
                <w:vertAlign w:val="subscript"/>
                <w:lang w:val="en-GB"/>
              </w:rPr>
              <w:t>x</w:t>
            </w:r>
            <w:r w:rsidRPr="00527DDC">
              <w:rPr>
                <w:i/>
                <w:iCs/>
                <w:sz w:val="16"/>
                <w:szCs w:val="16"/>
                <w:lang w:val="en-GB"/>
              </w:rPr>
              <w:t>)</w:t>
            </w:r>
          </w:p>
        </w:tc>
        <w:tc>
          <w:tcPr>
            <w:tcW w:w="3118" w:type="dxa"/>
            <w:tcBorders>
              <w:top w:val="single" w:sz="2" w:space="0" w:color="auto"/>
              <w:left w:val="single" w:sz="2" w:space="0" w:color="auto"/>
              <w:bottom w:val="single" w:sz="12" w:space="0" w:color="auto"/>
              <w:right w:val="single" w:sz="2" w:space="0" w:color="auto"/>
            </w:tcBorders>
          </w:tcPr>
          <w:p w:rsidR="00132CDD" w:rsidRPr="00527DDC" w:rsidRDefault="00132CDD" w:rsidP="0035119D">
            <w:pPr>
              <w:pStyle w:val="NormalCentered"/>
              <w:keepNext/>
              <w:keepLines/>
              <w:spacing w:before="80" w:after="80" w:line="200" w:lineRule="exact"/>
              <w:rPr>
                <w:i/>
                <w:iCs/>
                <w:sz w:val="16"/>
                <w:szCs w:val="16"/>
              </w:rPr>
            </w:pPr>
            <w:proofErr w:type="spellStart"/>
            <w:r w:rsidRPr="00527DDC">
              <w:rPr>
                <w:i/>
                <w:iCs/>
                <w:sz w:val="16"/>
                <w:szCs w:val="16"/>
              </w:rPr>
              <w:t>Number</w:t>
            </w:r>
            <w:proofErr w:type="spellEnd"/>
            <w:r w:rsidRPr="00527DDC">
              <w:rPr>
                <w:i/>
                <w:iCs/>
                <w:sz w:val="16"/>
                <w:szCs w:val="16"/>
              </w:rPr>
              <w:t xml:space="preserve"> of </w:t>
            </w:r>
            <w:proofErr w:type="spellStart"/>
            <w:r w:rsidRPr="00527DDC">
              <w:rPr>
                <w:i/>
                <w:iCs/>
                <w:sz w:val="16"/>
                <w:szCs w:val="16"/>
              </w:rPr>
              <w:t>particles</w:t>
            </w:r>
            <w:proofErr w:type="spellEnd"/>
            <w:r w:rsidRPr="00527DDC">
              <w:rPr>
                <w:i/>
                <w:iCs/>
                <w:sz w:val="16"/>
                <w:szCs w:val="16"/>
              </w:rPr>
              <w:t xml:space="preserve"> (PN)</w:t>
            </w:r>
          </w:p>
        </w:tc>
      </w:tr>
      <w:tr w:rsidR="00132CDD" w:rsidRPr="00527DDC" w:rsidTr="00527DDC">
        <w:tc>
          <w:tcPr>
            <w:tcW w:w="1276" w:type="dxa"/>
            <w:tcBorders>
              <w:top w:val="single" w:sz="12" w:space="0" w:color="auto"/>
              <w:left w:val="single" w:sz="2" w:space="0" w:color="auto"/>
              <w:bottom w:val="single" w:sz="2" w:space="0" w:color="auto"/>
              <w:right w:val="single" w:sz="2" w:space="0" w:color="auto"/>
            </w:tcBorders>
          </w:tcPr>
          <w:p w:rsidR="00132CDD" w:rsidRPr="00527DDC" w:rsidRDefault="00132CDD" w:rsidP="0035119D">
            <w:pPr>
              <w:pStyle w:val="NormalLeft"/>
              <w:keepNext/>
              <w:keepLines/>
              <w:spacing w:before="40" w:line="220" w:lineRule="exact"/>
              <w:rPr>
                <w:iCs/>
                <w:sz w:val="18"/>
                <w:szCs w:val="18"/>
              </w:rPr>
            </w:pPr>
            <w:r w:rsidRPr="00527DDC">
              <w:rPr>
                <w:iCs/>
                <w:sz w:val="18"/>
                <w:szCs w:val="18"/>
              </w:rPr>
              <w:t>1</w:t>
            </w:r>
            <w:r w:rsidRPr="00527DDC">
              <w:rPr>
                <w:iCs/>
                <w:sz w:val="18"/>
                <w:szCs w:val="18"/>
                <w:vertAlign w:val="superscript"/>
              </w:rPr>
              <w:t>st</w:t>
            </w:r>
            <w:r w:rsidRPr="00527DDC">
              <w:rPr>
                <w:iCs/>
                <w:sz w:val="18"/>
                <w:szCs w:val="18"/>
              </w:rPr>
              <w:t xml:space="preserve"> stage</w:t>
            </w:r>
          </w:p>
        </w:tc>
        <w:tc>
          <w:tcPr>
            <w:tcW w:w="2674" w:type="dxa"/>
            <w:tcBorders>
              <w:top w:val="single" w:sz="12" w:space="0" w:color="auto"/>
              <w:left w:val="single" w:sz="2" w:space="0" w:color="auto"/>
              <w:bottom w:val="single" w:sz="2" w:space="0" w:color="auto"/>
              <w:right w:val="single" w:sz="2" w:space="0" w:color="auto"/>
            </w:tcBorders>
          </w:tcPr>
          <w:p w:rsidR="00132CDD" w:rsidRPr="00527DDC" w:rsidRDefault="00132CDD" w:rsidP="0035119D">
            <w:pPr>
              <w:pStyle w:val="NormalLeft"/>
              <w:keepNext/>
              <w:keepLines/>
              <w:spacing w:before="40" w:line="220" w:lineRule="exact"/>
              <w:jc w:val="center"/>
              <w:rPr>
                <w:sz w:val="18"/>
                <w:szCs w:val="18"/>
              </w:rPr>
            </w:pPr>
            <w:r w:rsidRPr="00527DDC">
              <w:rPr>
                <w:sz w:val="18"/>
                <w:szCs w:val="18"/>
              </w:rPr>
              <w:t>2,1</w:t>
            </w:r>
          </w:p>
        </w:tc>
        <w:tc>
          <w:tcPr>
            <w:tcW w:w="3118" w:type="dxa"/>
            <w:tcBorders>
              <w:top w:val="single" w:sz="12" w:space="0" w:color="auto"/>
              <w:left w:val="single" w:sz="2" w:space="0" w:color="auto"/>
              <w:bottom w:val="single" w:sz="2" w:space="0" w:color="auto"/>
              <w:right w:val="single" w:sz="2" w:space="0" w:color="auto"/>
            </w:tcBorders>
          </w:tcPr>
          <w:p w:rsidR="00132CDD" w:rsidRPr="00527DDC" w:rsidRDefault="00132CDD" w:rsidP="0035119D">
            <w:pPr>
              <w:pStyle w:val="NormalLeft"/>
              <w:keepNext/>
              <w:keepLines/>
              <w:spacing w:before="40" w:line="220" w:lineRule="exact"/>
              <w:jc w:val="center"/>
              <w:rPr>
                <w:sz w:val="18"/>
                <w:szCs w:val="18"/>
                <w:lang w:val="en-GB"/>
              </w:rPr>
            </w:pPr>
            <w:r w:rsidRPr="00527DDC">
              <w:rPr>
                <w:sz w:val="18"/>
                <w:szCs w:val="18"/>
                <w:lang w:val="en-GB"/>
              </w:rPr>
              <w:t xml:space="preserve">1 + </w:t>
            </w:r>
            <w:r w:rsidRPr="00527DDC">
              <w:rPr>
                <w:i/>
                <w:iCs/>
                <w:sz w:val="18"/>
                <w:szCs w:val="18"/>
                <w:lang w:val="en-GB"/>
              </w:rPr>
              <w:t>margin</w:t>
            </w:r>
            <w:r w:rsidRPr="00527DDC">
              <w:rPr>
                <w:sz w:val="18"/>
                <w:szCs w:val="18"/>
                <w:lang w:val="en-GB"/>
              </w:rPr>
              <w:t xml:space="preserve"> PN with </w:t>
            </w:r>
            <w:r w:rsidRPr="00527DDC">
              <w:rPr>
                <w:i/>
                <w:iCs/>
                <w:sz w:val="18"/>
                <w:szCs w:val="18"/>
                <w:lang w:val="en-GB"/>
              </w:rPr>
              <w:t>margin</w:t>
            </w:r>
            <w:r w:rsidRPr="00527DDC">
              <w:rPr>
                <w:sz w:val="18"/>
                <w:szCs w:val="18"/>
                <w:lang w:val="en-GB"/>
              </w:rPr>
              <w:t xml:space="preserve"> PN = 0,5</w:t>
            </w:r>
          </w:p>
        </w:tc>
      </w:tr>
      <w:tr w:rsidR="00132CDD" w:rsidRPr="00527DDC" w:rsidTr="00527DDC">
        <w:tc>
          <w:tcPr>
            <w:tcW w:w="1276" w:type="dxa"/>
            <w:tcBorders>
              <w:top w:val="single" w:sz="2" w:space="0" w:color="auto"/>
              <w:left w:val="single" w:sz="2" w:space="0" w:color="auto"/>
              <w:bottom w:val="single" w:sz="12" w:space="0" w:color="auto"/>
              <w:right w:val="single" w:sz="2" w:space="0" w:color="auto"/>
            </w:tcBorders>
          </w:tcPr>
          <w:p w:rsidR="00132CDD" w:rsidRPr="00527DDC" w:rsidRDefault="00132CDD" w:rsidP="0035119D">
            <w:pPr>
              <w:pStyle w:val="NormalLeft"/>
              <w:keepNext/>
              <w:keepLines/>
              <w:spacing w:before="40" w:line="220" w:lineRule="exact"/>
              <w:rPr>
                <w:iCs/>
                <w:sz w:val="18"/>
                <w:szCs w:val="18"/>
              </w:rPr>
            </w:pPr>
            <w:r w:rsidRPr="00527DDC">
              <w:rPr>
                <w:iCs/>
                <w:sz w:val="18"/>
                <w:szCs w:val="18"/>
              </w:rPr>
              <w:t>2</w:t>
            </w:r>
            <w:r w:rsidRPr="00527DDC">
              <w:rPr>
                <w:iCs/>
                <w:sz w:val="18"/>
                <w:szCs w:val="18"/>
                <w:vertAlign w:val="superscript"/>
              </w:rPr>
              <w:t>nd</w:t>
            </w:r>
            <w:r w:rsidRPr="00527DDC">
              <w:rPr>
                <w:iCs/>
                <w:sz w:val="18"/>
                <w:szCs w:val="18"/>
              </w:rPr>
              <w:t xml:space="preserve"> stage</w:t>
            </w:r>
          </w:p>
        </w:tc>
        <w:tc>
          <w:tcPr>
            <w:tcW w:w="2674" w:type="dxa"/>
            <w:tcBorders>
              <w:top w:val="single" w:sz="2" w:space="0" w:color="auto"/>
              <w:left w:val="single" w:sz="2" w:space="0" w:color="auto"/>
              <w:bottom w:val="single" w:sz="12" w:space="0" w:color="auto"/>
              <w:right w:val="single" w:sz="2" w:space="0" w:color="auto"/>
            </w:tcBorders>
          </w:tcPr>
          <w:p w:rsidR="00132CDD" w:rsidRPr="00527DDC" w:rsidRDefault="00132CDD" w:rsidP="0035119D">
            <w:pPr>
              <w:pStyle w:val="NormalLeft"/>
              <w:keepNext/>
              <w:keepLines/>
              <w:spacing w:before="40" w:line="220" w:lineRule="exact"/>
              <w:jc w:val="center"/>
              <w:rPr>
                <w:sz w:val="18"/>
                <w:szCs w:val="18"/>
              </w:rPr>
            </w:pPr>
            <w:r w:rsidRPr="00527DDC">
              <w:rPr>
                <w:sz w:val="18"/>
                <w:szCs w:val="18"/>
              </w:rPr>
              <w:t xml:space="preserve">1 + </w:t>
            </w:r>
            <w:proofErr w:type="spellStart"/>
            <w:r w:rsidRPr="00527DDC">
              <w:rPr>
                <w:i/>
                <w:iCs/>
                <w:sz w:val="18"/>
                <w:szCs w:val="18"/>
              </w:rPr>
              <w:t>margin</w:t>
            </w:r>
            <w:proofErr w:type="spellEnd"/>
            <w:r w:rsidRPr="00527DDC">
              <w:rPr>
                <w:sz w:val="18"/>
                <w:szCs w:val="18"/>
              </w:rPr>
              <w:t xml:space="preserve"> </w:t>
            </w:r>
            <w:proofErr w:type="spellStart"/>
            <w:r w:rsidRPr="00527DDC">
              <w:rPr>
                <w:sz w:val="18"/>
                <w:szCs w:val="18"/>
              </w:rPr>
              <w:t>with</w:t>
            </w:r>
            <w:proofErr w:type="spellEnd"/>
            <w:r w:rsidRPr="00527DDC">
              <w:rPr>
                <w:sz w:val="18"/>
                <w:szCs w:val="18"/>
              </w:rPr>
              <w:t xml:space="preserve"> </w:t>
            </w:r>
            <w:proofErr w:type="spellStart"/>
            <w:r w:rsidRPr="00527DDC">
              <w:rPr>
                <w:i/>
                <w:iCs/>
                <w:sz w:val="18"/>
                <w:szCs w:val="18"/>
              </w:rPr>
              <w:t>margin</w:t>
            </w:r>
            <w:proofErr w:type="spellEnd"/>
            <w:r w:rsidRPr="00527DDC">
              <w:rPr>
                <w:sz w:val="18"/>
                <w:szCs w:val="18"/>
              </w:rPr>
              <w:t xml:space="preserve"> = 0,5</w:t>
            </w:r>
          </w:p>
        </w:tc>
        <w:tc>
          <w:tcPr>
            <w:tcW w:w="3118" w:type="dxa"/>
            <w:tcBorders>
              <w:top w:val="single" w:sz="2" w:space="0" w:color="auto"/>
              <w:left w:val="single" w:sz="2" w:space="0" w:color="auto"/>
              <w:bottom w:val="single" w:sz="12" w:space="0" w:color="auto"/>
              <w:right w:val="single" w:sz="2" w:space="0" w:color="auto"/>
            </w:tcBorders>
          </w:tcPr>
          <w:p w:rsidR="00132CDD" w:rsidRPr="00527DDC" w:rsidRDefault="00132CDD" w:rsidP="0035119D">
            <w:pPr>
              <w:pStyle w:val="NormalLeft"/>
              <w:keepNext/>
              <w:keepLines/>
              <w:spacing w:before="40" w:line="220" w:lineRule="exact"/>
              <w:jc w:val="center"/>
              <w:rPr>
                <w:sz w:val="18"/>
                <w:szCs w:val="18"/>
                <w:lang w:val="en-GB"/>
              </w:rPr>
            </w:pPr>
            <w:r w:rsidRPr="00527DDC">
              <w:rPr>
                <w:sz w:val="18"/>
                <w:szCs w:val="18"/>
                <w:lang w:val="en-GB"/>
              </w:rPr>
              <w:t xml:space="preserve">1 + </w:t>
            </w:r>
            <w:r w:rsidRPr="00527DDC">
              <w:rPr>
                <w:i/>
                <w:iCs/>
                <w:sz w:val="18"/>
                <w:szCs w:val="18"/>
                <w:lang w:val="en-GB"/>
              </w:rPr>
              <w:t>margin</w:t>
            </w:r>
            <w:r w:rsidRPr="00527DDC">
              <w:rPr>
                <w:sz w:val="18"/>
                <w:szCs w:val="18"/>
                <w:lang w:val="en-GB"/>
              </w:rPr>
              <w:t xml:space="preserve"> PN with </w:t>
            </w:r>
            <w:r w:rsidRPr="00527DDC">
              <w:rPr>
                <w:i/>
                <w:iCs/>
                <w:sz w:val="18"/>
                <w:szCs w:val="18"/>
                <w:lang w:val="en-GB"/>
              </w:rPr>
              <w:t>margin</w:t>
            </w:r>
            <w:r w:rsidRPr="00527DDC">
              <w:rPr>
                <w:sz w:val="18"/>
                <w:szCs w:val="18"/>
                <w:lang w:val="en-GB"/>
              </w:rPr>
              <w:t xml:space="preserve"> PN = 0,5</w:t>
            </w:r>
          </w:p>
        </w:tc>
      </w:tr>
    </w:tbl>
    <w:p w:rsidR="00C7354A" w:rsidRPr="00C7354A" w:rsidRDefault="007C76A7" w:rsidP="004E68C9">
      <w:pPr>
        <w:pStyle w:val="SingleTxtG"/>
        <w:rPr>
          <w:lang w:val="en"/>
        </w:rPr>
      </w:pPr>
      <w:r>
        <w:rPr>
          <w:lang w:val="en"/>
        </w:rPr>
        <w:t xml:space="preserve">Note: </w:t>
      </w:r>
      <w:r w:rsidRPr="007C76A7">
        <w:rPr>
          <w:i/>
          <w:iCs/>
          <w:lang w:val="en"/>
        </w:rPr>
        <w:t>margin</w:t>
      </w:r>
      <w:r>
        <w:rPr>
          <w:lang w:val="en"/>
        </w:rPr>
        <w:t xml:space="preserve"> and </w:t>
      </w:r>
      <w:r w:rsidRPr="007C76A7">
        <w:rPr>
          <w:i/>
          <w:iCs/>
          <w:lang w:val="en"/>
        </w:rPr>
        <w:t>margin</w:t>
      </w:r>
      <w:r>
        <w:rPr>
          <w:lang w:val="en"/>
        </w:rPr>
        <w:t xml:space="preserve"> PN are subject to annual review</w:t>
      </w:r>
    </w:p>
    <w:p w:rsidR="00C7354A" w:rsidRPr="003E03D8" w:rsidRDefault="00C7354A" w:rsidP="0035119D">
      <w:pPr>
        <w:pStyle w:val="HChG"/>
        <w:rPr>
          <w:rFonts w:eastAsia="MS Mincho"/>
          <w:lang w:val="en" w:eastAsia="ja-JP"/>
        </w:rPr>
      </w:pPr>
      <w:r>
        <w:rPr>
          <w:rFonts w:eastAsia="MS Mincho"/>
          <w:lang w:val="en" w:eastAsia="ja-JP"/>
        </w:rPr>
        <w:tab/>
      </w:r>
      <w:r w:rsidR="0035119D">
        <w:rPr>
          <w:rFonts w:eastAsia="MS Mincho"/>
          <w:lang w:val="en" w:eastAsia="ja-JP"/>
        </w:rPr>
        <w:t>III.</w:t>
      </w:r>
      <w:r>
        <w:rPr>
          <w:rFonts w:eastAsia="MS Mincho"/>
          <w:lang w:val="en" w:eastAsia="ja-JP"/>
        </w:rPr>
        <w:tab/>
      </w:r>
      <w:r w:rsidR="00132CDD">
        <w:rPr>
          <w:rFonts w:eastAsia="MS Mincho"/>
          <w:lang w:val="en" w:eastAsia="ja-JP"/>
        </w:rPr>
        <w:t>Costs and Benefits</w:t>
      </w:r>
    </w:p>
    <w:p w:rsidR="00C7354A" w:rsidRDefault="0035119D" w:rsidP="00871774">
      <w:pPr>
        <w:pStyle w:val="SingleTxtG"/>
        <w:rPr>
          <w:lang w:val="en"/>
        </w:rPr>
      </w:pPr>
      <w:r>
        <w:rPr>
          <w:lang w:val="en"/>
        </w:rPr>
        <w:t>8</w:t>
      </w:r>
      <w:r w:rsidR="00132CDD">
        <w:rPr>
          <w:lang w:val="en"/>
        </w:rPr>
        <w:t>.</w:t>
      </w:r>
      <w:r w:rsidR="00132CDD">
        <w:rPr>
          <w:lang w:val="en"/>
        </w:rPr>
        <w:tab/>
      </w:r>
      <w:r w:rsidR="00132CDD" w:rsidRPr="00132CDD">
        <w:rPr>
          <w:lang w:val="en"/>
        </w:rPr>
        <w:t xml:space="preserve">The new methodology will result in substantial benefits to the public health and welfare through significant annual reductions in emissions of NOx and PN. The clean air impact of this </w:t>
      </w:r>
      <w:proofErr w:type="spellStart"/>
      <w:r w:rsidR="00132CDD" w:rsidRPr="00132CDD">
        <w:rPr>
          <w:lang w:val="en"/>
        </w:rPr>
        <w:t>programme</w:t>
      </w:r>
      <w:proofErr w:type="spellEnd"/>
      <w:r w:rsidR="00132CDD" w:rsidRPr="00132CDD">
        <w:rPr>
          <w:lang w:val="en"/>
        </w:rPr>
        <w:t xml:space="preserve"> will be </w:t>
      </w:r>
      <w:r w:rsidR="00871774" w:rsidRPr="00871774">
        <w:rPr>
          <w:lang w:val="en"/>
        </w:rPr>
        <w:t xml:space="preserve">significant </w:t>
      </w:r>
      <w:r w:rsidR="00132CDD" w:rsidRPr="00132CDD">
        <w:rPr>
          <w:lang w:val="en"/>
        </w:rPr>
        <w:t>when fully implemented. Given that NOx emissions from diesel cars contribute significantly to Europe’s air quality problems, especially in the so-called urban hotspots, any measure that would bring real driving emissions closer to the prescribed limits would have substantial health and environmental benefits.</w:t>
      </w:r>
    </w:p>
    <w:p w:rsidR="00132CDD" w:rsidRPr="00527DDC" w:rsidRDefault="0035119D" w:rsidP="004E68C9">
      <w:pPr>
        <w:pStyle w:val="SingleTxtG"/>
        <w:rPr>
          <w:bCs/>
        </w:rPr>
      </w:pPr>
      <w:r>
        <w:rPr>
          <w:lang w:val="en"/>
        </w:rPr>
        <w:t>9</w:t>
      </w:r>
      <w:r w:rsidR="00132CDD">
        <w:rPr>
          <w:lang w:val="en"/>
        </w:rPr>
        <w:t>.</w:t>
      </w:r>
      <w:r w:rsidR="00132CDD">
        <w:rPr>
          <w:lang w:val="en"/>
        </w:rPr>
        <w:tab/>
      </w:r>
      <w:r w:rsidR="00132CDD">
        <w:t>A study prepared for the European Commission’s air quali</w:t>
      </w:r>
      <w:r w:rsidR="008937C0">
        <w:t xml:space="preserve">ty review by IIASA in 2013 </w:t>
      </w:r>
      <w:r w:rsidR="00132CDD">
        <w:t>analysed the impacts of different assumptions on Euro</w:t>
      </w:r>
      <w:r w:rsidR="00132CDD">
        <w:rPr>
          <w:rFonts w:ascii="Cambria Math" w:hAnsi="Cambria Math" w:cs="Cambria Math"/>
        </w:rPr>
        <w:t xml:space="preserve"> </w:t>
      </w:r>
      <w:r w:rsidR="00132CDD">
        <w:t>6 real world emissions from diesel cars</w:t>
      </w:r>
      <w:r w:rsidR="008937C0">
        <w:t>, f</w:t>
      </w:r>
      <w:r w:rsidR="00132CDD">
        <w:t>orm</w:t>
      </w:r>
      <w:r w:rsidR="008937C0">
        <w:t>ing</w:t>
      </w:r>
      <w:r w:rsidR="00132CDD">
        <w:t xml:space="preserve"> the basis for the assessment of benefits. This study showed that the </w:t>
      </w:r>
      <w:r w:rsidR="00132CDD" w:rsidRPr="00527DDC">
        <w:rPr>
          <w:bCs/>
        </w:rPr>
        <w:t>level of the overall NOx emissions up to 2030 depends “strongly on the effectiveness of Euro 6 emission controls under real-world driving conditions.”</w:t>
      </w:r>
    </w:p>
    <w:p w:rsidR="00132CDD" w:rsidRDefault="00132CDD" w:rsidP="00132CDD">
      <w:pPr>
        <w:pStyle w:val="SingleTxtG"/>
      </w:pPr>
      <w:r>
        <w:rPr>
          <w:lang w:val="en"/>
        </w:rPr>
        <w:t>1</w:t>
      </w:r>
      <w:r w:rsidR="0035119D">
        <w:rPr>
          <w:lang w:val="en"/>
        </w:rPr>
        <w:t>0</w:t>
      </w:r>
      <w:r>
        <w:rPr>
          <w:lang w:val="en"/>
        </w:rPr>
        <w:t>.</w:t>
      </w:r>
      <w:r>
        <w:rPr>
          <w:lang w:val="en"/>
        </w:rPr>
        <w:tab/>
      </w:r>
      <w:r>
        <w:t>The study’s baseline scenario assumes that real</w:t>
      </w:r>
      <w:r>
        <w:rPr>
          <w:rFonts w:ascii="Cambria Math" w:hAnsi="Cambria Math" w:cs="Cambria Math"/>
        </w:rPr>
        <w:t>‐</w:t>
      </w:r>
      <w:r>
        <w:t>driving NOx emissions from Euro</w:t>
      </w:r>
      <w:r>
        <w:rPr>
          <w:rFonts w:ascii="Cambria Math" w:hAnsi="Cambria Math" w:cs="Cambria Math"/>
        </w:rPr>
        <w:t xml:space="preserve"> </w:t>
      </w:r>
      <w:r>
        <w:t xml:space="preserve">6 light duty diesel vehicles will decrease in two steps, namely to about 310 mg NOx/km in a first step from 2015 and to 120 mg NOx/km in a second step from 2017/18. The second reduction was assumed to result from the introduction of RDE testing together with not-to-exceed limits. Compared to the Euro 6 fail scenario, where NOx </w:t>
      </w:r>
      <w:proofErr w:type="gramStart"/>
      <w:r>
        <w:t>continue</w:t>
      </w:r>
      <w:proofErr w:type="gramEnd"/>
      <w:r>
        <w:t xml:space="preserve"> at the level of 310 mg/km after 2017/</w:t>
      </w:r>
      <w:r w:rsidR="008937C0">
        <w:t>2018, the benefits would be</w:t>
      </w:r>
      <w:r>
        <w:t xml:space="preserve"> substantial.</w:t>
      </w:r>
    </w:p>
    <w:p w:rsidR="00132CDD" w:rsidRDefault="00132CDD" w:rsidP="00871774">
      <w:pPr>
        <w:spacing w:before="120" w:after="120"/>
        <w:ind w:left="1134" w:right="1134"/>
        <w:jc w:val="both"/>
      </w:pPr>
      <w:r>
        <w:t>1</w:t>
      </w:r>
      <w:r w:rsidR="0035119D">
        <w:t>1</w:t>
      </w:r>
      <w:r>
        <w:t>.</w:t>
      </w:r>
      <w:r>
        <w:tab/>
      </w:r>
      <w:r w:rsidR="00871774" w:rsidRPr="00871774">
        <w:t>The savings between the Euro 6 fail scenario and the baseline scenario is roughly 500 kilotons (</w:t>
      </w:r>
      <w:proofErr w:type="spellStart"/>
      <w:r w:rsidR="00871774" w:rsidRPr="00871774">
        <w:t>kt</w:t>
      </w:r>
      <w:proofErr w:type="spellEnd"/>
      <w:r w:rsidR="00871774" w:rsidRPr="00871774">
        <w:t xml:space="preserve">) in 2020 and 600 </w:t>
      </w:r>
      <w:proofErr w:type="spellStart"/>
      <w:r w:rsidR="00871774" w:rsidRPr="00871774">
        <w:t>kt</w:t>
      </w:r>
      <w:proofErr w:type="spellEnd"/>
      <w:r w:rsidR="00871774" w:rsidRPr="00871774">
        <w:t xml:space="preserve"> in 2030. By contrast, the Euro 6 impact assessment from 2006 only assumed that a reduction of 282 </w:t>
      </w:r>
      <w:proofErr w:type="spellStart"/>
      <w:r w:rsidR="00871774" w:rsidRPr="00871774">
        <w:t>kt</w:t>
      </w:r>
      <w:proofErr w:type="spellEnd"/>
      <w:r w:rsidR="00871774" w:rsidRPr="00871774">
        <w:t xml:space="preserve"> of NOx would result from the introduction of the Euro 5 and 6 limits in 2020, by comparison to Euro 4. Relying on the findings of the IIASA study, this means that the benefits of an RDE test would exceed the benefits that were assumed to come from the introduction of the Euro 5 and Euro 6 standards in terms of NOx emissions from diesel cars.</w:t>
      </w:r>
      <w:r>
        <w:t xml:space="preserve"> </w:t>
      </w:r>
    </w:p>
    <w:p w:rsidR="00132CDD" w:rsidRPr="00527DDC" w:rsidRDefault="00132CDD" w:rsidP="00132CDD">
      <w:pPr>
        <w:pStyle w:val="SingleTxtG"/>
      </w:pPr>
      <w:r>
        <w:t>1</w:t>
      </w:r>
      <w:r w:rsidR="0035119D">
        <w:t>2</w:t>
      </w:r>
      <w:r>
        <w:t>.</w:t>
      </w:r>
      <w:r>
        <w:tab/>
        <w:t>A simple order of magnitude calculation that applies the standard damage cost value for NOx</w:t>
      </w:r>
      <w:r>
        <w:rPr>
          <w:rStyle w:val="FootnoteReference"/>
        </w:rPr>
        <w:footnoteReference w:id="3"/>
      </w:r>
      <w:r>
        <w:t xml:space="preserve"> from CE Delft (2008) to every tonne of NOx above the baseline can provide an </w:t>
      </w:r>
      <w:r w:rsidRPr="00527DDC">
        <w:t xml:space="preserve">indication of the potential benefits. With an average annual gap of 550 </w:t>
      </w:r>
      <w:proofErr w:type="spellStart"/>
      <w:r w:rsidRPr="00527DDC">
        <w:t>kt</w:t>
      </w:r>
      <w:proofErr w:type="spellEnd"/>
      <w:r w:rsidRPr="00527DDC">
        <w:t xml:space="preserve"> of NOx between the two scenarios during the </w:t>
      </w:r>
      <w:r w:rsidR="00BB1077">
        <w:t>ten</w:t>
      </w:r>
      <w:r w:rsidR="00BB1077" w:rsidRPr="00527DDC">
        <w:t>-year</w:t>
      </w:r>
      <w:r w:rsidRPr="00527DDC">
        <w:t xml:space="preserve"> period from the beginning of 2020 to the beginning of 2030, these benefits would reach € 23.5 billion</w:t>
      </w:r>
      <w:r w:rsidRPr="00527DDC">
        <w:rPr>
          <w:rStyle w:val="FootnoteReference"/>
        </w:rPr>
        <w:footnoteReference w:id="4"/>
      </w:r>
      <w:r w:rsidRPr="00527DDC">
        <w:t>.</w:t>
      </w:r>
    </w:p>
    <w:p w:rsidR="0086371E" w:rsidRPr="003E03D8" w:rsidRDefault="0086371E" w:rsidP="00871774">
      <w:pPr>
        <w:pStyle w:val="HChG"/>
        <w:rPr>
          <w:rFonts w:eastAsia="MS Mincho"/>
          <w:lang w:val="en" w:eastAsia="ja-JP"/>
        </w:rPr>
      </w:pPr>
      <w:r>
        <w:rPr>
          <w:rFonts w:eastAsia="MS Mincho"/>
          <w:lang w:val="en" w:eastAsia="ja-JP"/>
        </w:rPr>
        <w:lastRenderedPageBreak/>
        <w:tab/>
      </w:r>
      <w:r w:rsidR="0035119D">
        <w:rPr>
          <w:rFonts w:eastAsia="MS Mincho"/>
          <w:lang w:val="en" w:eastAsia="ja-JP"/>
        </w:rPr>
        <w:t>IV.</w:t>
      </w:r>
      <w:r>
        <w:rPr>
          <w:rFonts w:eastAsia="MS Mincho"/>
          <w:lang w:val="en" w:eastAsia="ja-JP"/>
        </w:rPr>
        <w:tab/>
      </w:r>
      <w:r w:rsidR="00132CDD">
        <w:rPr>
          <w:rFonts w:eastAsia="MS Mincho"/>
          <w:lang w:val="en" w:eastAsia="ja-JP"/>
        </w:rPr>
        <w:t>Conclusion of the Cost / Benefit analysis</w:t>
      </w:r>
    </w:p>
    <w:p w:rsidR="00132CDD" w:rsidRPr="00527DDC" w:rsidRDefault="00527DDC" w:rsidP="00871774">
      <w:pPr>
        <w:keepNext/>
        <w:keepLines/>
        <w:suppressAutoHyphens w:val="0"/>
        <w:spacing w:before="120" w:after="120" w:line="240" w:lineRule="auto"/>
        <w:ind w:left="1200" w:right="1134"/>
        <w:jc w:val="both"/>
        <w:rPr>
          <w:bCs/>
        </w:rPr>
      </w:pPr>
      <w:r w:rsidRPr="00527DDC">
        <w:rPr>
          <w:bCs/>
        </w:rPr>
        <w:t>1</w:t>
      </w:r>
      <w:r w:rsidR="0035119D">
        <w:rPr>
          <w:bCs/>
        </w:rPr>
        <w:t>3</w:t>
      </w:r>
      <w:r w:rsidRPr="00527DDC">
        <w:rPr>
          <w:bCs/>
        </w:rPr>
        <w:t>.</w:t>
      </w:r>
      <w:r w:rsidRPr="00527DDC">
        <w:rPr>
          <w:bCs/>
        </w:rPr>
        <w:tab/>
        <w:t xml:space="preserve">The </w:t>
      </w:r>
      <w:r w:rsidR="00132CDD" w:rsidRPr="00527DDC">
        <w:rPr>
          <w:bCs/>
        </w:rPr>
        <w:t xml:space="preserve">Cost assumptions of Euro 5/6 impact assessment </w:t>
      </w:r>
      <w:r w:rsidRPr="00527DDC">
        <w:rPr>
          <w:bCs/>
        </w:rPr>
        <w:t xml:space="preserve">are </w:t>
      </w:r>
      <w:r w:rsidR="00132CDD" w:rsidRPr="00527DDC">
        <w:rPr>
          <w:bCs/>
        </w:rPr>
        <w:t>still valid and potentially even on the high side</w:t>
      </w:r>
      <w:r w:rsidRPr="00527DDC">
        <w:rPr>
          <w:bCs/>
        </w:rPr>
        <w:t xml:space="preserve">. </w:t>
      </w:r>
      <w:r w:rsidR="00132CDD" w:rsidRPr="00527DDC">
        <w:rPr>
          <w:bCs/>
        </w:rPr>
        <w:t>With a wider deployment of advanced emission control systems (especially SCR systems), the cost is expected to fall further</w:t>
      </w:r>
      <w:r w:rsidRPr="00527DDC">
        <w:rPr>
          <w:bCs/>
        </w:rPr>
        <w:t>,</w:t>
      </w:r>
      <w:r w:rsidR="00132CDD" w:rsidRPr="00527DDC">
        <w:rPr>
          <w:bCs/>
        </w:rPr>
        <w:t xml:space="preserve"> increasing the gap between impact assessment estimates and actual cost</w:t>
      </w:r>
      <w:r w:rsidR="00871774">
        <w:rPr>
          <w:bCs/>
        </w:rPr>
        <w:t>.</w:t>
      </w:r>
    </w:p>
    <w:p w:rsidR="0086371E" w:rsidRPr="00527DDC" w:rsidRDefault="00527DDC" w:rsidP="00527DDC">
      <w:pPr>
        <w:suppressAutoHyphens w:val="0"/>
        <w:spacing w:before="120" w:after="120" w:line="240" w:lineRule="auto"/>
        <w:ind w:left="1200" w:right="1134"/>
        <w:jc w:val="both"/>
        <w:rPr>
          <w:bCs/>
        </w:rPr>
      </w:pPr>
      <w:r w:rsidRPr="00527DDC">
        <w:rPr>
          <w:bCs/>
        </w:rPr>
        <w:t>1</w:t>
      </w:r>
      <w:r w:rsidR="0035119D">
        <w:rPr>
          <w:bCs/>
        </w:rPr>
        <w:t>4</w:t>
      </w:r>
      <w:r w:rsidRPr="00527DDC">
        <w:rPr>
          <w:bCs/>
        </w:rPr>
        <w:t>.</w:t>
      </w:r>
      <w:r w:rsidRPr="00527DDC">
        <w:rPr>
          <w:bCs/>
        </w:rPr>
        <w:tab/>
      </w:r>
      <w:r w:rsidR="00132CDD" w:rsidRPr="00527DDC">
        <w:rPr>
          <w:bCs/>
        </w:rPr>
        <w:t xml:space="preserve">Avoided NOx emissions </w:t>
      </w:r>
      <w:r w:rsidR="00871774">
        <w:rPr>
          <w:bCs/>
        </w:rPr>
        <w:t>are</w:t>
      </w:r>
      <w:r w:rsidR="00871774" w:rsidRPr="00527DDC">
        <w:rPr>
          <w:bCs/>
        </w:rPr>
        <w:t xml:space="preserve"> </w:t>
      </w:r>
      <w:r w:rsidR="00132CDD" w:rsidRPr="00527DDC">
        <w:rPr>
          <w:bCs/>
        </w:rPr>
        <w:t xml:space="preserve">in the order of magnitude of 500-600 </w:t>
      </w:r>
      <w:proofErr w:type="spellStart"/>
      <w:r w:rsidR="00132CDD" w:rsidRPr="00527DDC">
        <w:rPr>
          <w:bCs/>
        </w:rPr>
        <w:t>kt</w:t>
      </w:r>
      <w:proofErr w:type="spellEnd"/>
      <w:r w:rsidR="00132CDD" w:rsidRPr="00527DDC">
        <w:rPr>
          <w:bCs/>
        </w:rPr>
        <w:t xml:space="preserve"> per year – more than assumed in the Euro 5/6 impact assessment</w:t>
      </w:r>
      <w:r w:rsidRPr="00527DDC">
        <w:rPr>
          <w:bCs/>
        </w:rPr>
        <w:t xml:space="preserve">. </w:t>
      </w:r>
      <w:r w:rsidR="00132CDD" w:rsidRPr="00527DDC">
        <w:rPr>
          <w:bCs/>
        </w:rPr>
        <w:t xml:space="preserve">Monetised benefits </w:t>
      </w:r>
      <w:r w:rsidR="00871774">
        <w:rPr>
          <w:bCs/>
        </w:rPr>
        <w:t xml:space="preserve">are </w:t>
      </w:r>
      <w:r w:rsidR="00132CDD" w:rsidRPr="00527DDC">
        <w:rPr>
          <w:bCs/>
        </w:rPr>
        <w:t xml:space="preserve">very substantial - roughly € 23.5 billion over the </w:t>
      </w:r>
      <w:r w:rsidR="00BB1077" w:rsidRPr="00527DDC">
        <w:rPr>
          <w:bCs/>
        </w:rPr>
        <w:t>ten-year</w:t>
      </w:r>
      <w:r w:rsidR="00132CDD" w:rsidRPr="00527DDC">
        <w:rPr>
          <w:bCs/>
        </w:rPr>
        <w:t xml:space="preserve"> period starting in 2020</w:t>
      </w:r>
    </w:p>
    <w:p w:rsidR="0086371E" w:rsidRPr="003E03D8" w:rsidRDefault="0086371E" w:rsidP="0035119D">
      <w:pPr>
        <w:pStyle w:val="HChG"/>
      </w:pPr>
      <w:r>
        <w:tab/>
      </w:r>
      <w:r w:rsidR="0035119D">
        <w:t>V.</w:t>
      </w:r>
      <w:r>
        <w:tab/>
      </w:r>
      <w:r w:rsidR="00127C56">
        <w:t xml:space="preserve">General comments on the </w:t>
      </w:r>
      <w:r w:rsidR="00127C56">
        <w:rPr>
          <w:rFonts w:eastAsia="MS Mincho"/>
          <w:lang w:val="en" w:eastAsia="ja-JP"/>
        </w:rPr>
        <w:t>Conclusion of the Cost / Benefit analysis</w:t>
      </w:r>
    </w:p>
    <w:p w:rsidR="007B37BC" w:rsidRDefault="004E68C9" w:rsidP="00127C56">
      <w:pPr>
        <w:pStyle w:val="SingleTxtG"/>
      </w:pPr>
      <w:r>
        <w:t>1</w:t>
      </w:r>
      <w:r w:rsidR="0035119D">
        <w:t>5</w:t>
      </w:r>
      <w:r>
        <w:t>.</w:t>
      </w:r>
      <w:r>
        <w:tab/>
      </w:r>
      <w:r w:rsidR="00127C56">
        <w:t>The cost of introducing an RDE methodology and the related NTE limits depends widely on the state of development of the after-treatment systems already in use in the various markets. This is defined by various factors, such as the stringency of the limits and the enforcement powers of the surveillance and conformity checking programmes in the various regions. It is therefore hard to estimate the cost of introduction of RDE requirements for other regions.</w:t>
      </w:r>
    </w:p>
    <w:p w:rsidR="0086371E" w:rsidRPr="0086371E" w:rsidRDefault="00127C56" w:rsidP="007B37BC">
      <w:pPr>
        <w:pStyle w:val="SingleTxtG"/>
      </w:pPr>
      <w:r>
        <w:t>1</w:t>
      </w:r>
      <w:r w:rsidR="0035119D">
        <w:t>6</w:t>
      </w:r>
      <w:r>
        <w:t>.</w:t>
      </w:r>
      <w:r>
        <w:tab/>
      </w:r>
      <w:r w:rsidRPr="00127C56">
        <w:t>In Europe it was estimated that a two-step approach was needed to put the diesel fleet on a clear compliance trajectory while minimising the disruption to development and product cycles. Overall, car makers that have bigger deviations between emissions in the lab and real driving emissions will be more affected than the ones who have already made the effort to install after-treatment equipment that allow compliance in real driving conditions.</w:t>
      </w:r>
    </w:p>
    <w:p w:rsidR="00D93C71" w:rsidRPr="003E03D8" w:rsidRDefault="00D93C71" w:rsidP="0035119D">
      <w:pPr>
        <w:pStyle w:val="HChG"/>
      </w:pPr>
      <w:r>
        <w:tab/>
      </w:r>
      <w:r w:rsidR="0035119D">
        <w:t>VI.</w:t>
      </w:r>
      <w:r>
        <w:tab/>
      </w:r>
      <w:r w:rsidR="00127C56">
        <w:t>Regulatory Text</w:t>
      </w:r>
    </w:p>
    <w:p w:rsidR="00127C56" w:rsidRDefault="00474896" w:rsidP="0035119D">
      <w:pPr>
        <w:pStyle w:val="SingleTxtG"/>
        <w:keepNext/>
        <w:keepLines/>
      </w:pPr>
      <w:r>
        <w:t>1</w:t>
      </w:r>
      <w:r w:rsidR="0035119D">
        <w:t>7</w:t>
      </w:r>
      <w:r>
        <w:t>.</w:t>
      </w:r>
      <w:r>
        <w:tab/>
      </w:r>
      <w:r w:rsidR="00127C56">
        <w:t xml:space="preserve">Consolidated version of RDE1 and RDE2 in Annex IIIA of WLTP: </w:t>
      </w:r>
      <w:r w:rsidR="00127C56">
        <w:br/>
        <w:t xml:space="preserve">http://eur-lex.europa.eu/legal-content/EN/TXT/?uri=CELEX:32017R1151 </w:t>
      </w:r>
    </w:p>
    <w:p w:rsidR="00127C56" w:rsidRPr="00A77B94" w:rsidRDefault="00474896" w:rsidP="0035119D">
      <w:pPr>
        <w:pStyle w:val="SingleTxtG"/>
        <w:keepNext/>
        <w:keepLines/>
        <w:jc w:val="left"/>
        <w:rPr>
          <w:lang w:val="en-US"/>
        </w:rPr>
      </w:pPr>
      <w:r>
        <w:rPr>
          <w:lang w:val="en-US"/>
        </w:rPr>
        <w:t>1</w:t>
      </w:r>
      <w:r w:rsidR="0035119D">
        <w:rPr>
          <w:lang w:val="en-US"/>
        </w:rPr>
        <w:t>8</w:t>
      </w:r>
      <w:r>
        <w:rPr>
          <w:lang w:val="en-US"/>
        </w:rPr>
        <w:t>.</w:t>
      </w:r>
      <w:r>
        <w:rPr>
          <w:lang w:val="en-US"/>
        </w:rPr>
        <w:tab/>
      </w:r>
      <w:r w:rsidR="00A77B94" w:rsidRPr="00A77B94">
        <w:rPr>
          <w:lang w:val="en-US"/>
        </w:rPr>
        <w:t xml:space="preserve">The text for </w:t>
      </w:r>
      <w:r w:rsidR="00127C56" w:rsidRPr="00A77B94">
        <w:rPr>
          <w:lang w:val="en-US"/>
        </w:rPr>
        <w:t>RDE3</w:t>
      </w:r>
      <w:r w:rsidR="00A77B94">
        <w:rPr>
          <w:lang w:val="en-US"/>
        </w:rPr>
        <w:t xml:space="preserve"> can be found at</w:t>
      </w:r>
      <w:r w:rsidR="00127C56" w:rsidRPr="00A77B94">
        <w:rPr>
          <w:lang w:val="en-US"/>
        </w:rPr>
        <w:t>:</w:t>
      </w:r>
      <w:r w:rsidR="00A77B94">
        <w:rPr>
          <w:lang w:val="en-US"/>
        </w:rPr>
        <w:br/>
      </w:r>
      <w:r w:rsidR="00127C56" w:rsidRPr="00A77B94">
        <w:rPr>
          <w:lang w:val="en-US"/>
        </w:rPr>
        <w:t xml:space="preserve">http://eur-lex.europa.eu/legal-content/EN/TXT/?uri=CELEX:32017R1154 </w:t>
      </w:r>
    </w:p>
    <w:p w:rsidR="00D93C71" w:rsidRDefault="0035119D" w:rsidP="0035119D">
      <w:pPr>
        <w:pStyle w:val="SingleTxtG"/>
      </w:pPr>
      <w:r>
        <w:t>19</w:t>
      </w:r>
      <w:r w:rsidR="00474896">
        <w:t>.</w:t>
      </w:r>
      <w:r w:rsidR="00474896">
        <w:tab/>
      </w:r>
      <w:r w:rsidR="00127C56">
        <w:t xml:space="preserve">While the consolidated version of all three acts can be found </w:t>
      </w:r>
      <w:r w:rsidR="00A77B94">
        <w:t>i</w:t>
      </w:r>
      <w:r w:rsidR="00127C56">
        <w:t>n Annex IIIA of the following:</w:t>
      </w:r>
      <w:r w:rsidR="00A77B94">
        <w:br/>
      </w:r>
      <w:hyperlink r:id="rId9" w:history="1">
        <w:r w:rsidRPr="00392ABA">
          <w:rPr>
            <w:rStyle w:val="Hyperlink"/>
          </w:rPr>
          <w:t>http://eur-lex.europa.eu/legal-content/EN/TXT/?uri=CELEX:02017R1151-20170727</w:t>
        </w:r>
      </w:hyperlink>
    </w:p>
    <w:p w:rsidR="0035119D" w:rsidRPr="0035119D" w:rsidRDefault="0035119D" w:rsidP="0035119D">
      <w:pPr>
        <w:pStyle w:val="SingleTxtG"/>
        <w:spacing w:before="240" w:after="0"/>
        <w:jc w:val="center"/>
        <w:rPr>
          <w:u w:val="single"/>
        </w:rPr>
      </w:pPr>
      <w:r>
        <w:rPr>
          <w:u w:val="single"/>
        </w:rPr>
        <w:tab/>
      </w:r>
      <w:r>
        <w:rPr>
          <w:u w:val="single"/>
        </w:rPr>
        <w:tab/>
      </w:r>
      <w:r>
        <w:rPr>
          <w:u w:val="single"/>
        </w:rPr>
        <w:tab/>
      </w:r>
    </w:p>
    <w:sectPr w:rsidR="0035119D" w:rsidRPr="0035119D" w:rsidSect="002475AB">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69C" w:rsidRDefault="001A569C"/>
  </w:endnote>
  <w:endnote w:type="continuationSeparator" w:id="0">
    <w:p w:rsidR="001A569C" w:rsidRDefault="001A569C"/>
  </w:endnote>
  <w:endnote w:type="continuationNotice" w:id="1">
    <w:p w:rsidR="001A569C" w:rsidRDefault="001A5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18" w:rsidRPr="002475AB" w:rsidRDefault="00F77418" w:rsidP="002475AB">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7B03D1">
      <w:rPr>
        <w:b/>
        <w:noProof/>
        <w:sz w:val="18"/>
      </w:rPr>
      <w:t>2</w:t>
    </w:r>
    <w:r w:rsidRPr="002475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18" w:rsidRPr="002475AB" w:rsidRDefault="00F77418" w:rsidP="002475AB">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7B03D1">
      <w:rPr>
        <w:b/>
        <w:noProof/>
        <w:sz w:val="18"/>
      </w:rPr>
      <w:t>3</w:t>
    </w:r>
    <w:r w:rsidRPr="002475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69C" w:rsidRPr="000B175B" w:rsidRDefault="001A569C" w:rsidP="000B175B">
      <w:pPr>
        <w:tabs>
          <w:tab w:val="right" w:pos="2155"/>
        </w:tabs>
        <w:spacing w:after="80"/>
        <w:ind w:left="680"/>
        <w:rPr>
          <w:u w:val="single"/>
        </w:rPr>
      </w:pPr>
      <w:r>
        <w:rPr>
          <w:u w:val="single"/>
        </w:rPr>
        <w:tab/>
      </w:r>
    </w:p>
  </w:footnote>
  <w:footnote w:type="continuationSeparator" w:id="0">
    <w:p w:rsidR="001A569C" w:rsidRPr="00FC68B7" w:rsidRDefault="001A569C" w:rsidP="00FC68B7">
      <w:pPr>
        <w:tabs>
          <w:tab w:val="left" w:pos="2155"/>
        </w:tabs>
        <w:spacing w:after="80"/>
        <w:ind w:left="680"/>
        <w:rPr>
          <w:u w:val="single"/>
        </w:rPr>
      </w:pPr>
      <w:r>
        <w:rPr>
          <w:u w:val="single"/>
        </w:rPr>
        <w:tab/>
      </w:r>
    </w:p>
  </w:footnote>
  <w:footnote w:type="continuationNotice" w:id="1">
    <w:p w:rsidR="001A569C" w:rsidRDefault="001A569C"/>
  </w:footnote>
  <w:footnote w:id="2">
    <w:p w:rsidR="00F77418" w:rsidRPr="00132CDD" w:rsidRDefault="00F77418" w:rsidP="000647E2">
      <w:pPr>
        <w:pStyle w:val="FootnoteText"/>
      </w:pPr>
      <w:r>
        <w:tab/>
      </w:r>
      <w:r w:rsidRPr="002545EE">
        <w:rPr>
          <w:rStyle w:val="FootnoteReference"/>
          <w:sz w:val="20"/>
          <w:vertAlign w:val="baseline"/>
        </w:rPr>
        <w:t>*</w:t>
      </w:r>
      <w:r>
        <w:rPr>
          <w:sz w:val="20"/>
        </w:rPr>
        <w:tab/>
      </w:r>
      <w:r w:rsidR="00474896">
        <w:rPr>
          <w:szCs w:val="18"/>
          <w:lang w:val="en-US"/>
        </w:rPr>
        <w:t xml:space="preserve">In accordance with the </w:t>
      </w:r>
      <w:proofErr w:type="spellStart"/>
      <w:r w:rsidR="00474896">
        <w:rPr>
          <w:szCs w:val="18"/>
          <w:lang w:val="en-US"/>
        </w:rPr>
        <w:t>programme</w:t>
      </w:r>
      <w:proofErr w:type="spellEnd"/>
      <w:r w:rsidR="00474896">
        <w:rPr>
          <w:szCs w:val="18"/>
          <w:lang w:val="en-US"/>
        </w:rPr>
        <w:t xml:space="preserve"> of work of the Inland Transport Committee for </w:t>
      </w:r>
      <w:r w:rsidR="00474896" w:rsidRPr="00474896">
        <w:rPr>
          <w:rFonts w:eastAsia="DengXian"/>
          <w:lang w:val="en-US"/>
        </w:rPr>
        <w:t>2018–2019 (ECE/TRANS/274, para. 123 and ECE/TRANS/2018/21</w:t>
      </w:r>
      <w:r w:rsidR="0035119D">
        <w:rPr>
          <w:rFonts w:eastAsia="DengXian"/>
          <w:lang w:val="en-US"/>
        </w:rPr>
        <w:t>/Add.1</w:t>
      </w:r>
      <w:r w:rsidR="00474896" w:rsidRPr="00474896">
        <w:rPr>
          <w:rFonts w:eastAsia="DengXian"/>
          <w:lang w:val="en-US"/>
        </w:rPr>
        <w:t>, Cluster 3)</w:t>
      </w:r>
      <w:r w:rsidR="00474896">
        <w:rPr>
          <w:szCs w:val="18"/>
          <w:lang w:val="en-US"/>
        </w:rPr>
        <w:t xml:space="preserve">, the World Forum will develop, harmonize and update UN Regulations </w:t>
      </w:r>
      <w:proofErr w:type="gramStart"/>
      <w:r w:rsidR="00474896">
        <w:rPr>
          <w:szCs w:val="18"/>
          <w:lang w:val="en-US"/>
        </w:rPr>
        <w:t>in order to</w:t>
      </w:r>
      <w:proofErr w:type="gramEnd"/>
      <w:r w:rsidR="00474896">
        <w:rPr>
          <w:szCs w:val="18"/>
          <w:lang w:val="en-US"/>
        </w:rPr>
        <w:t xml:space="preserve"> enhance the performance of vehicles. The present document is submitted in conformity with that mandate.</w:t>
      </w:r>
    </w:p>
  </w:footnote>
  <w:footnote w:id="3">
    <w:p w:rsidR="00132CDD" w:rsidRPr="0035119D" w:rsidRDefault="0035119D" w:rsidP="0035119D">
      <w:pPr>
        <w:pStyle w:val="FootnoteText"/>
      </w:pPr>
      <w:r>
        <w:tab/>
      </w:r>
      <w:r w:rsidR="00132CDD">
        <w:rPr>
          <w:rStyle w:val="FootnoteReference"/>
        </w:rPr>
        <w:footnoteRef/>
      </w:r>
      <w:r w:rsidR="00132CDD">
        <w:t xml:space="preserve"> </w:t>
      </w:r>
      <w:r>
        <w:tab/>
      </w:r>
      <w:r w:rsidR="00132CDD">
        <w:t>The study quotes € 440</w:t>
      </w:r>
      <w:r w:rsidR="00132CDD" w:rsidRPr="0035119D">
        <w:t xml:space="preserve">0 per tonne of NOx for the EU 25 in 2000 prices (p.54). This value was updated to the years in question by applying a 2% rate. </w:t>
      </w:r>
    </w:p>
  </w:footnote>
  <w:footnote w:id="4">
    <w:p w:rsidR="00132CDD" w:rsidRDefault="0035119D" w:rsidP="0035119D">
      <w:pPr>
        <w:pStyle w:val="FootnoteText"/>
      </w:pPr>
      <w:r>
        <w:tab/>
      </w:r>
      <w:r w:rsidR="00132CDD" w:rsidRPr="0035119D">
        <w:rPr>
          <w:rStyle w:val="FootnoteReference"/>
        </w:rPr>
        <w:footnoteRef/>
      </w:r>
      <w:r w:rsidR="00132CDD" w:rsidRPr="0035119D">
        <w:t xml:space="preserve"> </w:t>
      </w:r>
      <w:r>
        <w:tab/>
      </w:r>
      <w:r w:rsidR="00132CDD" w:rsidRPr="0035119D">
        <w:t>Net present value in 2017 at</w:t>
      </w:r>
      <w:r w:rsidR="00132CDD">
        <w:t xml:space="preserve"> a 4% discount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18" w:rsidRPr="002475AB" w:rsidRDefault="00132CDD">
    <w:pPr>
      <w:pStyle w:val="Header"/>
    </w:pPr>
    <w:r>
      <w:t>ECE/TRANS/WP.29/2018</w:t>
    </w:r>
    <w:r w:rsidR="00F77418">
      <w:t>/</w:t>
    </w:r>
    <w:r w:rsidR="00527DDC">
      <w:t>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18" w:rsidRPr="002475AB" w:rsidRDefault="00F77418" w:rsidP="002475AB">
    <w:pPr>
      <w:pStyle w:val="Header"/>
      <w:jc w:val="right"/>
    </w:pPr>
    <w:r>
      <w:t>ECE/TRANS/WP.29/201</w:t>
    </w:r>
    <w:r w:rsidR="00527DDC">
      <w:t>8</w:t>
    </w:r>
    <w:r>
      <w:t>/</w:t>
    </w:r>
    <w:r w:rsidR="00527DDC">
      <w:t>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7533C8"/>
    <w:multiLevelType w:val="hybridMultilevel"/>
    <w:tmpl w:val="9D16FF1E"/>
    <w:lvl w:ilvl="0" w:tplc="97028E6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5AB"/>
    <w:rsid w:val="00046B1F"/>
    <w:rsid w:val="00050F6B"/>
    <w:rsid w:val="00052635"/>
    <w:rsid w:val="00057E97"/>
    <w:rsid w:val="000646F4"/>
    <w:rsid w:val="000647E2"/>
    <w:rsid w:val="00072C8C"/>
    <w:rsid w:val="000733B5"/>
    <w:rsid w:val="00081815"/>
    <w:rsid w:val="000931C0"/>
    <w:rsid w:val="000B0595"/>
    <w:rsid w:val="000B175B"/>
    <w:rsid w:val="000B2F02"/>
    <w:rsid w:val="000B3A0F"/>
    <w:rsid w:val="000B4EF7"/>
    <w:rsid w:val="000B783A"/>
    <w:rsid w:val="000C2C03"/>
    <w:rsid w:val="000C2D2E"/>
    <w:rsid w:val="000E0415"/>
    <w:rsid w:val="001103AA"/>
    <w:rsid w:val="0011666B"/>
    <w:rsid w:val="00127C56"/>
    <w:rsid w:val="00127D23"/>
    <w:rsid w:val="00132CDD"/>
    <w:rsid w:val="00144615"/>
    <w:rsid w:val="00156804"/>
    <w:rsid w:val="00165F3A"/>
    <w:rsid w:val="00182290"/>
    <w:rsid w:val="001A3955"/>
    <w:rsid w:val="001A569C"/>
    <w:rsid w:val="001B4B04"/>
    <w:rsid w:val="001C63D2"/>
    <w:rsid w:val="001C6663"/>
    <w:rsid w:val="001C7895"/>
    <w:rsid w:val="001D0C8C"/>
    <w:rsid w:val="001D1419"/>
    <w:rsid w:val="001D26DF"/>
    <w:rsid w:val="001D3A03"/>
    <w:rsid w:val="001E7B67"/>
    <w:rsid w:val="00202DA8"/>
    <w:rsid w:val="00211E0B"/>
    <w:rsid w:val="002475AB"/>
    <w:rsid w:val="0024772E"/>
    <w:rsid w:val="00267F5F"/>
    <w:rsid w:val="00286B4D"/>
    <w:rsid w:val="002D4643"/>
    <w:rsid w:val="002F175C"/>
    <w:rsid w:val="002F7DE0"/>
    <w:rsid w:val="00302E18"/>
    <w:rsid w:val="003229D8"/>
    <w:rsid w:val="0035119D"/>
    <w:rsid w:val="00352709"/>
    <w:rsid w:val="00357638"/>
    <w:rsid w:val="003619B5"/>
    <w:rsid w:val="00361AC3"/>
    <w:rsid w:val="00365763"/>
    <w:rsid w:val="00371178"/>
    <w:rsid w:val="00392E47"/>
    <w:rsid w:val="003A6810"/>
    <w:rsid w:val="003C2CC4"/>
    <w:rsid w:val="003C534D"/>
    <w:rsid w:val="003D4B23"/>
    <w:rsid w:val="003E130E"/>
    <w:rsid w:val="003F61F2"/>
    <w:rsid w:val="00410C89"/>
    <w:rsid w:val="00422E03"/>
    <w:rsid w:val="00426B9B"/>
    <w:rsid w:val="004325CB"/>
    <w:rsid w:val="00442A83"/>
    <w:rsid w:val="0045495B"/>
    <w:rsid w:val="004561E5"/>
    <w:rsid w:val="00474896"/>
    <w:rsid w:val="0048397A"/>
    <w:rsid w:val="00485CBB"/>
    <w:rsid w:val="004866B7"/>
    <w:rsid w:val="004A4D97"/>
    <w:rsid w:val="004C2461"/>
    <w:rsid w:val="004C7462"/>
    <w:rsid w:val="004E68C9"/>
    <w:rsid w:val="004E77B2"/>
    <w:rsid w:val="00504B2D"/>
    <w:rsid w:val="0052136D"/>
    <w:rsid w:val="0052775E"/>
    <w:rsid w:val="00527DDC"/>
    <w:rsid w:val="005420F2"/>
    <w:rsid w:val="0056209A"/>
    <w:rsid w:val="005628B6"/>
    <w:rsid w:val="005941EC"/>
    <w:rsid w:val="0059724D"/>
    <w:rsid w:val="00597355"/>
    <w:rsid w:val="005B320C"/>
    <w:rsid w:val="005B3DB3"/>
    <w:rsid w:val="005B4E13"/>
    <w:rsid w:val="005C342F"/>
    <w:rsid w:val="005C7D1E"/>
    <w:rsid w:val="005F7B75"/>
    <w:rsid w:val="006001EE"/>
    <w:rsid w:val="00604CC8"/>
    <w:rsid w:val="00605042"/>
    <w:rsid w:val="00611FC4"/>
    <w:rsid w:val="006176FB"/>
    <w:rsid w:val="00640B26"/>
    <w:rsid w:val="00652D0A"/>
    <w:rsid w:val="00662BB6"/>
    <w:rsid w:val="00671B51"/>
    <w:rsid w:val="0067362F"/>
    <w:rsid w:val="00676606"/>
    <w:rsid w:val="00677965"/>
    <w:rsid w:val="00684C21"/>
    <w:rsid w:val="006A2530"/>
    <w:rsid w:val="006C3589"/>
    <w:rsid w:val="006D37AF"/>
    <w:rsid w:val="006D3896"/>
    <w:rsid w:val="006D51D0"/>
    <w:rsid w:val="006D5FB9"/>
    <w:rsid w:val="006D658E"/>
    <w:rsid w:val="006E564B"/>
    <w:rsid w:val="006E7191"/>
    <w:rsid w:val="00703577"/>
    <w:rsid w:val="00705894"/>
    <w:rsid w:val="0072632A"/>
    <w:rsid w:val="007327D5"/>
    <w:rsid w:val="007629C8"/>
    <w:rsid w:val="0077047D"/>
    <w:rsid w:val="00792911"/>
    <w:rsid w:val="007B03D1"/>
    <w:rsid w:val="007B37BC"/>
    <w:rsid w:val="007B6BA5"/>
    <w:rsid w:val="007C1D4D"/>
    <w:rsid w:val="007C3390"/>
    <w:rsid w:val="007C4F4B"/>
    <w:rsid w:val="007C76A7"/>
    <w:rsid w:val="007E01E9"/>
    <w:rsid w:val="007E63F3"/>
    <w:rsid w:val="007F6611"/>
    <w:rsid w:val="00811920"/>
    <w:rsid w:val="00815AD0"/>
    <w:rsid w:val="00815EDB"/>
    <w:rsid w:val="008242D7"/>
    <w:rsid w:val="008257B1"/>
    <w:rsid w:val="00832334"/>
    <w:rsid w:val="00843767"/>
    <w:rsid w:val="0086371E"/>
    <w:rsid w:val="008679D9"/>
    <w:rsid w:val="00871774"/>
    <w:rsid w:val="0087490E"/>
    <w:rsid w:val="008878DE"/>
    <w:rsid w:val="008937C0"/>
    <w:rsid w:val="008979B1"/>
    <w:rsid w:val="008A1ED5"/>
    <w:rsid w:val="008A6B25"/>
    <w:rsid w:val="008A6C4F"/>
    <w:rsid w:val="008B2335"/>
    <w:rsid w:val="008B2E36"/>
    <w:rsid w:val="008C55A5"/>
    <w:rsid w:val="008D482A"/>
    <w:rsid w:val="008E0678"/>
    <w:rsid w:val="008F31D2"/>
    <w:rsid w:val="00915EF6"/>
    <w:rsid w:val="00922180"/>
    <w:rsid w:val="009223CA"/>
    <w:rsid w:val="00940F93"/>
    <w:rsid w:val="009448C3"/>
    <w:rsid w:val="009760F3"/>
    <w:rsid w:val="00976CFB"/>
    <w:rsid w:val="009A04E4"/>
    <w:rsid w:val="009A0830"/>
    <w:rsid w:val="009A0E8D"/>
    <w:rsid w:val="009B26E7"/>
    <w:rsid w:val="009B64BB"/>
    <w:rsid w:val="009C5F1B"/>
    <w:rsid w:val="009D16DC"/>
    <w:rsid w:val="00A00697"/>
    <w:rsid w:val="00A00A3F"/>
    <w:rsid w:val="00A01489"/>
    <w:rsid w:val="00A03B07"/>
    <w:rsid w:val="00A3026E"/>
    <w:rsid w:val="00A3135C"/>
    <w:rsid w:val="00A31E94"/>
    <w:rsid w:val="00A338F1"/>
    <w:rsid w:val="00A35BE0"/>
    <w:rsid w:val="00A6129C"/>
    <w:rsid w:val="00A72F22"/>
    <w:rsid w:val="00A7360F"/>
    <w:rsid w:val="00A748A6"/>
    <w:rsid w:val="00A769F4"/>
    <w:rsid w:val="00A776B4"/>
    <w:rsid w:val="00A77B94"/>
    <w:rsid w:val="00A94361"/>
    <w:rsid w:val="00AA293C"/>
    <w:rsid w:val="00AC47CD"/>
    <w:rsid w:val="00B30179"/>
    <w:rsid w:val="00B407BA"/>
    <w:rsid w:val="00B421C1"/>
    <w:rsid w:val="00B53C21"/>
    <w:rsid w:val="00B55C71"/>
    <w:rsid w:val="00B56E4A"/>
    <w:rsid w:val="00B56E9C"/>
    <w:rsid w:val="00B64B1F"/>
    <w:rsid w:val="00B6553F"/>
    <w:rsid w:val="00B77D05"/>
    <w:rsid w:val="00B81206"/>
    <w:rsid w:val="00B81E12"/>
    <w:rsid w:val="00BB1077"/>
    <w:rsid w:val="00BC3FA0"/>
    <w:rsid w:val="00BC74E9"/>
    <w:rsid w:val="00BF68A8"/>
    <w:rsid w:val="00C05DFA"/>
    <w:rsid w:val="00C11291"/>
    <w:rsid w:val="00C11A03"/>
    <w:rsid w:val="00C22C0C"/>
    <w:rsid w:val="00C4527F"/>
    <w:rsid w:val="00C463DD"/>
    <w:rsid w:val="00C4724C"/>
    <w:rsid w:val="00C629A0"/>
    <w:rsid w:val="00C64629"/>
    <w:rsid w:val="00C7354A"/>
    <w:rsid w:val="00C745C3"/>
    <w:rsid w:val="00C96DF2"/>
    <w:rsid w:val="00CA50AE"/>
    <w:rsid w:val="00CB3E03"/>
    <w:rsid w:val="00CD4AA6"/>
    <w:rsid w:val="00CE4A8F"/>
    <w:rsid w:val="00CF5585"/>
    <w:rsid w:val="00D125E9"/>
    <w:rsid w:val="00D2031B"/>
    <w:rsid w:val="00D248B6"/>
    <w:rsid w:val="00D25FE2"/>
    <w:rsid w:val="00D26E07"/>
    <w:rsid w:val="00D43252"/>
    <w:rsid w:val="00D47EEA"/>
    <w:rsid w:val="00D773DF"/>
    <w:rsid w:val="00D845A5"/>
    <w:rsid w:val="00D93C71"/>
    <w:rsid w:val="00D95303"/>
    <w:rsid w:val="00D978C6"/>
    <w:rsid w:val="00DA3C1C"/>
    <w:rsid w:val="00DC6D39"/>
    <w:rsid w:val="00DE395F"/>
    <w:rsid w:val="00DE7F27"/>
    <w:rsid w:val="00DF48DD"/>
    <w:rsid w:val="00E0396F"/>
    <w:rsid w:val="00E046DF"/>
    <w:rsid w:val="00E0519B"/>
    <w:rsid w:val="00E22B0C"/>
    <w:rsid w:val="00E27346"/>
    <w:rsid w:val="00E40A45"/>
    <w:rsid w:val="00E533EB"/>
    <w:rsid w:val="00E560CA"/>
    <w:rsid w:val="00E71BC8"/>
    <w:rsid w:val="00E7260F"/>
    <w:rsid w:val="00E73F5D"/>
    <w:rsid w:val="00E77E4E"/>
    <w:rsid w:val="00E96630"/>
    <w:rsid w:val="00EA2A77"/>
    <w:rsid w:val="00ED7A2A"/>
    <w:rsid w:val="00EF1D7F"/>
    <w:rsid w:val="00F0544A"/>
    <w:rsid w:val="00F31E5F"/>
    <w:rsid w:val="00F41957"/>
    <w:rsid w:val="00F545C2"/>
    <w:rsid w:val="00F6100A"/>
    <w:rsid w:val="00F77418"/>
    <w:rsid w:val="00F93781"/>
    <w:rsid w:val="00FA2CAC"/>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30818396-1067-4568-90D5-708B1842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semiHidden/>
    <w:rsid w:val="000647E2"/>
    <w:rPr>
      <w:sz w:val="18"/>
      <w:lang w:val="en-GB" w:eastAsia="en-US" w:bidi="ar-SA"/>
    </w:rPr>
  </w:style>
  <w:style w:type="paragraph" w:customStyle="1" w:styleId="NormalCentered">
    <w:name w:val="Normal Centered"/>
    <w:basedOn w:val="Normal"/>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Normal"/>
    <w:uiPriority w:val="99"/>
    <w:rsid w:val="00132CDD"/>
    <w:pPr>
      <w:suppressAutoHyphens w:val="0"/>
      <w:autoSpaceDE w:val="0"/>
      <w:autoSpaceDN w:val="0"/>
      <w:spacing w:before="120" w:after="120" w:line="240" w:lineRule="auto"/>
    </w:pPr>
    <w:rPr>
      <w:sz w:val="24"/>
      <w:szCs w:val="24"/>
      <w:lang w:val="fr-FR" w:eastAsia="en-GB"/>
    </w:rPr>
  </w:style>
  <w:style w:type="character" w:styleId="UnresolvedMention">
    <w:name w:val="Unresolved Mention"/>
    <w:basedOn w:val="DefaultParagraphFont"/>
    <w:uiPriority w:val="99"/>
    <w:semiHidden/>
    <w:unhideWhenUsed/>
    <w:rsid w:val="003511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02017R1151-2017072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EN/TXT/?uri=CELEX:02017R1151-2017072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8781</CharactersWithSpaces>
  <SharedDoc>false</SharedDoc>
  <HLinks>
    <vt:vector size="6" baseType="variant">
      <vt:variant>
        <vt:i4>12</vt:i4>
      </vt:variant>
      <vt:variant>
        <vt:i4>0</vt:i4>
      </vt:variant>
      <vt:variant>
        <vt:i4>0</vt:i4>
      </vt:variant>
      <vt:variant>
        <vt:i4>5</vt:i4>
      </vt:variant>
      <vt:variant>
        <vt:lpwstr>http://eur-lex.europa.eu/legal-content/EN/TXT/?uri=CELEX:02017R1151-20170727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Schramm</dc:creator>
  <cp:keywords/>
  <dc:description/>
  <cp:lastModifiedBy>Caillot</cp:lastModifiedBy>
  <cp:revision>2</cp:revision>
  <cp:lastPrinted>2010-02-10T16:26:00Z</cp:lastPrinted>
  <dcterms:created xsi:type="dcterms:W3CDTF">2018-04-10T14:51:00Z</dcterms:created>
  <dcterms:modified xsi:type="dcterms:W3CDTF">2018-04-10T14:51:00Z</dcterms:modified>
</cp:coreProperties>
</file>