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DC4817">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C4817" w:rsidP="00DC4817">
            <w:pPr>
              <w:jc w:val="right"/>
            </w:pPr>
            <w:r w:rsidRPr="00DC4817">
              <w:rPr>
                <w:sz w:val="40"/>
              </w:rPr>
              <w:t>ECE</w:t>
            </w:r>
            <w:r>
              <w:t>/TRANS/WP.29/GRE/2018/47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C4817" w:rsidP="00C97039">
            <w:pPr>
              <w:spacing w:before="240"/>
            </w:pPr>
            <w:r>
              <w:t>Distr. générale</w:t>
            </w:r>
          </w:p>
          <w:p w:rsidR="00DC4817" w:rsidRDefault="00DC4817" w:rsidP="00DC4817">
            <w:pPr>
              <w:spacing w:line="240" w:lineRule="exact"/>
            </w:pPr>
            <w:r>
              <w:t>10 août 2018</w:t>
            </w:r>
          </w:p>
          <w:p w:rsidR="00DC4817" w:rsidRDefault="00DC4817" w:rsidP="00DC4817">
            <w:pPr>
              <w:spacing w:line="240" w:lineRule="exact"/>
            </w:pPr>
            <w:r>
              <w:t>Français</w:t>
            </w:r>
          </w:p>
          <w:p w:rsidR="00DC4817" w:rsidRPr="00DB58B5" w:rsidRDefault="00DC4817" w:rsidP="00DC481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C4817" w:rsidRDefault="00DC4817"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w:t>
      </w:r>
      <w:r w:rsidR="00C20A28">
        <w:rPr>
          <w:b/>
          <w:sz w:val="24"/>
          <w:szCs w:val="24"/>
        </w:rPr>
        <w:t xml:space="preserve"> </w:t>
      </w:r>
      <w:r w:rsidRPr="00685843">
        <w:rPr>
          <w:b/>
          <w:sz w:val="24"/>
          <w:szCs w:val="24"/>
        </w:rPr>
        <w:t xml:space="preserve"> les véhicules</w:t>
      </w:r>
    </w:p>
    <w:p w:rsidR="00DC4817" w:rsidRDefault="00DC4817" w:rsidP="00257168">
      <w:pPr>
        <w:spacing w:before="120" w:after="120" w:line="240" w:lineRule="exact"/>
        <w:rPr>
          <w:b/>
        </w:rPr>
      </w:pPr>
      <w:r>
        <w:rPr>
          <w:b/>
        </w:rPr>
        <w:t>Groupe de travail de l’éclairage et de la signalisation lumineuse</w:t>
      </w:r>
    </w:p>
    <w:p w:rsidR="00DC4817" w:rsidRDefault="00DC4817" w:rsidP="00257168">
      <w:pPr>
        <w:spacing w:before="120" w:line="240" w:lineRule="exact"/>
        <w:rPr>
          <w:b/>
        </w:rPr>
      </w:pPr>
      <w:r>
        <w:rPr>
          <w:b/>
        </w:rPr>
        <w:t>Soixante-neuvième session</w:t>
      </w:r>
    </w:p>
    <w:p w:rsidR="00DC4817" w:rsidRDefault="00DC4817" w:rsidP="00257168">
      <w:pPr>
        <w:spacing w:line="240" w:lineRule="exact"/>
      </w:pPr>
      <w:r>
        <w:t>Genève, 23-26 octobre 2018</w:t>
      </w:r>
    </w:p>
    <w:p w:rsidR="00DC4817" w:rsidRDefault="00DC4817" w:rsidP="00257168">
      <w:pPr>
        <w:spacing w:line="240" w:lineRule="exact"/>
      </w:pPr>
      <w:r>
        <w:t>Point 7 b) de l’ordre du jour provisoire</w:t>
      </w:r>
    </w:p>
    <w:p w:rsidR="0025539E" w:rsidRPr="00B63A3D" w:rsidRDefault="0025539E" w:rsidP="0025539E">
      <w:pPr>
        <w:rPr>
          <w:b/>
          <w:bCs/>
        </w:rPr>
      </w:pPr>
      <w:r>
        <w:rPr>
          <w:b/>
          <w:bCs/>
          <w:lang w:val="fr-FR"/>
        </w:rPr>
        <w:t>Autres Règlements ONU :</w:t>
      </w:r>
    </w:p>
    <w:p w:rsidR="0025539E" w:rsidRPr="00B63A3D" w:rsidRDefault="0025539E" w:rsidP="0025539E">
      <w:pPr>
        <w:rPr>
          <w:b/>
          <w:bCs/>
        </w:rPr>
      </w:pPr>
      <w:r w:rsidRPr="00B63A3D">
        <w:rPr>
          <w:b/>
          <w:lang w:val="fr-FR"/>
        </w:rPr>
        <w:t xml:space="preserve">Règlement ONU </w:t>
      </w:r>
      <w:r>
        <w:rPr>
          <w:b/>
          <w:lang w:val="fr-FR"/>
        </w:rPr>
        <w:t>n</w:t>
      </w:r>
      <w:r w:rsidRPr="0025539E">
        <w:rPr>
          <w:b/>
          <w:vertAlign w:val="superscript"/>
          <w:lang w:val="fr-FR"/>
        </w:rPr>
        <w:t>o</w:t>
      </w:r>
      <w:r>
        <w:rPr>
          <w:b/>
          <w:lang w:val="fr-FR"/>
        </w:rPr>
        <w:t> </w:t>
      </w:r>
      <w:r w:rsidRPr="00B63A3D">
        <w:rPr>
          <w:b/>
          <w:lang w:val="fr-FR"/>
        </w:rPr>
        <w:t>53 (Installation des dispositifs d</w:t>
      </w:r>
      <w:r>
        <w:rPr>
          <w:b/>
          <w:lang w:val="fr-FR"/>
        </w:rPr>
        <w:t>’</w:t>
      </w:r>
      <w:r w:rsidRPr="00B63A3D">
        <w:rPr>
          <w:b/>
          <w:lang w:val="fr-FR"/>
        </w:rPr>
        <w:t xml:space="preserve">éclairage </w:t>
      </w:r>
      <w:r>
        <w:rPr>
          <w:b/>
          <w:lang w:val="fr-FR"/>
        </w:rPr>
        <w:br/>
      </w:r>
      <w:r w:rsidRPr="00B63A3D">
        <w:rPr>
          <w:b/>
          <w:lang w:val="fr-FR"/>
        </w:rPr>
        <w:t>et de signalisation lumineuse su</w:t>
      </w:r>
      <w:r>
        <w:rPr>
          <w:b/>
          <w:lang w:val="fr-FR"/>
        </w:rPr>
        <w:t>r les véhicules de la catégorie </w:t>
      </w:r>
      <w:r w:rsidRPr="00B63A3D">
        <w:rPr>
          <w:b/>
          <w:lang w:val="fr-FR"/>
        </w:rPr>
        <w:t>L</w:t>
      </w:r>
      <w:r w:rsidRPr="0095485E">
        <w:rPr>
          <w:b/>
          <w:vertAlign w:val="subscript"/>
          <w:lang w:val="fr-FR"/>
        </w:rPr>
        <w:t>3</w:t>
      </w:r>
      <w:r w:rsidRPr="00B63A3D">
        <w:rPr>
          <w:b/>
          <w:lang w:val="fr-FR"/>
        </w:rPr>
        <w:t>)</w:t>
      </w:r>
    </w:p>
    <w:p w:rsidR="0025539E" w:rsidRPr="00B63A3D" w:rsidRDefault="0025539E" w:rsidP="0025539E">
      <w:pPr>
        <w:pStyle w:val="HChG"/>
      </w:pPr>
      <w:r w:rsidRPr="0025539E">
        <w:rPr>
          <w:spacing w:val="3"/>
          <w:lang w:val="fr-FR"/>
        </w:rPr>
        <w:tab/>
      </w:r>
      <w:r w:rsidRPr="0025539E">
        <w:rPr>
          <w:spacing w:val="3"/>
          <w:lang w:val="fr-FR"/>
        </w:rPr>
        <w:tab/>
        <w:t>Proposition de nouveau complément à la série 01 et</w:t>
      </w:r>
      <w:r>
        <w:rPr>
          <w:lang w:val="fr-FR"/>
        </w:rPr>
        <w:t xml:space="preserve"> </w:t>
      </w:r>
      <w:r>
        <w:rPr>
          <w:lang w:val="fr-FR"/>
        </w:rPr>
        <w:br/>
      </w:r>
      <w:r w:rsidRPr="0025539E">
        <w:rPr>
          <w:spacing w:val="-2"/>
          <w:lang w:val="fr-FR"/>
        </w:rPr>
        <w:t>à la série 02 d’amendements au Règlement ONU n</w:t>
      </w:r>
      <w:r w:rsidRPr="0025539E">
        <w:rPr>
          <w:spacing w:val="-2"/>
          <w:vertAlign w:val="superscript"/>
          <w:lang w:val="fr-FR"/>
        </w:rPr>
        <w:t>o</w:t>
      </w:r>
      <w:r w:rsidRPr="0025539E">
        <w:rPr>
          <w:spacing w:val="-2"/>
          <w:lang w:val="fr-FR"/>
        </w:rPr>
        <w:t xml:space="preserve"> 53 (Installation des dispositifs d’éclairage et de signalisation </w:t>
      </w:r>
      <w:r>
        <w:rPr>
          <w:lang w:val="fr-FR"/>
        </w:rPr>
        <w:t>lumineuse sur les véhicules de la catégorie L</w:t>
      </w:r>
      <w:r w:rsidRPr="0095485E">
        <w:rPr>
          <w:vertAlign w:val="subscript"/>
          <w:lang w:val="fr-FR"/>
        </w:rPr>
        <w:t>3</w:t>
      </w:r>
      <w:r>
        <w:rPr>
          <w:lang w:val="fr-FR"/>
        </w:rPr>
        <w:t>)</w:t>
      </w:r>
    </w:p>
    <w:p w:rsidR="0025539E" w:rsidRPr="00B63A3D" w:rsidRDefault="0025539E" w:rsidP="0025539E">
      <w:pPr>
        <w:pStyle w:val="H1G"/>
      </w:pPr>
      <w:r>
        <w:rPr>
          <w:lang w:val="fr-FR"/>
        </w:rPr>
        <w:tab/>
      </w:r>
      <w:r>
        <w:rPr>
          <w:lang w:val="fr-FR"/>
        </w:rPr>
        <w:tab/>
        <w:t>Communication de l’expert de Inde</w:t>
      </w:r>
      <w:r w:rsidRPr="00DE5D5F">
        <w:rPr>
          <w:rStyle w:val="FootnoteReference"/>
          <w:b w:val="0"/>
          <w:sz w:val="20"/>
          <w:vertAlign w:val="baseline"/>
        </w:rPr>
        <w:footnoteReference w:customMarkFollows="1" w:id="2"/>
        <w:t>*</w:t>
      </w:r>
    </w:p>
    <w:p w:rsidR="0025539E" w:rsidRDefault="0025539E" w:rsidP="0025539E">
      <w:pPr>
        <w:pStyle w:val="SingleTxtG"/>
        <w:ind w:firstLine="567"/>
        <w:rPr>
          <w:lang w:val="fr-FR"/>
        </w:rPr>
      </w:pPr>
      <w:r>
        <w:rPr>
          <w:lang w:val="fr-FR"/>
        </w:rPr>
        <w:t>Le texte ci-après, établi par les experts de l’Inde, vise à rendre facultative l’installation des feux de position avant, en raison de l’introduction de dispositions relatives à l’allumage automatique des projecteurs ou, à défaut, des feux de circulation diurne, dans le Règlement ONU n</w:t>
      </w:r>
      <w:r w:rsidRPr="0025539E">
        <w:rPr>
          <w:vertAlign w:val="superscript"/>
          <w:lang w:val="fr-FR"/>
        </w:rPr>
        <w:t>o</w:t>
      </w:r>
      <w:r>
        <w:rPr>
          <w:lang w:val="fr-FR"/>
        </w:rPr>
        <w:t> 53. Le présent document fait la synthèse des documents informels GRE-76-06 et GRE-77-08. Les modifications qu’il est proposé d’apporter au texte figurent en caractères gras pour les ajouts et biffés pour les suppressions.</w:t>
      </w:r>
    </w:p>
    <w:p w:rsidR="0025539E" w:rsidRPr="00B63A3D" w:rsidRDefault="0025539E" w:rsidP="0025539E">
      <w:pPr>
        <w:pStyle w:val="HChG"/>
        <w:rPr>
          <w:rFonts w:eastAsia="Times New Roman"/>
        </w:rPr>
      </w:pPr>
      <w:r>
        <w:rPr>
          <w:lang w:val="fr-FR"/>
        </w:rPr>
        <w:br w:type="page"/>
      </w:r>
      <w:r>
        <w:rPr>
          <w:lang w:val="fr-FR"/>
        </w:rPr>
        <w:lastRenderedPageBreak/>
        <w:tab/>
        <w:t>I.</w:t>
      </w:r>
      <w:r>
        <w:rPr>
          <w:lang w:val="fr-FR"/>
        </w:rPr>
        <w:tab/>
        <w:t>Proposition</w:t>
      </w:r>
    </w:p>
    <w:p w:rsidR="0025539E" w:rsidRPr="00B63A3D" w:rsidRDefault="0025539E" w:rsidP="0025539E">
      <w:pPr>
        <w:pStyle w:val="SingleTxtG"/>
      </w:pPr>
      <w:r>
        <w:rPr>
          <w:i/>
          <w:iCs/>
          <w:lang w:val="fr-FR"/>
        </w:rPr>
        <w:t xml:space="preserve">Paragraphe 5.10, </w:t>
      </w:r>
      <w:r>
        <w:rPr>
          <w:lang w:val="fr-FR"/>
        </w:rPr>
        <w:t>modifier comme suit :</w:t>
      </w:r>
    </w:p>
    <w:p w:rsidR="0025539E" w:rsidRPr="00B63A3D" w:rsidRDefault="0025539E" w:rsidP="0025539E">
      <w:pPr>
        <w:pStyle w:val="SingleTxtG"/>
        <w:ind w:left="2268" w:hanging="1134"/>
        <w:rPr>
          <w:b/>
          <w:color w:val="000000" w:themeColor="text1"/>
        </w:rPr>
      </w:pPr>
      <w:r>
        <w:rPr>
          <w:lang w:val="fr-FR"/>
        </w:rPr>
        <w:t>« 5.10</w:t>
      </w:r>
      <w:r>
        <w:rPr>
          <w:lang w:val="fr-FR"/>
        </w:rPr>
        <w:tab/>
        <w:t>Les branchements électriques doivent être tels que l</w:t>
      </w:r>
      <w:r>
        <w:rPr>
          <w:strike/>
          <w:lang w:val="fr-FR"/>
        </w:rPr>
        <w:t>e feu de position avant ou, à défaut,</w:t>
      </w:r>
      <w:r>
        <w:rPr>
          <w:lang w:val="fr-FR"/>
        </w:rPr>
        <w:t xml:space="preserve"> le feu de croisement, le feu de position arrière et le dispositif d’éclairage de la plaque d’immatriculation arrière ne puissent, sauf indication contraire, être allumés ou éteints que simultanément. </w:t>
      </w:r>
      <w:r>
        <w:rPr>
          <w:b/>
          <w:bCs/>
          <w:lang w:val="fr-FR"/>
        </w:rPr>
        <w:t xml:space="preserve">Cette disposition ne s’applique pas </w:t>
      </w:r>
      <w:r w:rsidRPr="006F6299">
        <w:rPr>
          <w:b/>
          <w:szCs w:val="24"/>
          <w:lang w:val="fr-FR"/>
        </w:rPr>
        <w:t>durant la période comprise entre</w:t>
      </w:r>
      <w:r w:rsidRPr="004F2002">
        <w:rPr>
          <w:b/>
          <w:lang w:val="fr-FR"/>
        </w:rPr>
        <w:t xml:space="preserve"> l</w:t>
      </w:r>
      <w:r>
        <w:rPr>
          <w:b/>
          <w:lang w:val="fr-FR"/>
        </w:rPr>
        <w:t>’</w:t>
      </w:r>
      <w:r w:rsidRPr="004F2002">
        <w:rPr>
          <w:b/>
          <w:lang w:val="fr-FR"/>
        </w:rPr>
        <w:t>activation du commutateur de contact du véhicule (contact d</w:t>
      </w:r>
      <w:r>
        <w:rPr>
          <w:b/>
          <w:lang w:val="fr-FR"/>
        </w:rPr>
        <w:t>’</w:t>
      </w:r>
      <w:r w:rsidRPr="004F2002">
        <w:rPr>
          <w:b/>
          <w:lang w:val="fr-FR"/>
        </w:rPr>
        <w:t>allumage) et le</w:t>
      </w:r>
      <w:r>
        <w:rPr>
          <w:b/>
          <w:bCs/>
          <w:lang w:val="fr-FR"/>
        </w:rPr>
        <w:t xml:space="preserve"> démarrage du moteur.</w:t>
      </w:r>
      <w:r w:rsidRPr="009C5D91">
        <w:rPr>
          <w:bCs/>
          <w:lang w:val="fr-FR"/>
        </w:rPr>
        <w:t> »</w:t>
      </w:r>
      <w:r>
        <w:rPr>
          <w:bCs/>
          <w:lang w:val="fr-FR"/>
        </w:rPr>
        <w:t>.</w:t>
      </w:r>
    </w:p>
    <w:p w:rsidR="0025539E" w:rsidRPr="00B63A3D" w:rsidRDefault="0025539E" w:rsidP="0025539E">
      <w:pPr>
        <w:pStyle w:val="SingleTxtG"/>
      </w:pPr>
      <w:r>
        <w:rPr>
          <w:i/>
          <w:iCs/>
          <w:lang w:val="fr-FR"/>
        </w:rPr>
        <w:t>Paragraphe 5.14,</w:t>
      </w:r>
      <w:r>
        <w:rPr>
          <w:lang w:val="fr-FR"/>
        </w:rPr>
        <w:t xml:space="preserve"> modifier comme suit :</w:t>
      </w:r>
    </w:p>
    <w:p w:rsidR="0025539E" w:rsidRPr="00B63A3D" w:rsidRDefault="0025539E" w:rsidP="0025539E">
      <w:pPr>
        <w:pStyle w:val="SingleTxtG"/>
        <w:ind w:left="2268" w:hanging="1134"/>
      </w:pPr>
      <w:r>
        <w:rPr>
          <w:lang w:val="fr-FR"/>
        </w:rPr>
        <w:t>« 5.14</w:t>
      </w:r>
      <w:r>
        <w:rPr>
          <w:lang w:val="fr-FR"/>
        </w:rPr>
        <w:tab/>
        <w:t>Tout véhicule présenté à l’homologation en application du présent Règlement doit être équipé des dispositifs d’éclairage et de signalisation lumineuse suivants :</w:t>
      </w:r>
    </w:p>
    <w:p w:rsidR="0025539E" w:rsidRPr="00B63A3D" w:rsidRDefault="0025539E" w:rsidP="0025539E">
      <w:pPr>
        <w:pStyle w:val="SingleTxtG"/>
        <w:ind w:left="2268" w:hanging="1134"/>
      </w:pPr>
      <w:r>
        <w:rPr>
          <w:lang w:val="fr-FR"/>
        </w:rPr>
        <w:t>5.14.1</w:t>
      </w:r>
      <w:r>
        <w:rPr>
          <w:lang w:val="fr-FR"/>
        </w:rPr>
        <w:tab/>
        <w:t>Feu de route (par. 6.1) ;</w:t>
      </w:r>
    </w:p>
    <w:p w:rsidR="0025539E" w:rsidRPr="00B63A3D" w:rsidRDefault="0025539E" w:rsidP="0025539E">
      <w:pPr>
        <w:pStyle w:val="SingleTxtG"/>
        <w:ind w:left="2268" w:hanging="1134"/>
      </w:pPr>
      <w:r>
        <w:rPr>
          <w:lang w:val="fr-FR"/>
        </w:rPr>
        <w:t>5.14.2</w:t>
      </w:r>
      <w:r>
        <w:rPr>
          <w:lang w:val="fr-FR"/>
        </w:rPr>
        <w:tab/>
        <w:t>Feu de croisement (par. 6.2) ;</w:t>
      </w:r>
    </w:p>
    <w:p w:rsidR="0025539E" w:rsidRPr="00B63A3D" w:rsidRDefault="0025539E" w:rsidP="0025539E">
      <w:pPr>
        <w:pStyle w:val="SingleTxtG"/>
        <w:ind w:left="2268" w:hanging="1134"/>
      </w:pPr>
      <w:r>
        <w:rPr>
          <w:lang w:val="fr-FR"/>
        </w:rPr>
        <w:t>5.14.3</w:t>
      </w:r>
      <w:r>
        <w:rPr>
          <w:lang w:val="fr-FR"/>
        </w:rPr>
        <w:tab/>
        <w:t>Feu indicateur de direction (par. 6.3) ;</w:t>
      </w:r>
    </w:p>
    <w:p w:rsidR="0025539E" w:rsidRPr="00B63A3D" w:rsidRDefault="0025539E" w:rsidP="0025539E">
      <w:pPr>
        <w:pStyle w:val="SingleTxtG"/>
        <w:ind w:left="2268" w:hanging="1134"/>
      </w:pPr>
      <w:r>
        <w:rPr>
          <w:lang w:val="fr-FR"/>
        </w:rPr>
        <w:t>5.14.4</w:t>
      </w:r>
      <w:r>
        <w:rPr>
          <w:lang w:val="fr-FR"/>
        </w:rPr>
        <w:tab/>
        <w:t>Feu-stop, dispositif de la catégorie S1 tel que précisé dans le Règlement ONU n</w:t>
      </w:r>
      <w:r w:rsidRPr="006F6299">
        <w:rPr>
          <w:vertAlign w:val="superscript"/>
          <w:lang w:val="fr-FR"/>
        </w:rPr>
        <w:t>o</w:t>
      </w:r>
      <w:r>
        <w:rPr>
          <w:lang w:val="fr-FR"/>
        </w:rPr>
        <w:t> 7 ou feu-stop tel que précisé dans le Règlement ONU n</w:t>
      </w:r>
      <w:r>
        <w:rPr>
          <w:vertAlign w:val="superscript"/>
          <w:lang w:val="fr-FR"/>
        </w:rPr>
        <w:t>o</w:t>
      </w:r>
      <w:r>
        <w:rPr>
          <w:lang w:val="fr-FR"/>
        </w:rPr>
        <w:t> 50 (par. 6.4) ;</w:t>
      </w:r>
    </w:p>
    <w:p w:rsidR="0025539E" w:rsidRPr="00B63A3D" w:rsidRDefault="0025539E" w:rsidP="0025539E">
      <w:pPr>
        <w:pStyle w:val="SingleTxtG"/>
        <w:ind w:left="2268" w:hanging="1134"/>
      </w:pPr>
      <w:r>
        <w:rPr>
          <w:lang w:val="fr-FR"/>
        </w:rPr>
        <w:t>5.14.5</w:t>
      </w:r>
      <w:r>
        <w:rPr>
          <w:lang w:val="fr-FR"/>
        </w:rPr>
        <w:tab/>
        <w:t>Dispositif d’éclairage de la plaque d’immatriculation arrière (par. 6.5) ;</w:t>
      </w:r>
    </w:p>
    <w:p w:rsidR="0025539E" w:rsidRPr="00B63A3D" w:rsidRDefault="0025539E" w:rsidP="0025539E">
      <w:pPr>
        <w:pStyle w:val="SingleTxtG"/>
        <w:ind w:left="2268" w:hanging="1134"/>
      </w:pPr>
      <w:r>
        <w:rPr>
          <w:lang w:val="fr-FR"/>
        </w:rPr>
        <w:t>5.14.6</w:t>
      </w:r>
      <w:r>
        <w:rPr>
          <w:lang w:val="fr-FR"/>
        </w:rPr>
        <w:tab/>
        <w:t>Feu de position avant (par. 6.6) ;</w:t>
      </w:r>
    </w:p>
    <w:p w:rsidR="0025539E" w:rsidRPr="00B63A3D" w:rsidRDefault="0025539E" w:rsidP="0025539E">
      <w:pPr>
        <w:pStyle w:val="SingleTxtG"/>
        <w:ind w:left="2268"/>
        <w:rPr>
          <w:color w:val="000000" w:themeColor="text1"/>
        </w:rPr>
      </w:pPr>
      <w:r>
        <w:rPr>
          <w:b/>
          <w:bCs/>
          <w:lang w:val="fr-FR"/>
        </w:rPr>
        <w:t>L’installation du ou des feux de position avant est facultative dans les cas où une défaillance de la source lumineuse d’un projecteur ne modifie pas le fonctionnement de tous les autres projecteurs.</w:t>
      </w:r>
    </w:p>
    <w:p w:rsidR="0025539E" w:rsidRPr="00B63A3D" w:rsidRDefault="0025539E" w:rsidP="0025539E">
      <w:pPr>
        <w:pStyle w:val="SingleTxtG"/>
        <w:ind w:left="2268" w:hanging="1134"/>
      </w:pPr>
      <w:r>
        <w:rPr>
          <w:lang w:val="fr-FR"/>
        </w:rPr>
        <w:t>5.14.7</w:t>
      </w:r>
      <w:r>
        <w:rPr>
          <w:lang w:val="fr-FR"/>
        </w:rPr>
        <w:tab/>
        <w:t>Feu de position arrière (par. 6.7) ;</w:t>
      </w:r>
    </w:p>
    <w:p w:rsidR="0025539E" w:rsidRPr="00B63A3D" w:rsidRDefault="0025539E" w:rsidP="0025539E">
      <w:pPr>
        <w:pStyle w:val="SingleTxtG"/>
        <w:ind w:left="2268" w:hanging="1134"/>
      </w:pPr>
      <w:r>
        <w:rPr>
          <w:lang w:val="fr-FR"/>
        </w:rPr>
        <w:t>5.14.8</w:t>
      </w:r>
      <w:r>
        <w:rPr>
          <w:lang w:val="fr-FR"/>
        </w:rPr>
        <w:tab/>
        <w:t>Catadioptre arrière, non triangulaire (par. 6.8) ;</w:t>
      </w:r>
    </w:p>
    <w:p w:rsidR="0025539E" w:rsidRDefault="0025539E" w:rsidP="0025539E">
      <w:pPr>
        <w:pStyle w:val="SingleTxtG"/>
        <w:ind w:left="2268" w:hanging="1134"/>
        <w:rPr>
          <w:lang w:val="fr-FR"/>
        </w:rPr>
      </w:pPr>
      <w:r>
        <w:rPr>
          <w:lang w:val="fr-FR"/>
        </w:rPr>
        <w:t>5.14.9</w:t>
      </w:r>
      <w:r>
        <w:rPr>
          <w:lang w:val="fr-FR"/>
        </w:rPr>
        <w:tab/>
        <w:t>Catadioptres latéraux, non triangulaires (par. 6.12) ; ».</w:t>
      </w:r>
    </w:p>
    <w:p w:rsidR="0025539E" w:rsidRPr="006473EA" w:rsidRDefault="0025539E" w:rsidP="0025539E">
      <w:pPr>
        <w:pStyle w:val="SingleTxtG"/>
      </w:pPr>
      <w:r>
        <w:rPr>
          <w:i/>
          <w:iCs/>
          <w:lang w:val="fr-FR"/>
        </w:rPr>
        <w:t xml:space="preserve">Paragraphe 5.15, </w:t>
      </w:r>
      <w:r w:rsidRPr="006473EA">
        <w:rPr>
          <w:iCs/>
          <w:lang w:val="fr-FR"/>
        </w:rPr>
        <w:t>modifier comme suit</w:t>
      </w:r>
      <w:r>
        <w:rPr>
          <w:iCs/>
          <w:lang w:val="fr-FR"/>
        </w:rPr>
        <w:t> </w:t>
      </w:r>
      <w:r w:rsidRPr="006473EA">
        <w:rPr>
          <w:iCs/>
          <w:lang w:val="fr-FR"/>
        </w:rPr>
        <w:t>:</w:t>
      </w:r>
    </w:p>
    <w:p w:rsidR="0025539E" w:rsidRPr="00B63A3D" w:rsidRDefault="0025539E" w:rsidP="0025539E">
      <w:pPr>
        <w:pStyle w:val="SingleTxtG"/>
        <w:ind w:left="2268" w:hanging="1134"/>
      </w:pPr>
      <w:r>
        <w:rPr>
          <w:lang w:val="fr-FR"/>
        </w:rPr>
        <w:t>« 5.15</w:t>
      </w:r>
      <w:r>
        <w:rPr>
          <w:lang w:val="fr-FR"/>
        </w:rPr>
        <w:tab/>
      </w:r>
      <w:r>
        <w:rPr>
          <w:lang w:val="fr-FR"/>
        </w:rPr>
        <w:tab/>
        <w:t>Il peut, en plus, être équipé des dispositifs d’éclairage et de signalisation lumineuse suivants :</w:t>
      </w:r>
    </w:p>
    <w:p w:rsidR="0025539E" w:rsidRPr="00B63A3D" w:rsidRDefault="0025539E" w:rsidP="0025539E">
      <w:pPr>
        <w:pStyle w:val="SingleTxtG"/>
        <w:ind w:left="2268" w:hanging="1134"/>
      </w:pPr>
      <w:r>
        <w:rPr>
          <w:lang w:val="fr-FR"/>
        </w:rPr>
        <w:t>5.15.1</w:t>
      </w:r>
      <w:r>
        <w:rPr>
          <w:lang w:val="fr-FR"/>
        </w:rPr>
        <w:tab/>
      </w:r>
      <w:r>
        <w:rPr>
          <w:lang w:val="fr-FR"/>
        </w:rPr>
        <w:tab/>
        <w:t>Signal de détresse (par. 6.9) ;</w:t>
      </w:r>
    </w:p>
    <w:p w:rsidR="0025539E" w:rsidRPr="00B63A3D" w:rsidRDefault="0025539E" w:rsidP="0025539E">
      <w:pPr>
        <w:pStyle w:val="SingleTxtG"/>
        <w:ind w:left="2268" w:hanging="1134"/>
      </w:pPr>
      <w:r>
        <w:rPr>
          <w:lang w:val="fr-FR"/>
        </w:rPr>
        <w:t>5.15.2</w:t>
      </w:r>
      <w:r>
        <w:rPr>
          <w:lang w:val="fr-FR"/>
        </w:rPr>
        <w:tab/>
      </w:r>
      <w:r>
        <w:rPr>
          <w:lang w:val="fr-FR"/>
        </w:rPr>
        <w:tab/>
        <w:t>Feux de brouillard</w:t>
      </w:r>
      <w:r w:rsidR="00152425">
        <w:rPr>
          <w:lang w:val="fr-FR"/>
        </w:rPr>
        <w:t> ;</w:t>
      </w:r>
    </w:p>
    <w:p w:rsidR="0025539E" w:rsidRPr="00B63A3D" w:rsidRDefault="0025539E" w:rsidP="0025539E">
      <w:pPr>
        <w:pStyle w:val="SingleTxtG"/>
        <w:ind w:left="2268" w:hanging="1134"/>
      </w:pPr>
      <w:r>
        <w:rPr>
          <w:lang w:val="fr-FR"/>
        </w:rPr>
        <w:t>5.15.2.1</w:t>
      </w:r>
      <w:r>
        <w:rPr>
          <w:lang w:val="fr-FR"/>
        </w:rPr>
        <w:tab/>
        <w:t>Feu de brouillard avant (par. 6.10) ;</w:t>
      </w:r>
    </w:p>
    <w:p w:rsidR="0025539E" w:rsidRPr="00B63A3D" w:rsidRDefault="0025539E" w:rsidP="0025539E">
      <w:pPr>
        <w:pStyle w:val="SingleTxtG"/>
        <w:ind w:left="2268" w:hanging="1134"/>
      </w:pPr>
      <w:r>
        <w:rPr>
          <w:lang w:val="fr-FR"/>
        </w:rPr>
        <w:t>5.15.2.2</w:t>
      </w:r>
      <w:r>
        <w:rPr>
          <w:lang w:val="fr-FR"/>
        </w:rPr>
        <w:tab/>
        <w:t>Feux de brouillard arrière (par. 6.11) ;</w:t>
      </w:r>
    </w:p>
    <w:p w:rsidR="0025539E" w:rsidRPr="00B63A3D" w:rsidRDefault="0025539E" w:rsidP="0025539E">
      <w:pPr>
        <w:pStyle w:val="SingleTxtG"/>
        <w:ind w:left="2268" w:hanging="1134"/>
      </w:pPr>
      <w:r>
        <w:rPr>
          <w:lang w:val="fr-FR"/>
        </w:rPr>
        <w:t>5.15.3</w:t>
      </w:r>
      <w:r>
        <w:rPr>
          <w:lang w:val="fr-FR"/>
        </w:rPr>
        <w:tab/>
      </w:r>
      <w:r>
        <w:rPr>
          <w:lang w:val="fr-FR"/>
        </w:rPr>
        <w:tab/>
        <w:t>Feux de circulation diurne (par. 6.13).</w:t>
      </w:r>
    </w:p>
    <w:p w:rsidR="0025539E" w:rsidRDefault="0025539E" w:rsidP="0025539E">
      <w:pPr>
        <w:pStyle w:val="SingleTxtG"/>
        <w:ind w:left="2268" w:hanging="1134"/>
        <w:rPr>
          <w:b/>
          <w:bCs/>
          <w:lang w:val="fr-FR"/>
        </w:rPr>
      </w:pPr>
      <w:r>
        <w:rPr>
          <w:b/>
          <w:lang w:val="fr-FR"/>
        </w:rPr>
        <w:t>5.15.4</w:t>
      </w:r>
      <w:r w:rsidRPr="004A65D0">
        <w:rPr>
          <w:b/>
          <w:lang w:val="fr-FR"/>
        </w:rPr>
        <w:tab/>
      </w:r>
      <w:r>
        <w:rPr>
          <w:b/>
          <w:bCs/>
          <w:lang w:val="fr-FR"/>
        </w:rPr>
        <w:t>Feu de position avant (par. </w:t>
      </w:r>
      <w:r w:rsidRPr="004A65D0">
        <w:rPr>
          <w:b/>
          <w:bCs/>
          <w:lang w:val="fr-FR"/>
        </w:rPr>
        <w:t>6.6) sous réserve de</w:t>
      </w:r>
      <w:r>
        <w:rPr>
          <w:b/>
          <w:bCs/>
          <w:lang w:val="fr-FR"/>
        </w:rPr>
        <w:t xml:space="preserve"> la condition énoncée au paragraphe </w:t>
      </w:r>
      <w:r w:rsidRPr="004A65D0">
        <w:rPr>
          <w:b/>
          <w:bCs/>
          <w:lang w:val="fr-FR"/>
        </w:rPr>
        <w:t>5.14.6.</w:t>
      </w:r>
      <w:r w:rsidRPr="009C5D91">
        <w:rPr>
          <w:bCs/>
          <w:lang w:val="fr-FR"/>
        </w:rPr>
        <w:t> »</w:t>
      </w:r>
      <w:r>
        <w:rPr>
          <w:bCs/>
          <w:lang w:val="fr-FR"/>
        </w:rPr>
        <w:t>.</w:t>
      </w:r>
    </w:p>
    <w:p w:rsidR="0025539E" w:rsidRPr="00B63A3D" w:rsidRDefault="0025539E" w:rsidP="0025539E">
      <w:pPr>
        <w:pStyle w:val="SingleTxtG"/>
      </w:pPr>
      <w:r>
        <w:rPr>
          <w:i/>
          <w:iCs/>
          <w:lang w:val="fr-FR"/>
        </w:rPr>
        <w:t>Paragraphe 6.6.7,</w:t>
      </w:r>
      <w:r>
        <w:rPr>
          <w:lang w:val="fr-FR"/>
        </w:rPr>
        <w:t xml:space="preserve"> modifier comme suit :</w:t>
      </w:r>
    </w:p>
    <w:p w:rsidR="0025539E" w:rsidRPr="00B63A3D" w:rsidRDefault="0025539E" w:rsidP="0025539E">
      <w:pPr>
        <w:pStyle w:val="SingleTxtG"/>
        <w:ind w:left="2268" w:hanging="1134"/>
      </w:pPr>
      <w:r>
        <w:rPr>
          <w:lang w:val="fr-FR"/>
        </w:rPr>
        <w:t>« 6.6.7</w:t>
      </w:r>
      <w:r>
        <w:rPr>
          <w:lang w:val="fr-FR"/>
        </w:rPr>
        <w:tab/>
        <w:t>Autres prescriptions</w:t>
      </w:r>
    </w:p>
    <w:p w:rsidR="0025539E" w:rsidRPr="00B63A3D" w:rsidRDefault="0025539E" w:rsidP="0025539E">
      <w:pPr>
        <w:pStyle w:val="SingleTxtG"/>
        <w:ind w:left="2268" w:hanging="1134"/>
        <w:rPr>
          <w:bCs/>
          <w:iCs/>
        </w:rPr>
      </w:pPr>
      <w:r>
        <w:rPr>
          <w:lang w:val="fr-FR"/>
        </w:rPr>
        <w:t>6.6.7.1</w:t>
      </w:r>
      <w:r>
        <w:rPr>
          <w:lang w:val="fr-FR"/>
        </w:rPr>
        <w:tab/>
        <w:t>Lorsque le feu de position avant est mutuellement incorporé avec le feu indicateur de direction, les branchements électriques sont conçus de telle façon que le feu de position situé du même côté que le feu indicateur de direction s’éteint lorsque l’indicateur de direction clignote.</w:t>
      </w:r>
    </w:p>
    <w:p w:rsidR="0025539E" w:rsidRPr="00B63A3D" w:rsidRDefault="0025539E" w:rsidP="006647EF">
      <w:pPr>
        <w:pStyle w:val="SingleTxtG"/>
        <w:keepNext/>
        <w:keepLines/>
        <w:ind w:left="2268" w:hanging="1134"/>
        <w:rPr>
          <w:b/>
          <w:color w:val="000000" w:themeColor="text1"/>
        </w:rPr>
      </w:pPr>
      <w:r w:rsidRPr="00406ECA">
        <w:rPr>
          <w:b/>
          <w:lang w:val="fr-FR"/>
        </w:rPr>
        <w:lastRenderedPageBreak/>
        <w:t>6.6.7.2</w:t>
      </w:r>
      <w:r>
        <w:rPr>
          <w:lang w:val="fr-FR"/>
        </w:rPr>
        <w:tab/>
      </w:r>
      <w:r>
        <w:rPr>
          <w:b/>
          <w:bCs/>
          <w:lang w:val="fr-FR"/>
        </w:rPr>
        <w:t>Les branchements électriques doivent être tels que :</w:t>
      </w:r>
    </w:p>
    <w:p w:rsidR="0025539E" w:rsidRDefault="0025539E" w:rsidP="0025539E">
      <w:pPr>
        <w:pStyle w:val="SingleTxtG"/>
        <w:ind w:left="2835" w:hanging="567"/>
        <w:rPr>
          <w:b/>
          <w:bCs/>
          <w:lang w:val="fr-FR"/>
        </w:rPr>
      </w:pPr>
      <w:r>
        <w:rPr>
          <w:b/>
          <w:bCs/>
          <w:lang w:val="fr-FR"/>
        </w:rPr>
        <w:t>a)</w:t>
      </w:r>
      <w:r>
        <w:rPr>
          <w:lang w:val="fr-FR"/>
        </w:rPr>
        <w:tab/>
      </w:r>
      <w:r>
        <w:rPr>
          <w:b/>
          <w:bCs/>
          <w:lang w:val="fr-FR"/>
        </w:rPr>
        <w:t>Le ou les feux de position avant, le cas échéant, s’allument en même temps que le ou les projecteurs ou indépendamment du ou des projecteurs, sous réserve des conditions énoncées au paragraphe 6.1.3.1</w:t>
      </w:r>
      <w:r>
        <w:rPr>
          <w:lang w:val="fr-FR"/>
        </w:rPr>
        <w:t xml:space="preserve"> </w:t>
      </w:r>
      <w:r>
        <w:rPr>
          <w:b/>
          <w:bCs/>
          <w:lang w:val="fr-FR"/>
        </w:rPr>
        <w:t>ou 6.2.3.1 ;</w:t>
      </w:r>
    </w:p>
    <w:p w:rsidR="0025539E" w:rsidRDefault="0025539E" w:rsidP="0025539E">
      <w:pPr>
        <w:pStyle w:val="SingleTxtG"/>
        <w:ind w:left="2835" w:hanging="567"/>
        <w:rPr>
          <w:b/>
          <w:bCs/>
          <w:lang w:val="fr-FR"/>
        </w:rPr>
      </w:pPr>
      <w:r>
        <w:rPr>
          <w:b/>
          <w:bCs/>
          <w:lang w:val="fr-FR"/>
        </w:rPr>
        <w:t>b)</w:t>
      </w:r>
      <w:r>
        <w:rPr>
          <w:lang w:val="fr-FR"/>
        </w:rPr>
        <w:tab/>
      </w:r>
      <w:r>
        <w:rPr>
          <w:b/>
          <w:bCs/>
          <w:lang w:val="fr-FR"/>
        </w:rPr>
        <w:t>Le feu de position arrière s’allume lorsque le feu de position avant est allumé ;</w:t>
      </w:r>
    </w:p>
    <w:p w:rsidR="0025539E" w:rsidRDefault="0025539E" w:rsidP="0025539E">
      <w:pPr>
        <w:pStyle w:val="SingleTxtG"/>
        <w:ind w:left="2835" w:hanging="567"/>
        <w:rPr>
          <w:b/>
          <w:bCs/>
          <w:lang w:val="fr-FR"/>
        </w:rPr>
      </w:pPr>
      <w:r>
        <w:rPr>
          <w:b/>
          <w:bCs/>
          <w:lang w:val="fr-FR"/>
        </w:rPr>
        <w:t>c)</w:t>
      </w:r>
      <w:r>
        <w:rPr>
          <w:lang w:val="fr-FR"/>
        </w:rPr>
        <w:tab/>
      </w:r>
      <w:r>
        <w:rPr>
          <w:b/>
          <w:bCs/>
          <w:lang w:val="fr-FR"/>
        </w:rPr>
        <w:t>Lorsque le ou les feux de position avant, le cas échéant, sont allumés, le dispositif d’éclairage de la plaque d’immatriculation arrière s’allume.</w:t>
      </w:r>
      <w:r w:rsidRPr="009C5D91">
        <w:rPr>
          <w:bCs/>
          <w:lang w:val="fr-FR"/>
        </w:rPr>
        <w:t> ».</w:t>
      </w:r>
    </w:p>
    <w:p w:rsidR="0025539E" w:rsidRPr="00B63A3D" w:rsidRDefault="0025539E" w:rsidP="0025539E">
      <w:pPr>
        <w:pStyle w:val="SingleTxtG"/>
      </w:pPr>
      <w:r>
        <w:rPr>
          <w:i/>
          <w:iCs/>
          <w:lang w:val="fr-FR"/>
        </w:rPr>
        <w:t>Paragraphe 6.13.7.1</w:t>
      </w:r>
      <w:r>
        <w:rPr>
          <w:lang w:val="fr-FR"/>
        </w:rPr>
        <w:t>, modifier comme suit :</w:t>
      </w:r>
    </w:p>
    <w:p w:rsidR="0025539E" w:rsidRPr="00B63A3D" w:rsidRDefault="0025539E" w:rsidP="0025539E">
      <w:pPr>
        <w:pStyle w:val="SingleTxtG"/>
        <w:ind w:left="2268" w:hanging="1134"/>
      </w:pPr>
      <w:r>
        <w:rPr>
          <w:lang w:val="fr-FR"/>
        </w:rPr>
        <w:t>« 6.13.7.1</w:t>
      </w:r>
      <w:r>
        <w:rPr>
          <w:lang w:val="fr-FR"/>
        </w:rPr>
        <w:tab/>
        <w:t>Le feu de circulation diurne doit s’éteindre automatiquement lorsque le projecteur s’allume, sauf si ce dernier est utilisé pour donner des avertissements lumineux intermittents à de courts intervalles.</w:t>
      </w:r>
    </w:p>
    <w:p w:rsidR="0025539E" w:rsidRPr="00B63A3D" w:rsidRDefault="0025539E" w:rsidP="0025539E">
      <w:pPr>
        <w:pStyle w:val="SingleTxtG"/>
        <w:ind w:left="2268"/>
      </w:pPr>
      <w:r>
        <w:rPr>
          <w:lang w:val="fr-FR"/>
        </w:rPr>
        <w:t>Le feu de position arrière doit s’allumer lorsque le ou les feux de circulation diurne sont allumés. Le ou les feux de position avant</w:t>
      </w:r>
      <w:r>
        <w:rPr>
          <w:b/>
          <w:bCs/>
          <w:lang w:val="fr-FR"/>
        </w:rPr>
        <w:t xml:space="preserve">, le cas échéant, </w:t>
      </w:r>
      <w:r>
        <w:rPr>
          <w:lang w:val="fr-FR"/>
        </w:rPr>
        <w:t>et le dispositif d’éclairage de la plaque d’immatriculation arrière peuvent s’allumer individuellement ou ensemble lorsque le ou les feux de circulation diurne sont allumés. ».</w:t>
      </w:r>
    </w:p>
    <w:p w:rsidR="0025539E" w:rsidRPr="00B63A3D" w:rsidRDefault="0025539E" w:rsidP="0025539E">
      <w:pPr>
        <w:pStyle w:val="HChG"/>
      </w:pPr>
      <w:r>
        <w:rPr>
          <w:lang w:val="fr-FR"/>
        </w:rPr>
        <w:tab/>
        <w:t>II.</w:t>
      </w:r>
      <w:r>
        <w:rPr>
          <w:lang w:val="fr-FR"/>
        </w:rPr>
        <w:tab/>
        <w:t>Justification</w:t>
      </w:r>
    </w:p>
    <w:p w:rsidR="0025539E" w:rsidRPr="00B63A3D" w:rsidRDefault="0025539E" w:rsidP="0025539E">
      <w:pPr>
        <w:pStyle w:val="H4G"/>
      </w:pPr>
      <w:r>
        <w:rPr>
          <w:lang w:val="fr-FR"/>
        </w:rPr>
        <w:tab/>
      </w:r>
      <w:r>
        <w:rPr>
          <w:lang w:val="fr-FR"/>
        </w:rPr>
        <w:tab/>
        <w:t>Proposition visant à rendre facultative l’installation du feu de position avant</w:t>
      </w:r>
    </w:p>
    <w:p w:rsidR="0025539E" w:rsidRPr="0025539E" w:rsidRDefault="0025539E" w:rsidP="0025539E">
      <w:pPr>
        <w:pStyle w:val="SingleTxtG"/>
      </w:pPr>
      <w:r w:rsidRPr="0025539E">
        <w:t>1.</w:t>
      </w:r>
      <w:r w:rsidRPr="0025539E">
        <w:tab/>
        <w:t>Le feu de position avant a pour fonction d’indiquer la présence du motocycle vu de l’</w:t>
      </w:r>
      <w:r>
        <w:t>avant.</w:t>
      </w:r>
    </w:p>
    <w:p w:rsidR="0025539E" w:rsidRPr="0025539E" w:rsidRDefault="0025539E" w:rsidP="0025539E">
      <w:pPr>
        <w:pStyle w:val="SingleTxtG"/>
      </w:pPr>
      <w:r>
        <w:t>2.</w:t>
      </w:r>
      <w:r>
        <w:tab/>
      </w:r>
      <w:r w:rsidRPr="0025539E">
        <w:t>La présence obligatoire d’un feu de position avant sur un motocycle pourrait être utile en l’absence de dispositions relatives à l’allumage automatique des projecteurs ou des feux de circulation diurne du véhicule.</w:t>
      </w:r>
    </w:p>
    <w:p w:rsidR="0025539E" w:rsidRPr="0025539E" w:rsidRDefault="0025539E" w:rsidP="0025539E">
      <w:pPr>
        <w:pStyle w:val="SingleTxtG"/>
      </w:pPr>
      <w:r>
        <w:t>3.</w:t>
      </w:r>
      <w:r>
        <w:tab/>
      </w:r>
      <w:r w:rsidRPr="0025539E">
        <w:t>Dans un véhicule équipé d’un dispositif d’allumage automatique des projecteurs ou des feux de circulation diurne, la présence du motocycle vu de l’avant est nettement plus perceptible qu’avec le feu de position avant. La fonction du feu de position avant est donc devenue superflue.</w:t>
      </w:r>
    </w:p>
    <w:p w:rsidR="0025539E" w:rsidRPr="0025539E" w:rsidRDefault="0025539E" w:rsidP="0025539E">
      <w:pPr>
        <w:pStyle w:val="SingleTxtG"/>
      </w:pPr>
      <w:r>
        <w:t>4.</w:t>
      </w:r>
      <w:r>
        <w:tab/>
      </w:r>
      <w:r w:rsidRPr="0025539E">
        <w:t>Si l’installation du feu de position avant devenait facultative, les constructeurs pourront toutefois choisir de l’installer sur les motocycles, s’ils le souhaitent.</w:t>
      </w:r>
    </w:p>
    <w:p w:rsidR="0025539E" w:rsidRPr="0025539E" w:rsidRDefault="0025539E" w:rsidP="0025539E">
      <w:pPr>
        <w:pStyle w:val="SingleTxtG"/>
      </w:pPr>
      <w:r>
        <w:t>5.</w:t>
      </w:r>
      <w:r>
        <w:tab/>
      </w:r>
      <w:r w:rsidRPr="0025539E">
        <w:t>Cette proposition permettrait de réduire la consommation d’énergie des lampes ainsi que le coût du véhicule.</w:t>
      </w:r>
    </w:p>
    <w:p w:rsidR="0025539E" w:rsidRPr="0025539E" w:rsidRDefault="0025539E" w:rsidP="0025539E">
      <w:pPr>
        <w:pStyle w:val="SingleTxtG"/>
      </w:pPr>
      <w:r>
        <w:t>6.</w:t>
      </w:r>
      <w:r>
        <w:tab/>
      </w:r>
      <w:r w:rsidRPr="0025539E">
        <w:t>L’Inde sait qu’une proposition similaire de l’Association internationale des constructeurs de motocycles (IMMA) a été examinée par le GRE en 2001 puis abandonnée en raison de problèmes de sécurité liés aux redondances en cas de défaillance du projecteur. Au moment de la proposition, l’allumage automatique des projecteurs n’était pas obligatoire dans le Règlement ONU n</w:t>
      </w:r>
      <w:r w:rsidRPr="0025539E">
        <w:rPr>
          <w:vertAlign w:val="superscript"/>
        </w:rPr>
        <w:t>o</w:t>
      </w:r>
      <w:r>
        <w:t> </w:t>
      </w:r>
      <w:r w:rsidRPr="0025539E">
        <w:t>53. En outre, une modification a été proposée uniquement en ce qui concerne les deux-roues équipés d’un dispositif d’allumage automatique des projecteurs. En conséquence, rien n’a été fait pour résoudre les problèmes de sécurité signalés.</w:t>
      </w:r>
    </w:p>
    <w:p w:rsidR="0025539E" w:rsidRPr="0025539E" w:rsidRDefault="0025539E" w:rsidP="0025539E">
      <w:pPr>
        <w:pStyle w:val="SingleTxtG"/>
      </w:pPr>
      <w:r>
        <w:t>7.</w:t>
      </w:r>
      <w:r>
        <w:tab/>
      </w:r>
      <w:r w:rsidRPr="0025539E">
        <w:t>L’Inde est aussi consciente qu’en l’absence de dispositions relatives aux redondances il sera impossible de rendre facultative l’installation des feux de position avant. On trouvera ci-après un résumé des observations de l’Inde concernant les prescriptions de sécurité</w:t>
      </w:r>
      <w:r>
        <w:t> </w:t>
      </w:r>
      <w:r w:rsidRPr="0025539E">
        <w:t>:</w:t>
      </w:r>
    </w:p>
    <w:p w:rsidR="0025539E" w:rsidRPr="0025539E" w:rsidRDefault="0025539E" w:rsidP="0025539E">
      <w:pPr>
        <w:pStyle w:val="SingleTxtG"/>
        <w:ind w:left="1701" w:hanging="567"/>
      </w:pPr>
      <w:r>
        <w:t>7.1</w:t>
      </w:r>
      <w:r>
        <w:tab/>
      </w:r>
      <w:r w:rsidRPr="0025539E">
        <w:t>Problèmes de sécurité liés aux feux de position avant en cas de défaillance du</w:t>
      </w:r>
      <w:r>
        <w:t xml:space="preserve"> projecteur </w:t>
      </w:r>
      <w:r w:rsidRPr="0025539E">
        <w:t>:</w:t>
      </w:r>
    </w:p>
    <w:p w:rsidR="0025539E" w:rsidRPr="0025539E" w:rsidRDefault="0025539E" w:rsidP="0025539E">
      <w:pPr>
        <w:pStyle w:val="SingleTxtG"/>
        <w:ind w:left="1701" w:hanging="567"/>
      </w:pPr>
      <w:r>
        <w:lastRenderedPageBreak/>
        <w:t>7.1.1</w:t>
      </w:r>
      <w:r>
        <w:tab/>
      </w:r>
      <w:r w:rsidRPr="0025539E">
        <w:t>L’objectif principal du feu de position avant est d’assurer la visibilité du véhicule vu de l’avant. Ce feu n’offrira qu’une faible visibilité au conducteur du véhicule.</w:t>
      </w:r>
    </w:p>
    <w:p w:rsidR="0025539E" w:rsidRPr="0025539E" w:rsidRDefault="0025539E" w:rsidP="0025539E">
      <w:pPr>
        <w:pStyle w:val="SingleTxtG"/>
        <w:ind w:left="1701" w:hanging="567"/>
      </w:pPr>
      <w:r>
        <w:t>7.1.2</w:t>
      </w:r>
      <w:r>
        <w:tab/>
      </w:r>
      <w:r w:rsidRPr="0025539E">
        <w:t>En Inde, l’installation du feu de position avant a été facultative jusqu’à présent. Aucune conséquence fâcheuse d’une défaillance des projecteurs en l’absence de feu de position avant n’a été signalée.</w:t>
      </w:r>
    </w:p>
    <w:p w:rsidR="0025539E" w:rsidRPr="0025539E" w:rsidRDefault="0025539E" w:rsidP="0025539E">
      <w:pPr>
        <w:pStyle w:val="SingleTxtG"/>
        <w:ind w:left="1701" w:hanging="567"/>
      </w:pPr>
      <w:r>
        <w:t>7.2</w:t>
      </w:r>
      <w:r>
        <w:tab/>
      </w:r>
      <w:r w:rsidRPr="0025539E">
        <w:t>Prescrip</w:t>
      </w:r>
      <w:r>
        <w:t>tions relatives aux redondances </w:t>
      </w:r>
      <w:r w:rsidRPr="0025539E">
        <w:t>:</w:t>
      </w:r>
    </w:p>
    <w:p w:rsidR="0025539E" w:rsidRPr="0025539E" w:rsidRDefault="0025539E" w:rsidP="0025539E">
      <w:pPr>
        <w:pStyle w:val="SingleTxtG"/>
        <w:ind w:left="2268" w:hanging="567"/>
      </w:pPr>
      <w:r w:rsidRPr="0025539E">
        <w:t>Un projecteur peut avoir les défaillances suivantes</w:t>
      </w:r>
      <w:r>
        <w:t> </w:t>
      </w:r>
      <w:r w:rsidRPr="0025539E">
        <w:t>:</w:t>
      </w:r>
    </w:p>
    <w:p w:rsidR="0025539E" w:rsidRDefault="0025539E" w:rsidP="0025539E">
      <w:pPr>
        <w:pStyle w:val="SingleTxtG"/>
        <w:ind w:left="2268" w:hanging="567"/>
      </w:pPr>
      <w:r w:rsidRPr="0025539E">
        <w:t>a)</w:t>
      </w:r>
      <w:r w:rsidRPr="0025539E">
        <w:tab/>
        <w:t>Défaillance de la source l</w:t>
      </w:r>
      <w:r>
        <w:t>umineuse ;</w:t>
      </w:r>
    </w:p>
    <w:p w:rsidR="0025539E" w:rsidRDefault="0025539E" w:rsidP="0025539E">
      <w:pPr>
        <w:pStyle w:val="SingleTxtG"/>
        <w:ind w:left="2268" w:hanging="567"/>
      </w:pPr>
      <w:r w:rsidRPr="0025539E">
        <w:t>b)</w:t>
      </w:r>
      <w:r w:rsidRPr="0025539E">
        <w:tab/>
        <w:t>Rupture du circuit (rupture de fil électr</w:t>
      </w:r>
      <w:r>
        <w:t>ique, contacts desserrés, etc.) ;</w:t>
      </w:r>
    </w:p>
    <w:p w:rsidR="0025539E" w:rsidRPr="0025539E" w:rsidRDefault="0025539E" w:rsidP="0025539E">
      <w:pPr>
        <w:pStyle w:val="SingleTxtG"/>
        <w:ind w:left="2268" w:hanging="567"/>
      </w:pPr>
      <w:r>
        <w:t>c)</w:t>
      </w:r>
      <w:r w:rsidRPr="0025539E">
        <w:tab/>
        <w:t>Défaillance mécanique du projecteur.</w:t>
      </w:r>
    </w:p>
    <w:p w:rsidR="0025539E" w:rsidRDefault="0025539E" w:rsidP="0025539E">
      <w:pPr>
        <w:pStyle w:val="SingleTxtG"/>
        <w:ind w:left="1701"/>
      </w:pPr>
      <w:r w:rsidRPr="0025539E">
        <w:t>Une défaillance du circuit électrique et une défaillance mécanique du projecteur empêchent également le fonctionnement du feu de position avant.</w:t>
      </w:r>
    </w:p>
    <w:p w:rsidR="0025539E" w:rsidRPr="0025539E" w:rsidRDefault="0025539E" w:rsidP="0025539E">
      <w:pPr>
        <w:pStyle w:val="SingleTxtG"/>
        <w:ind w:left="1701"/>
      </w:pPr>
      <w:r w:rsidRPr="0025539E">
        <w:t>Le principe général de redondance pour satisfaire à toute exigence de sécurité est de n’avoir qu’ « une seule défaillance à la fois ». Ce principe est bien établi en ce qui concerne les systèmes de freinage (pour toutes les catégories de véhicules), les systèmes de direction des véhicules à quatre roues, etc.</w:t>
      </w:r>
    </w:p>
    <w:p w:rsidR="0025539E" w:rsidRPr="0025539E" w:rsidRDefault="0025539E" w:rsidP="0025539E">
      <w:pPr>
        <w:pStyle w:val="SingleTxtG"/>
      </w:pPr>
      <w:r>
        <w:t>7.2.1</w:t>
      </w:r>
      <w:r>
        <w:tab/>
      </w:r>
      <w:r w:rsidRPr="0025539E">
        <w:t>Redondance déjà intégrée en l’absence de feu de position avant.</w:t>
      </w:r>
    </w:p>
    <w:p w:rsidR="0025539E" w:rsidRPr="0025539E" w:rsidRDefault="0025539E" w:rsidP="0025539E">
      <w:pPr>
        <w:pStyle w:val="SingleTxtG"/>
        <w:ind w:left="1701"/>
      </w:pPr>
      <w:r w:rsidRPr="0025539E">
        <w:t>Dans les cas suivants, le feu de position avant n’est pas nécess</w:t>
      </w:r>
      <w:r>
        <w:t>aire pour assurer la redondance </w:t>
      </w:r>
      <w:r w:rsidRPr="0025539E">
        <w:t>:</w:t>
      </w:r>
    </w:p>
    <w:p w:rsidR="0025539E" w:rsidRPr="0025539E" w:rsidRDefault="0025539E" w:rsidP="0025539E">
      <w:pPr>
        <w:pStyle w:val="SingleTxtG"/>
        <w:ind w:left="2268" w:hanging="567"/>
      </w:pPr>
      <w:r>
        <w:t>a)</w:t>
      </w:r>
      <w:r>
        <w:tab/>
      </w:r>
      <w:r w:rsidRPr="0025539E">
        <w:t>Le feu de circulation diurne est utilisé à la place du dispositif d’allumage automatique des projecteurs et assure la visibilité en cas de défaillance du projecteur</w:t>
      </w:r>
      <w:r>
        <w:t> ;</w:t>
      </w:r>
    </w:p>
    <w:p w:rsidR="0025539E" w:rsidRPr="0025539E" w:rsidRDefault="0025539E" w:rsidP="0025539E">
      <w:pPr>
        <w:pStyle w:val="SingleTxtG"/>
        <w:ind w:left="2268" w:hanging="567"/>
      </w:pPr>
      <w:r>
        <w:t>b)</w:t>
      </w:r>
      <w:r>
        <w:tab/>
      </w:r>
      <w:r w:rsidRPr="0025539E">
        <w:t>Le Règlement ONU n</w:t>
      </w:r>
      <w:r w:rsidRPr="0025539E">
        <w:rPr>
          <w:vertAlign w:val="superscript"/>
        </w:rPr>
        <w:t>o</w:t>
      </w:r>
      <w:r>
        <w:t> </w:t>
      </w:r>
      <w:r w:rsidRPr="0025539E">
        <w:t>53 prévoit différentes méthodes d’installation des projecteurs. Lorsqu’il y a plus d’un projecteur (feu de route ou feu de croisement), la défaillance de l’un d’eux n’aura normalement pas d’incidence sur le fonctionnement du ou des autres projecteurs. Par conséquent, le feu de position avant n’est pas indispensable pour assurer la redondance.</w:t>
      </w:r>
    </w:p>
    <w:p w:rsidR="0025539E" w:rsidRPr="0025539E" w:rsidRDefault="0025539E" w:rsidP="0025539E">
      <w:pPr>
        <w:pStyle w:val="SingleTxtG"/>
      </w:pPr>
      <w:r>
        <w:t>7.2.2</w:t>
      </w:r>
      <w:r>
        <w:tab/>
      </w:r>
      <w:r w:rsidRPr="0025539E">
        <w:t>Redondance nécessaire</w:t>
      </w:r>
    </w:p>
    <w:p w:rsidR="0025539E" w:rsidRPr="0025539E" w:rsidRDefault="0025539E" w:rsidP="00D55DE7">
      <w:pPr>
        <w:pStyle w:val="SingleTxtG"/>
        <w:ind w:left="1701"/>
      </w:pPr>
      <w:r w:rsidRPr="0025539E">
        <w:t>La redondance n’est nécessaire que lorsque les feux de croisement et les feux de route sont incorporés mutuellement, en utilisant une source lumineuse à deux filaments ou une source lumineuse à un seul filament fonctionnant à différentes tensions (par exemple une lampe de la catégorie H9 ou un système d’éclairage à répartition).</w:t>
      </w:r>
    </w:p>
    <w:p w:rsidR="0025539E" w:rsidRPr="0025539E" w:rsidRDefault="0025539E" w:rsidP="00D55DE7">
      <w:pPr>
        <w:pStyle w:val="SingleTxtG"/>
        <w:ind w:left="1701"/>
      </w:pPr>
      <w:r w:rsidRPr="0025539E">
        <w:t>La défaillance d’un filament n’aura pas d’incidence sur l’autre filament. Ainsi, en cas de défaillance du filament du feu de croisement, le feu de route peut être allumé et inversement. Le problème de rupture du circuit électrique causant l’extinction du faisceau de croisement et du faisceau de route doit être réglé.</w:t>
      </w:r>
    </w:p>
    <w:p w:rsidR="0025539E" w:rsidRPr="0025539E" w:rsidRDefault="0025539E" w:rsidP="00D55DE7">
      <w:pPr>
        <w:pStyle w:val="SingleTxtG"/>
        <w:ind w:left="1701"/>
      </w:pPr>
      <w:r w:rsidRPr="0025539E">
        <w:t>Toutefois, lorsqu’une seule source lumineuse alimente à la fois le feu de croisement et le feu de route, la redondance doit être assurée par le feu de position avant.</w:t>
      </w:r>
    </w:p>
    <w:p w:rsidR="0025539E" w:rsidRDefault="0025539E" w:rsidP="00D55DE7">
      <w:pPr>
        <w:pStyle w:val="SingleTxtG"/>
        <w:ind w:left="1701" w:hanging="567"/>
      </w:pPr>
      <w:r w:rsidRPr="0025539E">
        <w:t>8.</w:t>
      </w:r>
      <w:r w:rsidRPr="0025539E">
        <w:tab/>
        <w:t>Résumé des modifications proposées quant aux prescriptions relatives aux branchements électriques</w:t>
      </w:r>
      <w:r w:rsidR="00D55DE7">
        <w:t> </w:t>
      </w:r>
      <w:r w:rsidRPr="0025539E">
        <w:t>:</w:t>
      </w:r>
    </w:p>
    <w:tbl>
      <w:tblPr>
        <w:tblStyle w:val="TableGrid"/>
        <w:tblW w:w="9637" w:type="dxa"/>
        <w:tblLayout w:type="fixed"/>
        <w:tblLook w:val="04A0" w:firstRow="1" w:lastRow="0" w:firstColumn="1" w:lastColumn="0" w:noHBand="0" w:noVBand="1"/>
      </w:tblPr>
      <w:tblGrid>
        <w:gridCol w:w="1554"/>
        <w:gridCol w:w="1875"/>
        <w:gridCol w:w="1835"/>
        <w:gridCol w:w="2650"/>
        <w:gridCol w:w="1723"/>
      </w:tblGrid>
      <w:tr w:rsidR="00EF2F10" w:rsidRPr="00677489" w:rsidTr="00C20A28">
        <w:tc>
          <w:tcPr>
            <w:tcW w:w="1554" w:type="dxa"/>
            <w:vMerge w:val="restart"/>
            <w:shd w:val="clear" w:color="auto" w:fill="auto"/>
          </w:tcPr>
          <w:p w:rsidR="00EF2F10" w:rsidRPr="00677489" w:rsidRDefault="00EF2F10" w:rsidP="00EF2F10">
            <w:pPr>
              <w:spacing w:before="80" w:after="80" w:line="200" w:lineRule="exact"/>
              <w:ind w:right="113"/>
              <w:jc w:val="center"/>
              <w:rPr>
                <w:b/>
                <w:i/>
                <w:sz w:val="16"/>
              </w:rPr>
            </w:pPr>
            <w:r w:rsidRPr="00677489">
              <w:rPr>
                <w:b/>
                <w:i/>
                <w:sz w:val="16"/>
              </w:rPr>
              <w:t>Dispositif</w:t>
            </w:r>
          </w:p>
        </w:tc>
        <w:tc>
          <w:tcPr>
            <w:tcW w:w="3710" w:type="dxa"/>
            <w:gridSpan w:val="2"/>
            <w:tcBorders>
              <w:bottom w:val="single" w:sz="4" w:space="0" w:color="auto"/>
            </w:tcBorders>
            <w:shd w:val="clear" w:color="auto" w:fill="auto"/>
          </w:tcPr>
          <w:p w:rsidR="00EF2F10" w:rsidRPr="00677489" w:rsidRDefault="00EF2F10" w:rsidP="00EF2F10">
            <w:pPr>
              <w:spacing w:before="80" w:after="80" w:line="200" w:lineRule="exact"/>
              <w:ind w:right="113"/>
              <w:jc w:val="center"/>
              <w:rPr>
                <w:b/>
                <w:i/>
                <w:sz w:val="16"/>
              </w:rPr>
            </w:pPr>
            <w:r w:rsidRPr="00677489">
              <w:rPr>
                <w:b/>
                <w:i/>
                <w:sz w:val="16"/>
              </w:rPr>
              <w:t>État des autres feux</w:t>
            </w:r>
          </w:p>
        </w:tc>
        <w:tc>
          <w:tcPr>
            <w:tcW w:w="2650" w:type="dxa"/>
            <w:vMerge w:val="restart"/>
            <w:shd w:val="clear" w:color="auto" w:fill="auto"/>
          </w:tcPr>
          <w:p w:rsidR="00EF2F10" w:rsidRPr="00677489" w:rsidRDefault="00EF2F10" w:rsidP="00EF2F10">
            <w:pPr>
              <w:spacing w:before="80" w:after="80" w:line="200" w:lineRule="exact"/>
              <w:ind w:right="113"/>
              <w:jc w:val="center"/>
              <w:rPr>
                <w:b/>
                <w:i/>
                <w:sz w:val="16"/>
              </w:rPr>
            </w:pPr>
            <w:r w:rsidRPr="00677489">
              <w:rPr>
                <w:b/>
                <w:i/>
                <w:sz w:val="16"/>
              </w:rPr>
              <w:t>Observations</w:t>
            </w:r>
          </w:p>
        </w:tc>
        <w:tc>
          <w:tcPr>
            <w:tcW w:w="1723" w:type="dxa"/>
            <w:vMerge w:val="restart"/>
            <w:shd w:val="clear" w:color="auto" w:fill="auto"/>
          </w:tcPr>
          <w:p w:rsidR="00EF2F10" w:rsidRPr="00677489" w:rsidRDefault="008352FF" w:rsidP="00EF2F10">
            <w:pPr>
              <w:spacing w:before="80" w:after="80" w:line="200" w:lineRule="exact"/>
              <w:ind w:right="113"/>
              <w:jc w:val="center"/>
              <w:rPr>
                <w:b/>
                <w:i/>
                <w:sz w:val="16"/>
              </w:rPr>
            </w:pPr>
            <w:r>
              <w:rPr>
                <w:b/>
                <w:i/>
                <w:sz w:val="16"/>
              </w:rPr>
              <w:t xml:space="preserve">Modifications visées </w:t>
            </w:r>
            <w:r>
              <w:rPr>
                <w:b/>
                <w:i/>
                <w:sz w:val="16"/>
              </w:rPr>
              <w:br/>
              <w:t xml:space="preserve">par la </w:t>
            </w:r>
            <w:r w:rsidR="00EF2F10" w:rsidRPr="00677489">
              <w:rPr>
                <w:b/>
                <w:i/>
                <w:sz w:val="16"/>
              </w:rPr>
              <w:t>proposition</w:t>
            </w:r>
          </w:p>
        </w:tc>
      </w:tr>
      <w:tr w:rsidR="00EF2F10" w:rsidRPr="00677489" w:rsidTr="00C20A28">
        <w:tc>
          <w:tcPr>
            <w:tcW w:w="1554" w:type="dxa"/>
            <w:vMerge/>
            <w:tcBorders>
              <w:bottom w:val="single" w:sz="12" w:space="0" w:color="auto"/>
            </w:tcBorders>
            <w:shd w:val="clear" w:color="auto" w:fill="auto"/>
          </w:tcPr>
          <w:p w:rsidR="00EF2F10" w:rsidRPr="00677489" w:rsidRDefault="00EF2F10" w:rsidP="00EF2F10">
            <w:pPr>
              <w:spacing w:before="80" w:after="80" w:line="200" w:lineRule="exact"/>
              <w:ind w:right="113"/>
              <w:jc w:val="center"/>
              <w:rPr>
                <w:b/>
                <w:i/>
                <w:sz w:val="16"/>
              </w:rPr>
            </w:pPr>
          </w:p>
        </w:tc>
        <w:tc>
          <w:tcPr>
            <w:tcW w:w="1875" w:type="dxa"/>
            <w:tcBorders>
              <w:bottom w:val="single" w:sz="12" w:space="0" w:color="auto"/>
            </w:tcBorders>
            <w:shd w:val="clear" w:color="auto" w:fill="auto"/>
          </w:tcPr>
          <w:p w:rsidR="00EF2F10" w:rsidRPr="00677489" w:rsidRDefault="00EF2F10" w:rsidP="00EF2F10">
            <w:pPr>
              <w:spacing w:before="80" w:after="80" w:line="200" w:lineRule="exact"/>
              <w:ind w:right="113"/>
              <w:jc w:val="center"/>
              <w:rPr>
                <w:b/>
                <w:i/>
                <w:sz w:val="16"/>
              </w:rPr>
            </w:pPr>
            <w:r w:rsidRPr="00677489">
              <w:rPr>
                <w:b/>
                <w:i/>
                <w:sz w:val="16"/>
              </w:rPr>
              <w:t>Actuellement</w:t>
            </w:r>
          </w:p>
        </w:tc>
        <w:tc>
          <w:tcPr>
            <w:tcW w:w="1835" w:type="dxa"/>
            <w:tcBorders>
              <w:bottom w:val="single" w:sz="12" w:space="0" w:color="auto"/>
            </w:tcBorders>
            <w:shd w:val="clear" w:color="auto" w:fill="auto"/>
          </w:tcPr>
          <w:p w:rsidR="00EF2F10" w:rsidRPr="00677489" w:rsidRDefault="00EF2F10" w:rsidP="00EF2F10">
            <w:pPr>
              <w:spacing w:before="80" w:after="80" w:line="200" w:lineRule="exact"/>
              <w:ind w:right="113"/>
              <w:jc w:val="center"/>
              <w:rPr>
                <w:b/>
                <w:i/>
                <w:sz w:val="16"/>
              </w:rPr>
            </w:pPr>
            <w:r w:rsidRPr="00677489">
              <w:rPr>
                <w:b/>
                <w:i/>
                <w:sz w:val="16"/>
              </w:rPr>
              <w:t>Proposition</w:t>
            </w:r>
          </w:p>
        </w:tc>
        <w:tc>
          <w:tcPr>
            <w:tcW w:w="2650" w:type="dxa"/>
            <w:vMerge/>
            <w:tcBorders>
              <w:bottom w:val="single" w:sz="12" w:space="0" w:color="auto"/>
            </w:tcBorders>
            <w:shd w:val="clear" w:color="auto" w:fill="auto"/>
          </w:tcPr>
          <w:p w:rsidR="00EF2F10" w:rsidRPr="00677489" w:rsidRDefault="00EF2F10" w:rsidP="00EF2F10">
            <w:pPr>
              <w:spacing w:before="80" w:after="80" w:line="200" w:lineRule="exact"/>
              <w:ind w:right="113"/>
              <w:jc w:val="center"/>
              <w:rPr>
                <w:b/>
                <w:i/>
                <w:sz w:val="16"/>
              </w:rPr>
            </w:pPr>
          </w:p>
        </w:tc>
        <w:tc>
          <w:tcPr>
            <w:tcW w:w="1723" w:type="dxa"/>
            <w:vMerge/>
            <w:tcBorders>
              <w:bottom w:val="single" w:sz="12" w:space="0" w:color="auto"/>
            </w:tcBorders>
            <w:shd w:val="clear" w:color="auto" w:fill="auto"/>
          </w:tcPr>
          <w:p w:rsidR="00EF2F10" w:rsidRPr="00677489" w:rsidRDefault="00EF2F10" w:rsidP="00EF2F10">
            <w:pPr>
              <w:spacing w:before="80" w:after="80" w:line="200" w:lineRule="exact"/>
              <w:ind w:right="113"/>
              <w:jc w:val="center"/>
              <w:rPr>
                <w:b/>
                <w:i/>
                <w:sz w:val="16"/>
              </w:rPr>
            </w:pPr>
          </w:p>
        </w:tc>
      </w:tr>
      <w:tr w:rsidR="00EF2F10" w:rsidRPr="00EF2F10" w:rsidTr="003C7998">
        <w:tc>
          <w:tcPr>
            <w:tcW w:w="1554" w:type="dxa"/>
            <w:tcBorders>
              <w:top w:val="single" w:sz="12" w:space="0" w:color="auto"/>
            </w:tcBorders>
            <w:shd w:val="clear" w:color="auto" w:fill="auto"/>
          </w:tcPr>
          <w:p w:rsidR="00EF2F10" w:rsidRPr="00EF2F10" w:rsidRDefault="00EF2F10" w:rsidP="00EF2F10">
            <w:pPr>
              <w:spacing w:before="60" w:after="60"/>
              <w:ind w:left="57" w:right="57"/>
            </w:pPr>
            <w:r w:rsidRPr="00D55DE7">
              <w:rPr>
                <w:lang w:val="fr-FR"/>
              </w:rPr>
              <w:t>Projecteur</w:t>
            </w:r>
          </w:p>
        </w:tc>
        <w:tc>
          <w:tcPr>
            <w:tcW w:w="1875" w:type="dxa"/>
            <w:tcBorders>
              <w:top w:val="single" w:sz="12" w:space="0" w:color="auto"/>
            </w:tcBorders>
            <w:shd w:val="clear" w:color="auto" w:fill="auto"/>
          </w:tcPr>
          <w:p w:rsidR="00EF2F10" w:rsidRPr="00EF2F10" w:rsidRDefault="00EF2F10" w:rsidP="00EF2F10">
            <w:pPr>
              <w:spacing w:before="60" w:after="60"/>
              <w:ind w:left="57" w:right="57"/>
            </w:pPr>
            <w:r w:rsidRPr="00D55DE7">
              <w:rPr>
                <w:lang w:val="fr-FR"/>
              </w:rPr>
              <w:t>Lorsque le projecteur est allumé, l</w:t>
            </w:r>
            <w:r>
              <w:rPr>
                <w:lang w:val="fr-FR"/>
              </w:rPr>
              <w:t>e feu de circulation diurne est </w:t>
            </w:r>
            <w:r w:rsidRPr="00D55DE7">
              <w:rPr>
                <w:lang w:val="fr-FR"/>
              </w:rPr>
              <w:t>éteint</w:t>
            </w:r>
          </w:p>
        </w:tc>
        <w:tc>
          <w:tcPr>
            <w:tcW w:w="1835" w:type="dxa"/>
            <w:tcBorders>
              <w:top w:val="single" w:sz="12" w:space="0" w:color="auto"/>
            </w:tcBorders>
            <w:shd w:val="clear" w:color="auto" w:fill="auto"/>
          </w:tcPr>
          <w:p w:rsidR="00EF2F10" w:rsidRPr="00EF2F10" w:rsidRDefault="00EF2F10" w:rsidP="00EF2F10">
            <w:pPr>
              <w:spacing w:before="60" w:after="60"/>
              <w:ind w:left="57" w:right="57"/>
            </w:pPr>
            <w:r w:rsidRPr="00EF2F10">
              <w:sym w:font="Wingdings" w:char="F0DF"/>
            </w:r>
          </w:p>
        </w:tc>
        <w:tc>
          <w:tcPr>
            <w:tcW w:w="2650" w:type="dxa"/>
            <w:tcBorders>
              <w:top w:val="single" w:sz="12" w:space="0" w:color="auto"/>
            </w:tcBorders>
            <w:shd w:val="clear" w:color="auto" w:fill="auto"/>
          </w:tcPr>
          <w:p w:rsidR="00EF2F10" w:rsidRPr="00EF2F10" w:rsidRDefault="00EF2F10" w:rsidP="00EF2F10">
            <w:pPr>
              <w:spacing w:before="60" w:after="60"/>
              <w:ind w:left="57" w:right="57"/>
            </w:pPr>
            <w:r w:rsidRPr="00EF2F10">
              <w:t>Aucun changement</w:t>
            </w:r>
          </w:p>
        </w:tc>
        <w:tc>
          <w:tcPr>
            <w:tcW w:w="1723" w:type="dxa"/>
            <w:tcBorders>
              <w:top w:val="single" w:sz="12" w:space="0" w:color="auto"/>
            </w:tcBorders>
            <w:shd w:val="clear" w:color="auto" w:fill="auto"/>
          </w:tcPr>
          <w:p w:rsidR="00EF2F10" w:rsidRPr="00EF2F10" w:rsidRDefault="00EF2F10" w:rsidP="00EF2F10">
            <w:pPr>
              <w:spacing w:before="60" w:after="60"/>
              <w:ind w:left="57" w:right="57"/>
            </w:pPr>
            <w:r w:rsidRPr="00EF2F10">
              <w:t>−</w:t>
            </w:r>
          </w:p>
        </w:tc>
      </w:tr>
      <w:tr w:rsidR="00EF2F10" w:rsidRPr="00EF2F10" w:rsidTr="003C7998">
        <w:tc>
          <w:tcPr>
            <w:tcW w:w="1554" w:type="dxa"/>
            <w:shd w:val="clear" w:color="auto" w:fill="auto"/>
          </w:tcPr>
          <w:p w:rsidR="00EF2F10" w:rsidRPr="00D55DE7" w:rsidRDefault="00EF2F10" w:rsidP="00EF2F10">
            <w:pPr>
              <w:keepNext/>
              <w:keepLines/>
              <w:spacing w:beforeLines="60" w:before="144" w:afterLines="60" w:after="144"/>
              <w:ind w:left="57" w:right="57"/>
            </w:pPr>
            <w:r w:rsidRPr="00D55DE7">
              <w:rPr>
                <w:lang w:val="fr-FR"/>
              </w:rPr>
              <w:lastRenderedPageBreak/>
              <w:t>Feu de position arrière</w:t>
            </w:r>
          </w:p>
        </w:tc>
        <w:tc>
          <w:tcPr>
            <w:tcW w:w="1875" w:type="dxa"/>
            <w:shd w:val="clear" w:color="auto" w:fill="auto"/>
          </w:tcPr>
          <w:p w:rsidR="00EF2F10" w:rsidRPr="00D55DE7" w:rsidRDefault="00EF2F10" w:rsidP="00EF2F10">
            <w:pPr>
              <w:keepNext/>
              <w:keepLines/>
              <w:spacing w:beforeLines="60" w:before="144" w:afterLines="60" w:after="144"/>
              <w:ind w:left="57" w:right="57"/>
            </w:pPr>
            <w:r w:rsidRPr="00D55DE7">
              <w:rPr>
                <w:lang w:val="fr-FR"/>
              </w:rPr>
              <w:t>Allumé en même temps que le projecteur</w:t>
            </w:r>
          </w:p>
        </w:tc>
        <w:tc>
          <w:tcPr>
            <w:tcW w:w="1835" w:type="dxa"/>
            <w:shd w:val="clear" w:color="auto" w:fill="auto"/>
          </w:tcPr>
          <w:p w:rsidR="00EF2F10" w:rsidRPr="00D55DE7" w:rsidRDefault="00EF2F10" w:rsidP="00EF2F10">
            <w:pPr>
              <w:keepNext/>
              <w:keepLines/>
              <w:spacing w:beforeLines="60" w:before="144" w:afterLines="60" w:after="144"/>
              <w:ind w:left="57" w:right="57"/>
            </w:pPr>
            <w:r>
              <w:rPr>
                <w:lang w:val="fr-FR"/>
              </w:rPr>
              <w:t>Allumé avec le </w:t>
            </w:r>
            <w:r w:rsidRPr="00D55DE7">
              <w:rPr>
                <w:lang w:val="fr-FR"/>
              </w:rPr>
              <w:t>projecteur.</w:t>
            </w:r>
          </w:p>
          <w:p w:rsidR="00EF2F10" w:rsidRPr="00D55DE7" w:rsidRDefault="00EF2F10" w:rsidP="00EF2F10">
            <w:pPr>
              <w:keepNext/>
              <w:keepLines/>
              <w:spacing w:beforeLines="60" w:before="144" w:afterLines="60" w:after="144"/>
              <w:ind w:left="57" w:right="57"/>
            </w:pPr>
            <w:r w:rsidRPr="00D55DE7">
              <w:rPr>
                <w:lang w:val="fr-FR"/>
              </w:rPr>
              <w:t>Mais peut aussi être allumé quand le projecteur est éteint, durant la période comprise entre l’activation du commutateur de contact et le démarrage du moteur.</w:t>
            </w:r>
          </w:p>
        </w:tc>
        <w:tc>
          <w:tcPr>
            <w:tcW w:w="2650" w:type="dxa"/>
            <w:shd w:val="clear" w:color="auto" w:fill="auto"/>
          </w:tcPr>
          <w:p w:rsidR="00EF2F10" w:rsidRPr="00D55DE7" w:rsidRDefault="00EF2F10" w:rsidP="00EF2F10">
            <w:pPr>
              <w:keepNext/>
              <w:keepLines/>
              <w:spacing w:beforeLines="60" w:before="144" w:afterLines="60" w:after="144"/>
              <w:ind w:left="57" w:right="57"/>
            </w:pPr>
            <w:r w:rsidRPr="00D55DE7">
              <w:rPr>
                <w:lang w:val="fr-FR"/>
              </w:rPr>
              <w:t>Les deux roues utilisent des systèmes d’éclairage fonctionnant sur un système à courant continu ou à courant alternatif, ou les deux. Il est aussi d’usage de faire fonctionner certaines lampes sur courant alternatif et d’autres sur courant continu. Les lampes fonctionnant grâce à un système à courant continu peuvent s’allumer lorsque le contacteur d’allumage est activé et celles fonctionnant grâce à un système à courant alternatif ne s’allument que lorsque le moteur est démarré.</w:t>
            </w:r>
          </w:p>
        </w:tc>
        <w:tc>
          <w:tcPr>
            <w:tcW w:w="1723" w:type="dxa"/>
            <w:shd w:val="clear" w:color="auto" w:fill="auto"/>
          </w:tcPr>
          <w:p w:rsidR="00EF2F10" w:rsidRPr="00D55DE7" w:rsidRDefault="00EF2F10" w:rsidP="00EF2F10">
            <w:pPr>
              <w:keepNext/>
              <w:keepLines/>
              <w:spacing w:beforeLines="60" w:before="144" w:afterLines="60" w:after="144"/>
              <w:ind w:left="57" w:right="57"/>
            </w:pPr>
            <w:r w:rsidRPr="00D55DE7">
              <w:rPr>
                <w:lang w:val="fr-FR"/>
              </w:rPr>
              <w:t xml:space="preserve">Texte supplémentaire pour le paragraphe 5.10 </w:t>
            </w:r>
          </w:p>
        </w:tc>
      </w:tr>
      <w:tr w:rsidR="00EF2F10" w:rsidRPr="00EF2F10" w:rsidTr="003C7998">
        <w:tc>
          <w:tcPr>
            <w:tcW w:w="1554" w:type="dxa"/>
            <w:shd w:val="clear" w:color="auto" w:fill="auto"/>
          </w:tcPr>
          <w:p w:rsidR="00EF2F10" w:rsidRPr="00D55DE7" w:rsidRDefault="00EF2F10" w:rsidP="00EF2F10">
            <w:pPr>
              <w:keepNext/>
              <w:keepLines/>
              <w:spacing w:beforeLines="60" w:before="144" w:afterLines="60" w:after="144"/>
              <w:ind w:left="57" w:right="57"/>
              <w:rPr>
                <w:lang w:val="fr-FR"/>
              </w:rPr>
            </w:pPr>
          </w:p>
        </w:tc>
        <w:tc>
          <w:tcPr>
            <w:tcW w:w="1875" w:type="dxa"/>
            <w:shd w:val="clear" w:color="auto" w:fill="auto"/>
          </w:tcPr>
          <w:p w:rsidR="00EF2F10" w:rsidRPr="00D55DE7" w:rsidRDefault="00EF2F10" w:rsidP="00EF2F10">
            <w:pPr>
              <w:spacing w:beforeLines="60" w:before="144" w:afterLines="60" w:after="144"/>
              <w:ind w:left="57" w:right="57"/>
            </w:pPr>
            <w:r w:rsidRPr="00D55DE7">
              <w:rPr>
                <w:lang w:val="fr-FR"/>
              </w:rPr>
              <w:t>Allumé lorsque les feux de circulation diurne sont allumés.</w:t>
            </w:r>
          </w:p>
        </w:tc>
        <w:tc>
          <w:tcPr>
            <w:tcW w:w="1835" w:type="dxa"/>
            <w:shd w:val="clear" w:color="auto" w:fill="auto"/>
          </w:tcPr>
          <w:p w:rsidR="00EF2F10" w:rsidRPr="00D55DE7" w:rsidRDefault="00EF2F10" w:rsidP="00EF2F10">
            <w:pPr>
              <w:spacing w:beforeLines="60" w:before="144" w:afterLines="60" w:after="144"/>
              <w:ind w:left="57" w:right="57"/>
            </w:pPr>
            <w:r w:rsidRPr="00D55DE7">
              <w:sym w:font="Wingdings" w:char="F0DF"/>
            </w:r>
          </w:p>
        </w:tc>
        <w:tc>
          <w:tcPr>
            <w:tcW w:w="2650" w:type="dxa"/>
            <w:shd w:val="clear" w:color="auto" w:fill="auto"/>
          </w:tcPr>
          <w:p w:rsidR="00EF2F10" w:rsidRPr="00D55DE7" w:rsidRDefault="00EF2F10" w:rsidP="00EF2F10">
            <w:pPr>
              <w:spacing w:beforeLines="60" w:before="144" w:afterLines="60" w:after="144"/>
              <w:ind w:left="57" w:right="57"/>
            </w:pPr>
            <w:r w:rsidRPr="00D55DE7">
              <w:rPr>
                <w:lang w:val="fr-FR"/>
              </w:rPr>
              <w:t>Aucun changement</w:t>
            </w:r>
          </w:p>
        </w:tc>
        <w:tc>
          <w:tcPr>
            <w:tcW w:w="1723" w:type="dxa"/>
            <w:shd w:val="clear" w:color="auto" w:fill="auto"/>
          </w:tcPr>
          <w:p w:rsidR="00EF2F10" w:rsidRPr="00D55DE7" w:rsidRDefault="00EF2F10" w:rsidP="00EF2F10">
            <w:pPr>
              <w:spacing w:beforeLines="60" w:before="144" w:afterLines="60" w:after="144"/>
              <w:ind w:left="57" w:right="57"/>
            </w:pPr>
            <w:r>
              <w:rPr>
                <w:lang w:val="fr-FR"/>
              </w:rPr>
              <w:t>−</w:t>
            </w:r>
          </w:p>
        </w:tc>
      </w:tr>
      <w:tr w:rsidR="00EF2F10" w:rsidRPr="00EF2F10" w:rsidTr="003C7998">
        <w:tc>
          <w:tcPr>
            <w:tcW w:w="1554" w:type="dxa"/>
            <w:shd w:val="clear" w:color="auto" w:fill="auto"/>
          </w:tcPr>
          <w:p w:rsidR="00EF2F10" w:rsidRPr="00D55DE7" w:rsidRDefault="00EF2F10" w:rsidP="00EF2F10">
            <w:pPr>
              <w:spacing w:beforeLines="60" w:before="144" w:afterLines="60" w:after="144"/>
              <w:ind w:left="57" w:right="57"/>
            </w:pPr>
            <w:r w:rsidRPr="00D55DE7">
              <w:rPr>
                <w:lang w:val="fr-FR"/>
              </w:rPr>
              <w:t>Feu de position avant</w:t>
            </w:r>
          </w:p>
        </w:tc>
        <w:tc>
          <w:tcPr>
            <w:tcW w:w="1875" w:type="dxa"/>
            <w:shd w:val="clear" w:color="auto" w:fill="auto"/>
          </w:tcPr>
          <w:p w:rsidR="00EF2F10" w:rsidRPr="00D55DE7" w:rsidRDefault="00EF2F10" w:rsidP="00EF2F10">
            <w:pPr>
              <w:spacing w:beforeLines="60" w:before="144" w:afterLines="60" w:after="144"/>
              <w:ind w:left="57" w:right="57"/>
            </w:pPr>
            <w:r w:rsidRPr="00D55DE7">
              <w:rPr>
                <w:lang w:val="fr-FR"/>
              </w:rPr>
              <w:t>Allumé en même temps que le projecteur</w:t>
            </w:r>
          </w:p>
        </w:tc>
        <w:tc>
          <w:tcPr>
            <w:tcW w:w="1835" w:type="dxa"/>
            <w:shd w:val="clear" w:color="auto" w:fill="auto"/>
          </w:tcPr>
          <w:p w:rsidR="00EF2F10" w:rsidRPr="00D55DE7" w:rsidRDefault="00EF2F10" w:rsidP="00EF2F10">
            <w:pPr>
              <w:spacing w:beforeLines="60" w:before="144" w:afterLines="60" w:after="144"/>
              <w:ind w:left="57" w:right="57"/>
            </w:pPr>
            <w:r w:rsidRPr="00D55DE7">
              <w:rPr>
                <w:lang w:val="fr-FR"/>
              </w:rPr>
              <w:t>Allumage facultatif lorsque le projecteur est allumé.</w:t>
            </w:r>
            <w:r>
              <w:rPr>
                <w:lang w:val="fr-FR"/>
              </w:rPr>
              <w:t xml:space="preserve"> Sous réserve des conditions du </w:t>
            </w:r>
            <w:r w:rsidRPr="00D55DE7">
              <w:rPr>
                <w:lang w:val="fr-FR"/>
              </w:rPr>
              <w:t>paragraphe 6.1.3.1 ou 6.2.3.1</w:t>
            </w:r>
            <w:r w:rsidR="00152425">
              <w:rPr>
                <w:lang w:val="fr-FR"/>
              </w:rPr>
              <w:t>.</w:t>
            </w:r>
          </w:p>
        </w:tc>
        <w:tc>
          <w:tcPr>
            <w:tcW w:w="2650" w:type="dxa"/>
            <w:shd w:val="clear" w:color="auto" w:fill="auto"/>
          </w:tcPr>
          <w:p w:rsidR="00EF2F10" w:rsidRPr="00D55DE7" w:rsidRDefault="00EF2F10" w:rsidP="00EF2F10">
            <w:pPr>
              <w:spacing w:beforeLines="60" w:before="144" w:afterLines="60" w:after="144"/>
              <w:ind w:left="57" w:right="57"/>
            </w:pPr>
            <w:r w:rsidRPr="00D55DE7">
              <w:rPr>
                <w:lang w:val="fr-FR"/>
              </w:rPr>
              <w:t xml:space="preserve">Découlant de l’installation facultative du feu de position avant. Conformément au texte actuel du Règlement ONU </w:t>
            </w:r>
            <w:r>
              <w:rPr>
                <w:lang w:val="fr-FR"/>
              </w:rPr>
              <w:t>n</w:t>
            </w:r>
            <w:r w:rsidRPr="006647EF">
              <w:rPr>
                <w:vertAlign w:val="superscript"/>
                <w:lang w:val="fr-FR"/>
              </w:rPr>
              <w:t>o</w:t>
            </w:r>
            <w:r>
              <w:rPr>
                <w:lang w:val="fr-FR"/>
              </w:rPr>
              <w:t> </w:t>
            </w:r>
            <w:r w:rsidRPr="00D55DE7">
              <w:rPr>
                <w:lang w:val="fr-FR"/>
              </w:rPr>
              <w:t>53, l’allumage de ce feu est facultatif lorsque le feu de circulation diurne est allumé. D’après ce que nous comprenons, cette disposition pourrait s’expliquer par le fait que le feu de circulation diurne sert également à signaler la présence du véhicule lorsqu’il est vu de l’avant. Cette situation s’</w:t>
            </w:r>
            <w:r>
              <w:rPr>
                <w:lang w:val="fr-FR"/>
              </w:rPr>
              <w:t>applique également lorsque le </w:t>
            </w:r>
            <w:r w:rsidRPr="00D55DE7">
              <w:rPr>
                <w:lang w:val="fr-FR"/>
              </w:rPr>
              <w:t>véhicule est équipé d’un dispositif d’a</w:t>
            </w:r>
            <w:r>
              <w:rPr>
                <w:lang w:val="fr-FR"/>
              </w:rPr>
              <w:t>llumage automatique des phares.</w:t>
            </w:r>
          </w:p>
          <w:p w:rsidR="00EF2F10" w:rsidRPr="00D55DE7" w:rsidRDefault="00EF2F10" w:rsidP="00EF2F10">
            <w:pPr>
              <w:spacing w:beforeLines="60" w:before="144" w:afterLines="60" w:after="144"/>
              <w:ind w:left="57" w:right="57"/>
            </w:pPr>
            <w:r w:rsidRPr="00D55DE7">
              <w:rPr>
                <w:lang w:val="fr-FR"/>
              </w:rPr>
              <w:t xml:space="preserve">L’une des options pour le montage d’un projecteur asymétrique est de permettre le montage d’un feu de position avant symétrique. Dans ce cas, le feu de position avant doit s’allumer automatiquement en même temps que le projecteur. </w:t>
            </w:r>
          </w:p>
        </w:tc>
        <w:tc>
          <w:tcPr>
            <w:tcW w:w="1723" w:type="dxa"/>
            <w:shd w:val="clear" w:color="auto" w:fill="auto"/>
          </w:tcPr>
          <w:p w:rsidR="00EF2F10" w:rsidRPr="00D55DE7" w:rsidRDefault="00152425" w:rsidP="00EF2F10">
            <w:pPr>
              <w:spacing w:beforeLines="60" w:before="144" w:afterLines="60" w:after="144"/>
              <w:ind w:left="57" w:right="57"/>
            </w:pPr>
            <w:r>
              <w:rPr>
                <w:lang w:val="fr-FR"/>
              </w:rPr>
              <w:t>Texte supplémentaire pour les paragraphes 5.10 et 6.6.7.2.</w:t>
            </w:r>
          </w:p>
        </w:tc>
      </w:tr>
      <w:tr w:rsidR="00EF2F10" w:rsidRPr="00EF2F10" w:rsidTr="003C7998">
        <w:tc>
          <w:tcPr>
            <w:tcW w:w="1554" w:type="dxa"/>
            <w:shd w:val="clear" w:color="auto" w:fill="auto"/>
          </w:tcPr>
          <w:p w:rsidR="00EF2F10" w:rsidRPr="00D55DE7" w:rsidRDefault="00EF2F10" w:rsidP="00EF2F10">
            <w:pPr>
              <w:spacing w:beforeLines="60" w:before="144" w:afterLines="60" w:after="144"/>
              <w:ind w:left="57" w:right="57"/>
              <w:rPr>
                <w:lang w:val="fr-FR"/>
              </w:rPr>
            </w:pPr>
          </w:p>
        </w:tc>
        <w:tc>
          <w:tcPr>
            <w:tcW w:w="1875" w:type="dxa"/>
            <w:shd w:val="clear" w:color="auto" w:fill="auto"/>
          </w:tcPr>
          <w:p w:rsidR="00EF2F10" w:rsidRPr="00D55DE7" w:rsidRDefault="00EF2F10" w:rsidP="00EF2F10">
            <w:pPr>
              <w:spacing w:beforeLines="60" w:before="144" w:afterLines="60" w:after="144"/>
              <w:ind w:left="57" w:right="57"/>
            </w:pPr>
            <w:r w:rsidRPr="00D55DE7">
              <w:rPr>
                <w:lang w:val="fr-FR"/>
              </w:rPr>
              <w:t>Allumage facultatif lorsque les feux de circulation diurne sont allumés.</w:t>
            </w:r>
          </w:p>
        </w:tc>
        <w:tc>
          <w:tcPr>
            <w:tcW w:w="1835" w:type="dxa"/>
            <w:shd w:val="clear" w:color="auto" w:fill="auto"/>
          </w:tcPr>
          <w:p w:rsidR="00EF2F10" w:rsidRPr="00D55DE7" w:rsidRDefault="00EF2F10" w:rsidP="00EF2F10">
            <w:pPr>
              <w:spacing w:beforeLines="60" w:before="144" w:afterLines="60" w:after="144"/>
              <w:ind w:left="57" w:right="57"/>
            </w:pPr>
            <w:r w:rsidRPr="00D55DE7">
              <w:sym w:font="Wingdings" w:char="F0DF"/>
            </w:r>
          </w:p>
        </w:tc>
        <w:tc>
          <w:tcPr>
            <w:tcW w:w="2650" w:type="dxa"/>
            <w:shd w:val="clear" w:color="auto" w:fill="auto"/>
          </w:tcPr>
          <w:p w:rsidR="00EF2F10" w:rsidRPr="00D55DE7" w:rsidRDefault="00EF2F10" w:rsidP="00EF2F10">
            <w:pPr>
              <w:spacing w:beforeLines="60" w:before="144" w:afterLines="60" w:after="144"/>
              <w:ind w:left="57" w:right="57"/>
            </w:pPr>
            <w:r w:rsidRPr="00D55DE7">
              <w:rPr>
                <w:lang w:val="fr-FR"/>
              </w:rPr>
              <w:t>Aucun changement</w:t>
            </w:r>
          </w:p>
        </w:tc>
        <w:tc>
          <w:tcPr>
            <w:tcW w:w="1723" w:type="dxa"/>
            <w:shd w:val="clear" w:color="auto" w:fill="auto"/>
          </w:tcPr>
          <w:p w:rsidR="00EF2F10" w:rsidRPr="00D55DE7" w:rsidRDefault="00EF2F10" w:rsidP="00EF2F10">
            <w:pPr>
              <w:spacing w:beforeLines="60" w:before="144" w:afterLines="60" w:after="144"/>
              <w:ind w:left="57" w:right="57"/>
            </w:pPr>
            <w:r>
              <w:rPr>
                <w:lang w:val="fr-FR"/>
              </w:rPr>
              <w:t>−</w:t>
            </w:r>
          </w:p>
        </w:tc>
      </w:tr>
      <w:tr w:rsidR="00EF2F10" w:rsidRPr="00EF2F10" w:rsidTr="003C7998">
        <w:tc>
          <w:tcPr>
            <w:tcW w:w="1554" w:type="dxa"/>
            <w:shd w:val="clear" w:color="auto" w:fill="auto"/>
          </w:tcPr>
          <w:p w:rsidR="00EF2F10" w:rsidRPr="00D55DE7" w:rsidRDefault="00EF2F10" w:rsidP="00325A74">
            <w:pPr>
              <w:keepNext/>
              <w:keepLines/>
              <w:spacing w:beforeLines="60" w:before="144" w:afterLines="60" w:after="144"/>
              <w:ind w:left="57" w:right="57"/>
            </w:pPr>
            <w:r w:rsidRPr="00D55DE7">
              <w:rPr>
                <w:lang w:val="fr-FR"/>
              </w:rPr>
              <w:lastRenderedPageBreak/>
              <w:t>Dispositif d’éclairage de la</w:t>
            </w:r>
            <w:r w:rsidR="00325A74">
              <w:rPr>
                <w:lang w:val="fr-FR"/>
              </w:rPr>
              <w:t> </w:t>
            </w:r>
            <w:r w:rsidRPr="00D55DE7">
              <w:rPr>
                <w:lang w:val="fr-FR"/>
              </w:rPr>
              <w:t xml:space="preserve">plaque </w:t>
            </w:r>
            <w:r w:rsidRPr="006647EF">
              <w:rPr>
                <w:spacing w:val="-8"/>
                <w:lang w:val="fr-FR"/>
              </w:rPr>
              <w:t>d’immatricu</w:t>
            </w:r>
            <w:r w:rsidRPr="00D55DE7">
              <w:rPr>
                <w:lang w:val="fr-FR"/>
              </w:rPr>
              <w:t>lation arrière</w:t>
            </w:r>
          </w:p>
        </w:tc>
        <w:tc>
          <w:tcPr>
            <w:tcW w:w="1875" w:type="dxa"/>
            <w:shd w:val="clear" w:color="auto" w:fill="auto"/>
          </w:tcPr>
          <w:p w:rsidR="00EF2F10" w:rsidRPr="00D55DE7" w:rsidRDefault="00EF2F10" w:rsidP="00325A74">
            <w:pPr>
              <w:keepNext/>
              <w:keepLines/>
              <w:spacing w:beforeLines="60" w:before="144" w:afterLines="60" w:after="144"/>
              <w:ind w:left="57" w:right="57"/>
            </w:pPr>
            <w:r w:rsidRPr="00D55DE7">
              <w:rPr>
                <w:lang w:val="fr-FR"/>
              </w:rPr>
              <w:t>Allumage facultatif lorsque les feux de circulation diurne sont allumés.</w:t>
            </w:r>
          </w:p>
        </w:tc>
        <w:tc>
          <w:tcPr>
            <w:tcW w:w="1835" w:type="dxa"/>
            <w:shd w:val="clear" w:color="auto" w:fill="auto"/>
          </w:tcPr>
          <w:p w:rsidR="00EF2F10" w:rsidRPr="00D55DE7" w:rsidRDefault="00EF2F10" w:rsidP="00325A74">
            <w:pPr>
              <w:keepNext/>
              <w:keepLines/>
              <w:spacing w:beforeLines="60" w:before="144" w:afterLines="60" w:after="144"/>
              <w:ind w:left="57" w:right="57"/>
            </w:pPr>
            <w:r w:rsidRPr="00D55DE7">
              <w:sym w:font="Wingdings" w:char="F0DF"/>
            </w:r>
          </w:p>
        </w:tc>
        <w:tc>
          <w:tcPr>
            <w:tcW w:w="2650" w:type="dxa"/>
            <w:shd w:val="clear" w:color="auto" w:fill="auto"/>
          </w:tcPr>
          <w:p w:rsidR="00EF2F10" w:rsidRPr="00D55DE7" w:rsidRDefault="00EF2F10" w:rsidP="00325A74">
            <w:pPr>
              <w:keepNext/>
              <w:keepLines/>
              <w:spacing w:beforeLines="60" w:before="144" w:afterLines="60" w:after="144"/>
              <w:ind w:left="57" w:right="57"/>
            </w:pPr>
            <w:r w:rsidRPr="00D55DE7">
              <w:rPr>
                <w:lang w:val="fr-FR"/>
              </w:rPr>
              <w:t>Aucun changement</w:t>
            </w:r>
          </w:p>
        </w:tc>
        <w:tc>
          <w:tcPr>
            <w:tcW w:w="1723" w:type="dxa"/>
            <w:shd w:val="clear" w:color="auto" w:fill="auto"/>
          </w:tcPr>
          <w:p w:rsidR="00EF2F10" w:rsidRPr="00D55DE7" w:rsidRDefault="00EF2F10" w:rsidP="00EF2F10">
            <w:pPr>
              <w:spacing w:beforeLines="60" w:before="144" w:afterLines="60" w:after="144"/>
              <w:ind w:left="57" w:right="57"/>
            </w:pPr>
            <w:r>
              <w:rPr>
                <w:lang w:val="fr-FR"/>
              </w:rPr>
              <w:t>−</w:t>
            </w:r>
          </w:p>
        </w:tc>
      </w:tr>
      <w:tr w:rsidR="00EF2F10" w:rsidRPr="00EF2F10" w:rsidTr="003C7998">
        <w:tc>
          <w:tcPr>
            <w:tcW w:w="1554" w:type="dxa"/>
            <w:shd w:val="clear" w:color="auto" w:fill="auto"/>
          </w:tcPr>
          <w:p w:rsidR="00EF2F10" w:rsidRPr="00D55DE7" w:rsidRDefault="00EF2F10" w:rsidP="00EF2F10">
            <w:pPr>
              <w:spacing w:beforeLines="60" w:before="144" w:afterLines="60" w:after="144"/>
              <w:ind w:left="57" w:right="57"/>
              <w:rPr>
                <w:lang w:val="fr-FR"/>
              </w:rPr>
            </w:pPr>
          </w:p>
        </w:tc>
        <w:tc>
          <w:tcPr>
            <w:tcW w:w="1875" w:type="dxa"/>
            <w:shd w:val="clear" w:color="auto" w:fill="auto"/>
          </w:tcPr>
          <w:p w:rsidR="00EF2F10" w:rsidRPr="00D55DE7" w:rsidRDefault="00EF2F10" w:rsidP="00EF2F10">
            <w:pPr>
              <w:spacing w:beforeLines="60" w:before="144" w:afterLines="60" w:after="144"/>
              <w:ind w:left="57" w:right="57"/>
            </w:pPr>
            <w:r w:rsidRPr="00D55DE7">
              <w:rPr>
                <w:lang w:val="fr-FR"/>
              </w:rPr>
              <w:t>Allumé lorsque le feu de position avant est allumé.</w:t>
            </w:r>
          </w:p>
        </w:tc>
        <w:tc>
          <w:tcPr>
            <w:tcW w:w="1835" w:type="dxa"/>
            <w:shd w:val="clear" w:color="auto" w:fill="auto"/>
          </w:tcPr>
          <w:p w:rsidR="00EF2F10" w:rsidRPr="00D55DE7" w:rsidRDefault="00EF2F10" w:rsidP="00EF2F10">
            <w:pPr>
              <w:spacing w:beforeLines="60" w:before="144" w:afterLines="60" w:after="144"/>
              <w:ind w:left="57" w:right="57"/>
            </w:pPr>
            <w:r w:rsidRPr="00D55DE7">
              <w:rPr>
                <w:lang w:val="fr-FR"/>
              </w:rPr>
              <w:t>Allumage facultatif lorsque le feu de position avant est allumé.</w:t>
            </w:r>
          </w:p>
        </w:tc>
        <w:tc>
          <w:tcPr>
            <w:tcW w:w="2650" w:type="dxa"/>
            <w:shd w:val="clear" w:color="auto" w:fill="auto"/>
          </w:tcPr>
          <w:p w:rsidR="00EF2F10" w:rsidRPr="00D55DE7" w:rsidRDefault="00EF2F10" w:rsidP="00EF2F10">
            <w:pPr>
              <w:spacing w:beforeLines="60" w:before="144" w:afterLines="60" w:after="144"/>
              <w:ind w:left="57" w:right="57"/>
              <w:rPr>
                <w:shd w:val="clear" w:color="auto" w:fill="FFFFFF"/>
              </w:rPr>
            </w:pPr>
            <w:r w:rsidRPr="00D55DE7">
              <w:rPr>
                <w:lang w:val="fr-FR"/>
              </w:rPr>
              <w:t>Le feu de position avant étant facultatif, il n’est pas indispensable que le dispositif d’éclairage de la plaque d’immatriculation arrière s’allume lorsque le feu de position avant est allumé.</w:t>
            </w:r>
          </w:p>
        </w:tc>
        <w:tc>
          <w:tcPr>
            <w:tcW w:w="1723" w:type="dxa"/>
            <w:shd w:val="clear" w:color="auto" w:fill="auto"/>
          </w:tcPr>
          <w:p w:rsidR="00EF2F10" w:rsidRPr="00D55DE7" w:rsidRDefault="00EF2F10" w:rsidP="00EF2F10">
            <w:pPr>
              <w:spacing w:beforeLines="60" w:before="144" w:afterLines="60" w:after="144"/>
              <w:ind w:left="57" w:right="57"/>
            </w:pPr>
            <w:r w:rsidRPr="00D55DE7">
              <w:rPr>
                <w:lang w:val="fr-FR"/>
              </w:rPr>
              <w:t>Texte supplémentaire pour le paragraphe 6.6.7.2</w:t>
            </w:r>
          </w:p>
        </w:tc>
      </w:tr>
    </w:tbl>
    <w:p w:rsidR="0025539E" w:rsidRPr="00D55DE7" w:rsidRDefault="00D55DE7" w:rsidP="00D55DE7">
      <w:pPr>
        <w:pStyle w:val="SingleTxtG"/>
        <w:spacing w:before="240" w:after="0"/>
        <w:jc w:val="center"/>
        <w:rPr>
          <w:u w:val="single"/>
        </w:rPr>
      </w:pPr>
      <w:r>
        <w:rPr>
          <w:u w:val="single"/>
        </w:rPr>
        <w:tab/>
      </w:r>
      <w:r>
        <w:rPr>
          <w:u w:val="single"/>
        </w:rPr>
        <w:tab/>
      </w:r>
      <w:r>
        <w:rPr>
          <w:u w:val="single"/>
        </w:rPr>
        <w:tab/>
      </w:r>
    </w:p>
    <w:sectPr w:rsidR="0025539E" w:rsidRPr="00D55DE7" w:rsidSect="00DC481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9DA" w:rsidRDefault="00C809DA" w:rsidP="00F95C08">
      <w:pPr>
        <w:spacing w:line="240" w:lineRule="auto"/>
      </w:pPr>
    </w:p>
  </w:endnote>
  <w:endnote w:type="continuationSeparator" w:id="0">
    <w:p w:rsidR="00C809DA" w:rsidRPr="00AC3823" w:rsidRDefault="00C809DA" w:rsidP="00AC3823">
      <w:pPr>
        <w:pStyle w:val="Footer"/>
      </w:pPr>
    </w:p>
  </w:endnote>
  <w:endnote w:type="continuationNotice" w:id="1">
    <w:p w:rsidR="00C809DA" w:rsidRDefault="00C809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817" w:rsidRPr="00DC4817" w:rsidRDefault="00DC4817" w:rsidP="00DC4817">
    <w:pPr>
      <w:pStyle w:val="Footer"/>
      <w:tabs>
        <w:tab w:val="right" w:pos="9638"/>
      </w:tabs>
    </w:pPr>
    <w:r w:rsidRPr="00DC4817">
      <w:rPr>
        <w:b/>
        <w:sz w:val="18"/>
      </w:rPr>
      <w:fldChar w:fldCharType="begin"/>
    </w:r>
    <w:r w:rsidRPr="00DC4817">
      <w:rPr>
        <w:b/>
        <w:sz w:val="18"/>
      </w:rPr>
      <w:instrText xml:space="preserve"> PAGE  \* MERGEFORMAT </w:instrText>
    </w:r>
    <w:r w:rsidRPr="00DC4817">
      <w:rPr>
        <w:b/>
        <w:sz w:val="18"/>
      </w:rPr>
      <w:fldChar w:fldCharType="separate"/>
    </w:r>
    <w:r w:rsidR="002133F5">
      <w:rPr>
        <w:b/>
        <w:noProof/>
        <w:sz w:val="18"/>
      </w:rPr>
      <w:t>6</w:t>
    </w:r>
    <w:r w:rsidRPr="00DC4817">
      <w:rPr>
        <w:b/>
        <w:sz w:val="18"/>
      </w:rPr>
      <w:fldChar w:fldCharType="end"/>
    </w:r>
    <w:r>
      <w:rPr>
        <w:b/>
        <w:sz w:val="18"/>
      </w:rPr>
      <w:tab/>
    </w:r>
    <w:r>
      <w:t>GE.18-13182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817" w:rsidRPr="00DC4817" w:rsidRDefault="00DC4817" w:rsidP="00DC4817">
    <w:pPr>
      <w:pStyle w:val="Footer"/>
      <w:tabs>
        <w:tab w:val="right" w:pos="9638"/>
      </w:tabs>
      <w:rPr>
        <w:b/>
        <w:sz w:val="18"/>
      </w:rPr>
    </w:pPr>
    <w:r>
      <w:t>GE.18-13182</w:t>
    </w:r>
    <w:r>
      <w:tab/>
    </w:r>
    <w:r w:rsidRPr="00DC4817">
      <w:rPr>
        <w:b/>
        <w:sz w:val="18"/>
      </w:rPr>
      <w:fldChar w:fldCharType="begin"/>
    </w:r>
    <w:r w:rsidRPr="00DC4817">
      <w:rPr>
        <w:b/>
        <w:sz w:val="18"/>
      </w:rPr>
      <w:instrText xml:space="preserve"> PAGE  \* MERGEFORMAT </w:instrText>
    </w:r>
    <w:r w:rsidRPr="00DC4817">
      <w:rPr>
        <w:b/>
        <w:sz w:val="18"/>
      </w:rPr>
      <w:fldChar w:fldCharType="separate"/>
    </w:r>
    <w:r w:rsidR="002133F5">
      <w:rPr>
        <w:b/>
        <w:noProof/>
        <w:sz w:val="18"/>
      </w:rPr>
      <w:t>5</w:t>
    </w:r>
    <w:r w:rsidRPr="00DC48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DC4817" w:rsidRDefault="00DC4817" w:rsidP="00DC4817">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18-13182  (F)    040918    070918</w:t>
    </w:r>
    <w:r>
      <w:rPr>
        <w:sz w:val="20"/>
      </w:rPr>
      <w:br/>
    </w:r>
    <w:r w:rsidRPr="00DC4817">
      <w:rPr>
        <w:rFonts w:ascii="C39T30Lfz" w:hAnsi="C39T30Lfz"/>
        <w:sz w:val="56"/>
      </w:rPr>
      <w:t></w:t>
    </w:r>
    <w:r w:rsidRPr="00DC4817">
      <w:rPr>
        <w:rFonts w:ascii="C39T30Lfz" w:hAnsi="C39T30Lfz"/>
        <w:sz w:val="56"/>
      </w:rPr>
      <w:t></w:t>
    </w:r>
    <w:r w:rsidRPr="00DC4817">
      <w:rPr>
        <w:rFonts w:ascii="C39T30Lfz" w:hAnsi="C39T30Lfz"/>
        <w:sz w:val="56"/>
      </w:rPr>
      <w:t></w:t>
    </w:r>
    <w:r w:rsidRPr="00DC4817">
      <w:rPr>
        <w:rFonts w:ascii="C39T30Lfz" w:hAnsi="C39T30Lfz"/>
        <w:sz w:val="56"/>
      </w:rPr>
      <w:t></w:t>
    </w:r>
    <w:r w:rsidRPr="00DC4817">
      <w:rPr>
        <w:rFonts w:ascii="C39T30Lfz" w:hAnsi="C39T30Lfz"/>
        <w:sz w:val="56"/>
      </w:rPr>
      <w:t></w:t>
    </w:r>
    <w:r w:rsidRPr="00DC4817">
      <w:rPr>
        <w:rFonts w:ascii="C39T30Lfz" w:hAnsi="C39T30Lfz"/>
        <w:sz w:val="56"/>
      </w:rPr>
      <w:t></w:t>
    </w:r>
    <w:r w:rsidRPr="00DC4817">
      <w:rPr>
        <w:rFonts w:ascii="C39T30Lfz" w:hAnsi="C39T30Lfz"/>
        <w:sz w:val="56"/>
      </w:rPr>
      <w:t></w:t>
    </w:r>
    <w:r w:rsidRPr="00DC4817">
      <w:rPr>
        <w:rFonts w:ascii="C39T30Lfz" w:hAnsi="C39T30Lfz"/>
        <w:sz w:val="56"/>
      </w:rPr>
      <w:t></w:t>
    </w:r>
    <w:r w:rsidRPr="00DC481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8/4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4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9DA" w:rsidRPr="00AC3823" w:rsidRDefault="00C809DA" w:rsidP="00AC3823">
      <w:pPr>
        <w:pStyle w:val="Footer"/>
        <w:tabs>
          <w:tab w:val="right" w:pos="2155"/>
        </w:tabs>
        <w:spacing w:after="80" w:line="240" w:lineRule="atLeast"/>
        <w:ind w:left="680"/>
        <w:rPr>
          <w:u w:val="single"/>
        </w:rPr>
      </w:pPr>
      <w:r>
        <w:rPr>
          <w:u w:val="single"/>
        </w:rPr>
        <w:tab/>
      </w:r>
    </w:p>
  </w:footnote>
  <w:footnote w:type="continuationSeparator" w:id="0">
    <w:p w:rsidR="00C809DA" w:rsidRPr="00AC3823" w:rsidRDefault="00C809DA" w:rsidP="00AC3823">
      <w:pPr>
        <w:pStyle w:val="Footer"/>
        <w:tabs>
          <w:tab w:val="right" w:pos="2155"/>
        </w:tabs>
        <w:spacing w:after="80" w:line="240" w:lineRule="atLeast"/>
        <w:ind w:left="680"/>
        <w:rPr>
          <w:u w:val="single"/>
        </w:rPr>
      </w:pPr>
      <w:r>
        <w:rPr>
          <w:u w:val="single"/>
        </w:rPr>
        <w:tab/>
      </w:r>
    </w:p>
  </w:footnote>
  <w:footnote w:type="continuationNotice" w:id="1">
    <w:p w:rsidR="00C809DA" w:rsidRPr="00AC3823" w:rsidRDefault="00C809DA">
      <w:pPr>
        <w:spacing w:line="240" w:lineRule="auto"/>
        <w:rPr>
          <w:sz w:val="2"/>
          <w:szCs w:val="2"/>
        </w:rPr>
      </w:pPr>
    </w:p>
  </w:footnote>
  <w:footnote w:id="2">
    <w:p w:rsidR="0025539E" w:rsidRPr="0025539E" w:rsidRDefault="0025539E">
      <w:pPr>
        <w:pStyle w:val="FootnoteText"/>
      </w:pPr>
      <w:r w:rsidRPr="0025539E">
        <w:rPr>
          <w:rStyle w:val="FootnoteReference"/>
          <w:spacing w:val="-1"/>
        </w:rPr>
        <w:tab/>
      </w:r>
      <w:r w:rsidRPr="0025539E">
        <w:rPr>
          <w:rStyle w:val="FootnoteReference"/>
          <w:spacing w:val="-1"/>
          <w:sz w:val="20"/>
          <w:vertAlign w:val="baseline"/>
        </w:rPr>
        <w:t>*</w:t>
      </w:r>
      <w:r w:rsidRPr="0025539E">
        <w:rPr>
          <w:rStyle w:val="FootnoteReference"/>
          <w:spacing w:val="-1"/>
          <w:sz w:val="20"/>
          <w:vertAlign w:val="baseline"/>
        </w:rPr>
        <w:tab/>
      </w:r>
      <w:r w:rsidRPr="0025539E">
        <w:rPr>
          <w:spacing w:val="-1"/>
          <w:lang w:val="fr-FR"/>
        </w:rPr>
        <w:t>Conformément au programme de travail du Comité des transports intérieurs pour la période 2018-2019</w:t>
      </w:r>
      <w:r>
        <w:rPr>
          <w:lang w:val="fr-FR"/>
        </w:rPr>
        <w:t xml:space="preserve"> (ECE/TRANS/274, par. 123,</w:t>
      </w:r>
      <w:r w:rsidR="0095485E">
        <w:rPr>
          <w:lang w:val="fr-FR"/>
        </w:rPr>
        <w:t xml:space="preserve"> </w:t>
      </w:r>
      <w:r>
        <w:rPr>
          <w:lang w:val="fr-FR"/>
        </w:rPr>
        <w:t>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817" w:rsidRPr="00DC4817" w:rsidRDefault="00AA273C">
    <w:pPr>
      <w:pStyle w:val="Header"/>
    </w:pPr>
    <w:r>
      <w:fldChar w:fldCharType="begin"/>
    </w:r>
    <w:r>
      <w:instrText xml:space="preserve"> TITLE  \* MERGEFORMAT </w:instrText>
    </w:r>
    <w:r>
      <w:fldChar w:fldCharType="separate"/>
    </w:r>
    <w:r w:rsidR="00DE5D5F">
      <w:t>ECE/TRANS/WP.29/GRE/2018/47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817" w:rsidRPr="00DC4817" w:rsidRDefault="00AA273C" w:rsidP="00DC4817">
    <w:pPr>
      <w:pStyle w:val="Header"/>
      <w:jc w:val="right"/>
    </w:pPr>
    <w:r>
      <w:fldChar w:fldCharType="begin"/>
    </w:r>
    <w:r>
      <w:instrText xml:space="preserve"> TITLE  \* MERGEFORMAT </w:instrText>
    </w:r>
    <w:r>
      <w:fldChar w:fldCharType="separate"/>
    </w:r>
    <w:r w:rsidR="00DE5D5F">
      <w:t>ECE/TRANS/WP.29/GRE/2018/47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9DA"/>
    <w:rsid w:val="00017F94"/>
    <w:rsid w:val="00023842"/>
    <w:rsid w:val="000334F9"/>
    <w:rsid w:val="00045FEB"/>
    <w:rsid w:val="00064DDD"/>
    <w:rsid w:val="0007796D"/>
    <w:rsid w:val="000B7790"/>
    <w:rsid w:val="0010136E"/>
    <w:rsid w:val="00111F2F"/>
    <w:rsid w:val="0014365E"/>
    <w:rsid w:val="00143C66"/>
    <w:rsid w:val="00152425"/>
    <w:rsid w:val="00176178"/>
    <w:rsid w:val="001F525A"/>
    <w:rsid w:val="002133F5"/>
    <w:rsid w:val="00223272"/>
    <w:rsid w:val="0024779E"/>
    <w:rsid w:val="0025539E"/>
    <w:rsid w:val="00257168"/>
    <w:rsid w:val="002744B8"/>
    <w:rsid w:val="002832AC"/>
    <w:rsid w:val="002A674D"/>
    <w:rsid w:val="002D7C93"/>
    <w:rsid w:val="00305801"/>
    <w:rsid w:val="00325A74"/>
    <w:rsid w:val="003916DE"/>
    <w:rsid w:val="003C7998"/>
    <w:rsid w:val="003E54F7"/>
    <w:rsid w:val="00421996"/>
    <w:rsid w:val="00441C3B"/>
    <w:rsid w:val="00446FE5"/>
    <w:rsid w:val="00452396"/>
    <w:rsid w:val="004837D8"/>
    <w:rsid w:val="004E2EED"/>
    <w:rsid w:val="004E468C"/>
    <w:rsid w:val="005505B7"/>
    <w:rsid w:val="00573BE5"/>
    <w:rsid w:val="00586ED3"/>
    <w:rsid w:val="00596AA9"/>
    <w:rsid w:val="006647EF"/>
    <w:rsid w:val="00677489"/>
    <w:rsid w:val="0071601D"/>
    <w:rsid w:val="007A62E6"/>
    <w:rsid w:val="007F20FA"/>
    <w:rsid w:val="0080684C"/>
    <w:rsid w:val="008352FF"/>
    <w:rsid w:val="00871C75"/>
    <w:rsid w:val="008776DC"/>
    <w:rsid w:val="009446C0"/>
    <w:rsid w:val="0095485E"/>
    <w:rsid w:val="009705C8"/>
    <w:rsid w:val="009C1CF4"/>
    <w:rsid w:val="009F6B74"/>
    <w:rsid w:val="00A3029F"/>
    <w:rsid w:val="00A30353"/>
    <w:rsid w:val="00A37B21"/>
    <w:rsid w:val="00AA273C"/>
    <w:rsid w:val="00AC3823"/>
    <w:rsid w:val="00AE323C"/>
    <w:rsid w:val="00AF0CB5"/>
    <w:rsid w:val="00B00181"/>
    <w:rsid w:val="00B00B0D"/>
    <w:rsid w:val="00B45F2E"/>
    <w:rsid w:val="00B765F7"/>
    <w:rsid w:val="00BA0CA9"/>
    <w:rsid w:val="00BB6729"/>
    <w:rsid w:val="00C02897"/>
    <w:rsid w:val="00C20A28"/>
    <w:rsid w:val="00C809DA"/>
    <w:rsid w:val="00C97039"/>
    <w:rsid w:val="00D3439C"/>
    <w:rsid w:val="00D55DE7"/>
    <w:rsid w:val="00DB1831"/>
    <w:rsid w:val="00DC4817"/>
    <w:rsid w:val="00DD3BFD"/>
    <w:rsid w:val="00DE5D5F"/>
    <w:rsid w:val="00DF6678"/>
    <w:rsid w:val="00E0299A"/>
    <w:rsid w:val="00E53F39"/>
    <w:rsid w:val="00E85C74"/>
    <w:rsid w:val="00EA6547"/>
    <w:rsid w:val="00EF2E22"/>
    <w:rsid w:val="00EF2F10"/>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8F7E88-BCD6-4CB6-A8D6-AB868893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5226F-07D3-4C19-932F-E8F4AE269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1818</Words>
  <Characters>10367</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ECE/TRANS/WP.29/GRE/2018/47</vt:lpstr>
      <vt:lpstr>ECE/TRANS/WP.29/GRE/2018/47</vt:lpstr>
    </vt:vector>
  </TitlesOfParts>
  <Company>DCM</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ECE/TRANS/WP.29/GRE/2018/47</dc:title>
  <dc:subject/>
  <dc:creator>Marie DESCHAMPS</dc:creator>
  <cp:keywords/>
  <cp:lastModifiedBy>Benedicte Boudol</cp:lastModifiedBy>
  <cp:revision>2</cp:revision>
  <cp:lastPrinted>2018-09-07T10:14:00Z</cp:lastPrinted>
  <dcterms:created xsi:type="dcterms:W3CDTF">2018-09-07T11:17:00Z</dcterms:created>
  <dcterms:modified xsi:type="dcterms:W3CDTF">2018-09-07T11:17:00Z</dcterms:modified>
</cp:coreProperties>
</file>