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AC0A56" w:rsidRDefault="00C11267" w:rsidP="008A6EBB">
      <w:pPr>
        <w:pStyle w:val="HChG"/>
        <w:tabs>
          <w:tab w:val="clear" w:pos="851"/>
        </w:tabs>
        <w:ind w:right="1110" w:firstLine="0"/>
        <w:jc w:val="both"/>
        <w:rPr>
          <w:sz w:val="26"/>
          <w:szCs w:val="26"/>
        </w:rPr>
      </w:pPr>
      <w:r w:rsidRPr="00AC0A56">
        <w:rPr>
          <w:sz w:val="26"/>
          <w:szCs w:val="26"/>
        </w:rPr>
        <w:t xml:space="preserve">Proposal for </w:t>
      </w:r>
      <w:r w:rsidR="001D29D6">
        <w:rPr>
          <w:sz w:val="26"/>
          <w:szCs w:val="26"/>
        </w:rPr>
        <w:t>amendments</w:t>
      </w:r>
      <w:r w:rsidR="00AE7E5D">
        <w:rPr>
          <w:sz w:val="26"/>
          <w:szCs w:val="26"/>
        </w:rPr>
        <w:t xml:space="preserve"> </w:t>
      </w:r>
      <w:r w:rsidRPr="00AC0A56">
        <w:rPr>
          <w:sz w:val="26"/>
          <w:szCs w:val="26"/>
        </w:rPr>
        <w:t xml:space="preserve">to </w:t>
      </w:r>
      <w:r w:rsidR="00E16663">
        <w:rPr>
          <w:sz w:val="26"/>
          <w:szCs w:val="26"/>
        </w:rPr>
        <w:t xml:space="preserve">UN </w:t>
      </w:r>
      <w:r w:rsidR="001D29D6" w:rsidRPr="00142B92">
        <w:rPr>
          <w:sz w:val="26"/>
          <w:szCs w:val="26"/>
        </w:rPr>
        <w:t>Regulation No.</w:t>
      </w:r>
      <w:r w:rsidR="001D29D6">
        <w:rPr>
          <w:sz w:val="26"/>
          <w:szCs w:val="26"/>
        </w:rPr>
        <w:t xml:space="preserve"> </w:t>
      </w:r>
      <w:r w:rsidR="00296D0F">
        <w:rPr>
          <w:sz w:val="26"/>
          <w:szCs w:val="26"/>
        </w:rPr>
        <w:t>144</w:t>
      </w:r>
      <w:r w:rsidRPr="00AC0A56">
        <w:rPr>
          <w:sz w:val="26"/>
          <w:szCs w:val="26"/>
        </w:rPr>
        <w:t xml:space="preserve"> </w:t>
      </w:r>
      <w:r w:rsidR="00296D0F">
        <w:rPr>
          <w:sz w:val="26"/>
          <w:szCs w:val="26"/>
        </w:rPr>
        <w:t xml:space="preserve">on </w:t>
      </w:r>
      <w:r w:rsidR="00296D0F" w:rsidRPr="00296D0F">
        <w:rPr>
          <w:sz w:val="26"/>
          <w:szCs w:val="26"/>
        </w:rPr>
        <w:t>Accident Emergency Call Systems</w:t>
      </w:r>
    </w:p>
    <w:p w:rsidR="00AC0A56" w:rsidRPr="00AC0A56" w:rsidRDefault="00AC0A56" w:rsidP="008A6EBB">
      <w:pPr>
        <w:ind w:left="1134" w:right="1110"/>
        <w:jc w:val="both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</w:rPr>
        <w:t xml:space="preserve">The text reproduced below was </w:t>
      </w:r>
      <w:r w:rsidR="00D70DEB">
        <w:rPr>
          <w:rFonts w:ascii="Times New Roman" w:hAnsi="Times New Roman" w:cs="Times New Roman"/>
        </w:rPr>
        <w:t>prepared by the expert from OICA</w:t>
      </w:r>
      <w:r w:rsidR="00646CC0">
        <w:rPr>
          <w:rFonts w:ascii="Times New Roman" w:hAnsi="Times New Roman" w:cs="Times New Roman"/>
        </w:rPr>
        <w:t xml:space="preserve"> for correcting </w:t>
      </w:r>
      <w:r w:rsidR="008A6EBB">
        <w:rPr>
          <w:rFonts w:ascii="Times New Roman" w:hAnsi="Times New Roman" w:cs="Times New Roman"/>
        </w:rPr>
        <w:t>some internal references</w:t>
      </w:r>
      <w:r w:rsidR="002F4288">
        <w:rPr>
          <w:rFonts w:ascii="Times New Roman" w:hAnsi="Times New Roman" w:cs="Times New Roman"/>
        </w:rPr>
        <w:t>.</w:t>
      </w:r>
    </w:p>
    <w:p w:rsidR="00AC0A56" w:rsidRPr="00AC0A56" w:rsidRDefault="00AC0A56" w:rsidP="008A6EBB">
      <w:pPr>
        <w:spacing w:before="360" w:after="240"/>
        <w:ind w:left="1134" w:right="1110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I.</w:t>
      </w:r>
      <w:r w:rsidRPr="00AC0A56">
        <w:rPr>
          <w:rFonts w:ascii="Times New Roman" w:hAnsi="Times New Roman" w:cs="Times New Roman"/>
          <w:b/>
          <w:sz w:val="28"/>
        </w:rPr>
        <w:tab/>
        <w:t>Proposal</w:t>
      </w:r>
    </w:p>
    <w:p w:rsidR="00F72B85" w:rsidRPr="00646CC0" w:rsidRDefault="00646CC0" w:rsidP="008A6EBB">
      <w:pPr>
        <w:ind w:left="1134" w:right="1110"/>
        <w:jc w:val="both"/>
        <w:rPr>
          <w:rFonts w:ascii="Times New Roman" w:hAnsi="Times New Roman" w:cs="Times New Roman"/>
          <w:sz w:val="20"/>
          <w:szCs w:val="20"/>
        </w:rPr>
      </w:pPr>
      <w:r w:rsidRPr="00646CC0">
        <w:rPr>
          <w:rFonts w:ascii="Times New Roman" w:hAnsi="Times New Roman" w:cs="Times New Roman"/>
          <w:i/>
          <w:sz w:val="20"/>
          <w:szCs w:val="20"/>
        </w:rPr>
        <w:t>Paragraph</w:t>
      </w:r>
      <w:r w:rsidR="008A6E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6CC0">
        <w:rPr>
          <w:rFonts w:ascii="Times New Roman" w:hAnsi="Times New Roman" w:cs="Times New Roman"/>
          <w:i/>
          <w:sz w:val="20"/>
          <w:szCs w:val="20"/>
        </w:rPr>
        <w:t>34.1.</w:t>
      </w:r>
      <w:r w:rsidRPr="00646CC0">
        <w:rPr>
          <w:rFonts w:ascii="Times New Roman" w:hAnsi="Times New Roman" w:cs="Times New Roman"/>
          <w:sz w:val="20"/>
          <w:szCs w:val="20"/>
        </w:rPr>
        <w:t>, amend to read:</w:t>
      </w:r>
    </w:p>
    <w:p w:rsidR="001908B3" w:rsidRPr="00646CC0" w:rsidRDefault="008A6EBB" w:rsidP="00D42EE6">
      <w:pPr>
        <w:tabs>
          <w:tab w:val="left" w:pos="1985"/>
        </w:tabs>
        <w:spacing w:before="120" w:after="120"/>
        <w:ind w:left="1985" w:right="1110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"34.</w:t>
      </w:r>
      <w:r w:rsidR="001908B3" w:rsidRPr="00646CC0">
        <w:rPr>
          <w:rFonts w:ascii="Times New Roman" w:hAnsi="Times New Roman" w:cs="Times New Roman"/>
          <w:sz w:val="20"/>
          <w:szCs w:val="20"/>
        </w:rPr>
        <w:tab/>
        <w:t>APPROVAL</w:t>
      </w:r>
    </w:p>
    <w:p w:rsidR="001908B3" w:rsidRPr="00646CC0" w:rsidRDefault="008A6EBB" w:rsidP="00D42EE6">
      <w:pPr>
        <w:tabs>
          <w:tab w:val="left" w:pos="1985"/>
        </w:tabs>
        <w:spacing w:before="120" w:after="120"/>
        <w:ind w:left="1985" w:right="1110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34.1.</w:t>
      </w:r>
      <w:r w:rsidR="001908B3" w:rsidRPr="00646CC0">
        <w:rPr>
          <w:rFonts w:ascii="Times New Roman" w:hAnsi="Times New Roman" w:cs="Times New Roman"/>
          <w:sz w:val="20"/>
          <w:szCs w:val="20"/>
        </w:rPr>
        <w:tab/>
        <w:t xml:space="preserve">If the vehicle type submitted for approval in accordance with </w:t>
      </w:r>
      <w:r>
        <w:rPr>
          <w:rFonts w:ascii="Times New Roman" w:hAnsi="Times New Roman" w:cs="Times New Roman"/>
          <w:sz w:val="20"/>
          <w:szCs w:val="20"/>
        </w:rPr>
        <w:t>p</w:t>
      </w:r>
      <w:r w:rsidR="001908B3" w:rsidRPr="00646CC0">
        <w:rPr>
          <w:rFonts w:ascii="Times New Roman" w:hAnsi="Times New Roman" w:cs="Times New Roman"/>
          <w:sz w:val="20"/>
          <w:szCs w:val="20"/>
        </w:rPr>
        <w:t xml:space="preserve">aragraph 33. </w:t>
      </w:r>
      <w:proofErr w:type="gramStart"/>
      <w:r w:rsidR="001908B3" w:rsidRPr="00646CC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bove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meets the requirements of p</w:t>
      </w:r>
      <w:r w:rsidR="001908B3" w:rsidRPr="00646CC0">
        <w:rPr>
          <w:rFonts w:ascii="Times New Roman" w:hAnsi="Times New Roman" w:cs="Times New Roman"/>
          <w:sz w:val="20"/>
          <w:szCs w:val="20"/>
        </w:rPr>
        <w:t>aragraph 35. of this Regulation, approval shall be granted.</w:t>
      </w:r>
    </w:p>
    <w:p w:rsidR="001908B3" w:rsidRPr="00646CC0" w:rsidRDefault="00D42EE6" w:rsidP="00D42EE6">
      <w:pPr>
        <w:tabs>
          <w:tab w:val="left" w:pos="1985"/>
        </w:tabs>
        <w:autoSpaceDE w:val="0"/>
        <w:autoSpaceDN w:val="0"/>
        <w:ind w:left="1985" w:right="1110" w:hanging="851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ab/>
      </w:r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 xml:space="preserve">Before granting approval for a vehicle type, the competent authority shall ensure that all the parts listed in </w:t>
      </w:r>
      <w:r w:rsidR="008A6EBB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p</w:t>
      </w:r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 xml:space="preserve">aragraph </w:t>
      </w:r>
      <w:r w:rsidR="001908B3" w:rsidRPr="00646CC0">
        <w:rPr>
          <w:rFonts w:ascii="Times New Roman" w:hAnsi="Times New Roman" w:cs="Times New Roman"/>
          <w:iCs/>
          <w:strike/>
          <w:sz w:val="20"/>
          <w:szCs w:val="20"/>
          <w:lang w:eastAsia="en-GB"/>
        </w:rPr>
        <w:t>17.6.1.</w:t>
      </w:r>
      <w:r w:rsidR="001908B3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 xml:space="preserve"> 17.7.1</w:t>
      </w:r>
      <w:r w:rsidR="008A6EBB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>.</w:t>
      </w:r>
      <w:r w:rsidR="001908B3" w:rsidRPr="00646CC0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</w:t>
      </w:r>
      <w:proofErr w:type="gramStart"/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are</w:t>
      </w:r>
      <w:proofErr w:type="gramEnd"/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 xml:space="preserve"> tested to Annex 9. If the AECS is fed by a power supply other than the back-up power supply described in </w:t>
      </w:r>
      <w:r w:rsidR="008A6EBB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p</w:t>
      </w:r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aragraph</w:t>
      </w:r>
      <w:r w:rsid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 </w:t>
      </w:r>
      <w:r w:rsidR="001908B3" w:rsidRPr="00646CC0">
        <w:rPr>
          <w:rFonts w:ascii="Times New Roman" w:hAnsi="Times New Roman" w:cs="Times New Roman"/>
          <w:iCs/>
          <w:strike/>
          <w:sz w:val="20"/>
          <w:szCs w:val="20"/>
          <w:lang w:eastAsia="en-GB"/>
        </w:rPr>
        <w:t>17.6.2</w:t>
      </w:r>
      <w:r w:rsidR="001908B3" w:rsidRPr="00646CC0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. </w:t>
      </w:r>
      <w:proofErr w:type="gramStart"/>
      <w:r w:rsidR="001908B3" w:rsidRPr="00646CC0">
        <w:rPr>
          <w:rFonts w:ascii="Times New Roman" w:hAnsi="Times New Roman" w:cs="Times New Roman"/>
          <w:b/>
          <w:iCs/>
          <w:sz w:val="20"/>
          <w:szCs w:val="20"/>
        </w:rPr>
        <w:t>17.7.2</w:t>
      </w:r>
      <w:r w:rsidR="008A6EBB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1908B3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>,</w:t>
      </w:r>
      <w:proofErr w:type="gramEnd"/>
      <w:r w:rsidR="001908B3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 xml:space="preserve"> and this power supply is the only </w:t>
      </w:r>
      <w:r w:rsidR="009C1D39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 xml:space="preserve">AECS </w:t>
      </w:r>
      <w:r w:rsidR="001908B3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>power supply,</w:t>
      </w:r>
      <w:r w:rsidR="009C1D39" w:rsidRPr="00646CC0">
        <w:rPr>
          <w:rFonts w:ascii="Times New Roman" w:hAnsi="Times New Roman" w:cs="Times New Roman"/>
          <w:b/>
          <w:iCs/>
          <w:sz w:val="20"/>
          <w:szCs w:val="20"/>
          <w:lang w:eastAsia="en-GB"/>
        </w:rPr>
        <w:t xml:space="preserve"> </w:t>
      </w:r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 xml:space="preserve">this power supply shall </w:t>
      </w:r>
      <w:r w:rsidR="001908B3" w:rsidRPr="00646CC0">
        <w:rPr>
          <w:rFonts w:ascii="Times New Roman" w:hAnsi="Times New Roman" w:cs="Times New Roman"/>
          <w:iCs/>
          <w:strike/>
          <w:sz w:val="20"/>
          <w:szCs w:val="20"/>
          <w:lang w:eastAsia="en-GB"/>
        </w:rPr>
        <w:t>also</w:t>
      </w:r>
      <w:r w:rsidR="001908B3" w:rsidRPr="00646CC0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</w:t>
      </w:r>
      <w:r w:rsidR="001908B3" w:rsidRPr="00646CC0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be tested to Annex 9 to this Regulation.</w:t>
      </w:r>
      <w:r w:rsidR="008A6EBB">
        <w:rPr>
          <w:rFonts w:ascii="Times New Roman" w:hAnsi="Times New Roman" w:cs="Times New Roman"/>
          <w:iCs/>
          <w:color w:val="000000"/>
          <w:sz w:val="20"/>
          <w:szCs w:val="20"/>
          <w:lang w:eastAsia="en-GB"/>
        </w:rPr>
        <w:t>"</w:t>
      </w:r>
    </w:p>
    <w:p w:rsidR="001908B3" w:rsidRDefault="001908B3" w:rsidP="008A6EBB">
      <w:pPr>
        <w:ind w:left="1134" w:right="1110"/>
        <w:jc w:val="both"/>
        <w:rPr>
          <w:rFonts w:ascii="Calibri" w:hAnsi="Calibri" w:cs="Times New Roman"/>
          <w:lang w:eastAsia="en-US"/>
        </w:rPr>
      </w:pPr>
    </w:p>
    <w:p w:rsidR="00577668" w:rsidRPr="00AC0A56" w:rsidRDefault="00577668" w:rsidP="008A6EBB">
      <w:pPr>
        <w:spacing w:before="360" w:after="240"/>
        <w:ind w:left="1134" w:right="1110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C0A56">
        <w:rPr>
          <w:rFonts w:ascii="Times New Roman" w:hAnsi="Times New Roman" w:cs="Times New Roman"/>
          <w:b/>
          <w:sz w:val="28"/>
        </w:rPr>
        <w:t>.</w:t>
      </w:r>
      <w:r w:rsidRPr="00AC0A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Justifications</w:t>
      </w:r>
    </w:p>
    <w:p w:rsidR="001908B3" w:rsidRPr="00646CC0" w:rsidRDefault="00D70DEB" w:rsidP="008A6EBB">
      <w:pPr>
        <w:pStyle w:val="ListParagraph"/>
        <w:numPr>
          <w:ilvl w:val="0"/>
          <w:numId w:val="3"/>
        </w:numPr>
        <w:tabs>
          <w:tab w:val="left" w:pos="1985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6CC0">
        <w:rPr>
          <w:rFonts w:ascii="Times New Roman" w:hAnsi="Times New Roman" w:cs="Times New Roman"/>
          <w:sz w:val="20"/>
          <w:szCs w:val="20"/>
        </w:rPr>
        <w:t xml:space="preserve">The reference to </w:t>
      </w:r>
      <w:r w:rsidR="008A6EBB">
        <w:rPr>
          <w:rFonts w:ascii="Times New Roman" w:hAnsi="Times New Roman" w:cs="Times New Roman"/>
          <w:sz w:val="20"/>
          <w:szCs w:val="20"/>
        </w:rPr>
        <w:t>p</w:t>
      </w:r>
      <w:r w:rsidR="00646CC0" w:rsidRPr="00646CC0">
        <w:rPr>
          <w:rFonts w:ascii="Times New Roman" w:hAnsi="Times New Roman" w:cs="Times New Roman"/>
          <w:sz w:val="20"/>
          <w:szCs w:val="20"/>
        </w:rPr>
        <w:t>aragraph</w:t>
      </w:r>
      <w:r w:rsidR="008A6EBB">
        <w:rPr>
          <w:rFonts w:ascii="Times New Roman" w:hAnsi="Times New Roman" w:cs="Times New Roman"/>
          <w:sz w:val="20"/>
          <w:szCs w:val="20"/>
        </w:rPr>
        <w:t xml:space="preserve">s </w:t>
      </w:r>
      <w:r w:rsidRPr="00646CC0">
        <w:rPr>
          <w:rFonts w:ascii="Times New Roman" w:hAnsi="Times New Roman" w:cs="Times New Roman"/>
          <w:sz w:val="20"/>
          <w:szCs w:val="20"/>
        </w:rPr>
        <w:t xml:space="preserve">17.6.1. and </w:t>
      </w:r>
      <w:r w:rsidR="009D7758" w:rsidRPr="00646CC0">
        <w:rPr>
          <w:rFonts w:ascii="Times New Roman" w:hAnsi="Times New Roman" w:cs="Times New Roman"/>
          <w:sz w:val="20"/>
          <w:szCs w:val="20"/>
        </w:rPr>
        <w:t xml:space="preserve">17.6.2 are not </w:t>
      </w:r>
      <w:r w:rsidR="001908B3" w:rsidRPr="00646CC0">
        <w:rPr>
          <w:rFonts w:ascii="Times New Roman" w:hAnsi="Times New Roman" w:cs="Times New Roman"/>
          <w:sz w:val="20"/>
          <w:szCs w:val="20"/>
        </w:rPr>
        <w:t>correct</w:t>
      </w:r>
    </w:p>
    <w:p w:rsidR="001908B3" w:rsidRPr="00646CC0" w:rsidRDefault="009D7758" w:rsidP="008A6EBB">
      <w:pPr>
        <w:pStyle w:val="ListParagraph"/>
        <w:numPr>
          <w:ilvl w:val="0"/>
          <w:numId w:val="3"/>
        </w:numPr>
        <w:tabs>
          <w:tab w:val="left" w:pos="1985"/>
        </w:tabs>
        <w:spacing w:after="120"/>
        <w:ind w:left="1134" w:right="111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6CC0">
        <w:rPr>
          <w:rFonts w:ascii="Times New Roman" w:hAnsi="Times New Roman" w:cs="Times New Roman"/>
          <w:sz w:val="20"/>
          <w:szCs w:val="20"/>
        </w:rPr>
        <w:t xml:space="preserve">Align with the corresponding </w:t>
      </w:r>
      <w:r w:rsidR="00646CC0" w:rsidRPr="00646CC0">
        <w:rPr>
          <w:rFonts w:ascii="Times New Roman" w:hAnsi="Times New Roman" w:cs="Times New Roman"/>
          <w:sz w:val="20"/>
          <w:szCs w:val="20"/>
        </w:rPr>
        <w:t>paragraph</w:t>
      </w:r>
      <w:r w:rsidR="00D42EE6">
        <w:rPr>
          <w:rFonts w:ascii="Times New Roman" w:hAnsi="Times New Roman" w:cs="Times New Roman"/>
          <w:sz w:val="20"/>
          <w:szCs w:val="20"/>
        </w:rPr>
        <w:t xml:space="preserve"> </w:t>
      </w:r>
      <w:r w:rsidRPr="00646CC0">
        <w:rPr>
          <w:rFonts w:ascii="Times New Roman" w:hAnsi="Times New Roman" w:cs="Times New Roman"/>
          <w:sz w:val="20"/>
          <w:szCs w:val="20"/>
        </w:rPr>
        <w:t>25.1 in Part II. P</w:t>
      </w:r>
      <w:r w:rsidR="001908B3" w:rsidRPr="00646CC0">
        <w:rPr>
          <w:rFonts w:ascii="Times New Roman" w:hAnsi="Times New Roman" w:cs="Times New Roman"/>
          <w:sz w:val="20"/>
          <w:szCs w:val="20"/>
        </w:rPr>
        <w:t>ower supplies other than the back-up power supply must only be tested if they a</w:t>
      </w:r>
      <w:r w:rsidRPr="00646CC0">
        <w:rPr>
          <w:rFonts w:ascii="Times New Roman" w:hAnsi="Times New Roman" w:cs="Times New Roman"/>
          <w:sz w:val="20"/>
          <w:szCs w:val="20"/>
        </w:rPr>
        <w:t>re the only power supply</w:t>
      </w:r>
      <w:r w:rsidR="004F42BF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1908B3" w:rsidRPr="00646CC0" w:rsidRDefault="00D42EE6" w:rsidP="00D42EE6">
      <w:pPr>
        <w:autoSpaceDE w:val="0"/>
        <w:autoSpaceDN w:val="0"/>
        <w:ind w:left="1985" w:right="111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"</w:t>
      </w:r>
      <w:r w:rsidR="001908B3"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25.1 If the vehicle type submitted for approval pursuant to this Regulation meets the requirements of Paragraph 26. below, approval of that vehicle type shall be granted.</w:t>
      </w:r>
    </w:p>
    <w:p w:rsidR="001908B3" w:rsidRPr="00646CC0" w:rsidRDefault="001908B3" w:rsidP="00D42EE6">
      <w:pPr>
        <w:autoSpaceDE w:val="0"/>
        <w:autoSpaceDN w:val="0"/>
        <w:ind w:left="1985" w:right="1110"/>
        <w:jc w:val="both"/>
        <w:rPr>
          <w:rFonts w:ascii="Times New Roman" w:hAnsi="Times New Roman" w:cs="Times New Roman"/>
          <w:iCs/>
        </w:rPr>
      </w:pPr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Before granting approval for a vehicle type with regard to the installation of an AECD approved to Part </w:t>
      </w:r>
      <w:proofErr w:type="spellStart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Ib</w:t>
      </w:r>
      <w:proofErr w:type="spellEnd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this Regulation, the competent authority shall ensure that the verifications not being part of the Part </w:t>
      </w:r>
      <w:proofErr w:type="spellStart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Ib</w:t>
      </w:r>
      <w:proofErr w:type="spellEnd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approval are included in the Part II approval. </w:t>
      </w:r>
      <w:r w:rsidRPr="00646CC0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If in this case, the power supply other than back-up power supply is the only power supply</w:t>
      </w:r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and</w:t>
      </w:r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if it is not covered in Part </w:t>
      </w:r>
      <w:proofErr w:type="spellStart"/>
      <w:proofErr w:type="gramStart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Ia</w:t>
      </w:r>
      <w:proofErr w:type="spellEnd"/>
      <w:proofErr w:type="gramEnd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according to </w:t>
      </w:r>
      <w:r w:rsidR="00D42EE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aragraph 7.7. </w:t>
      </w:r>
      <w:proofErr w:type="gramStart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</w:t>
      </w:r>
      <w:proofErr w:type="gramEnd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in Part </w:t>
      </w:r>
      <w:proofErr w:type="spellStart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Ib</w:t>
      </w:r>
      <w:proofErr w:type="spellEnd"/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according to </w:t>
      </w:r>
      <w:r w:rsidR="00D42EE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646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aragraph 17.7.2., this shall be tested according to Annex 9 for this part</w:t>
      </w:r>
      <w:r w:rsidRPr="00646CC0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D42EE6">
        <w:rPr>
          <w:rFonts w:ascii="Times New Roman" w:hAnsi="Times New Roman" w:cs="Times New Roman"/>
          <w:iCs/>
          <w:color w:val="000000"/>
          <w:sz w:val="20"/>
          <w:szCs w:val="20"/>
        </w:rPr>
        <w:t>"</w:t>
      </w:r>
    </w:p>
    <w:p w:rsidR="001908B3" w:rsidRPr="001908B3" w:rsidRDefault="001908B3" w:rsidP="008A6EBB">
      <w:pPr>
        <w:tabs>
          <w:tab w:val="left" w:pos="1701"/>
        </w:tabs>
        <w:spacing w:after="120"/>
        <w:ind w:left="1134" w:right="543"/>
        <w:rPr>
          <w:rFonts w:ascii="Times New Roman" w:hAnsi="Times New Roman" w:cs="Times New Roman"/>
        </w:rPr>
      </w:pPr>
    </w:p>
    <w:p w:rsidR="00C8757B" w:rsidRDefault="00AE7E5D" w:rsidP="00AE7E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</w:p>
    <w:sectPr w:rsidR="00C8757B" w:rsidSect="00AE7E5D">
      <w:headerReference w:type="first" r:id="rId9"/>
      <w:footerReference w:type="first" r:id="rId10"/>
      <w:pgSz w:w="11906" w:h="16838"/>
      <w:pgMar w:top="13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EB" w:rsidRDefault="00D70DEB" w:rsidP="00AC0A56">
      <w:r>
        <w:separator/>
      </w:r>
    </w:p>
  </w:endnote>
  <w:endnote w:type="continuationSeparator" w:id="0">
    <w:p w:rsidR="00D70DEB" w:rsidRDefault="00D70DEB" w:rsidP="00A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5632"/>
      <w:docPartObj>
        <w:docPartGallery w:val="Page Numbers (Bottom of Page)"/>
        <w:docPartUnique/>
      </w:docPartObj>
    </w:sdtPr>
    <w:sdtEndPr/>
    <w:sdtContent>
      <w:p w:rsidR="00D70DEB" w:rsidRDefault="00D70D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F5" w:rsidRPr="006222F5">
          <w:rPr>
            <w:noProof/>
            <w:lang w:val="fr-FR"/>
          </w:rPr>
          <w:t>1</w:t>
        </w:r>
        <w:r>
          <w:fldChar w:fldCharType="end"/>
        </w:r>
      </w:p>
    </w:sdtContent>
  </w:sdt>
  <w:p w:rsidR="00D70DEB" w:rsidRDefault="00D70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EB" w:rsidRDefault="00D70DEB" w:rsidP="00AC0A56">
      <w:r>
        <w:separator/>
      </w:r>
    </w:p>
  </w:footnote>
  <w:footnote w:type="continuationSeparator" w:id="0">
    <w:p w:rsidR="00D70DEB" w:rsidRDefault="00D70DEB" w:rsidP="00A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00" w:firstRow="0" w:lastRow="0" w:firstColumn="0" w:lastColumn="0" w:noHBand="0" w:noVBand="0"/>
    </w:tblPr>
    <w:tblGrid>
      <w:gridCol w:w="5529"/>
      <w:gridCol w:w="4961"/>
    </w:tblGrid>
    <w:tr w:rsidR="00D70DEB" w:rsidRPr="00AC0A56" w:rsidTr="00AE7E5D">
      <w:tc>
        <w:tcPr>
          <w:tcW w:w="5529" w:type="dxa"/>
        </w:tcPr>
        <w:p w:rsidR="00D70DEB" w:rsidRPr="00AC0A56" w:rsidRDefault="00D70DEB" w:rsidP="00AE7E5D">
          <w:pPr>
            <w:tabs>
              <w:tab w:val="center" w:pos="4320"/>
              <w:tab w:val="right" w:pos="8640"/>
            </w:tabs>
            <w:ind w:left="88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Submitted by the expert from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OICA</w:t>
          </w:r>
        </w:p>
      </w:tc>
      <w:tc>
        <w:tcPr>
          <w:tcW w:w="4961" w:type="dxa"/>
        </w:tcPr>
        <w:p w:rsidR="00D70DEB" w:rsidRPr="00AC0A56" w:rsidRDefault="00D70DEB" w:rsidP="002F4288">
          <w:pPr>
            <w:ind w:left="742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</w:t>
          </w:r>
          <w:r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15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 w:rsidR="008A6EBB">
            <w:rPr>
              <w:rFonts w:ascii="Times New Roman" w:hAnsi="Times New Roman" w:cs="Times New Roman"/>
              <w:b/>
              <w:bCs/>
              <w:sz w:val="20"/>
              <w:szCs w:val="20"/>
            </w:rPr>
            <w:t>23</w:t>
          </w:r>
        </w:p>
        <w:p w:rsidR="00D70DEB" w:rsidRPr="00AC0A56" w:rsidRDefault="00D70DEB" w:rsidP="002F4288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</w:rPr>
            <w:t>(1</w:t>
          </w:r>
          <w:r w:rsidRPr="00AC0A56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1</w:t>
          </w:r>
          <w:r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5</w:t>
          </w:r>
          <w:r w:rsidRPr="00AC0A5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GRSG, 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  <w:lang w:eastAsia="ja-JP"/>
            </w:rPr>
            <w:t>-12 October 2018</w:t>
          </w:r>
        </w:p>
        <w:p w:rsidR="00D70DEB" w:rsidRPr="00AC0A56" w:rsidRDefault="00D70DEB" w:rsidP="008A6EBB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C0A56">
            <w:rPr>
              <w:rFonts w:ascii="Times New Roman" w:hAnsi="Times New Roman" w:cs="Times New Roman"/>
              <w:sz w:val="20"/>
              <w:szCs w:val="20"/>
            </w:rPr>
            <w:t>agenda</w:t>
          </w:r>
          <w:proofErr w:type="gramEnd"/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item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8A6EBB">
            <w:rPr>
              <w:rFonts w:ascii="Times New Roman" w:hAnsi="Times New Roman" w:cs="Times New Roman"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D70DEB" w:rsidRDefault="00D70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755"/>
    <w:multiLevelType w:val="multilevel"/>
    <w:tmpl w:val="D23260C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D528D0"/>
    <w:multiLevelType w:val="hybridMultilevel"/>
    <w:tmpl w:val="990A8A78"/>
    <w:lvl w:ilvl="0" w:tplc="C6C281BA">
      <w:start w:val="1"/>
      <w:numFmt w:val="decimal"/>
      <w:lvlText w:val="%1."/>
      <w:lvlJc w:val="left"/>
      <w:pPr>
        <w:ind w:left="1494" w:hanging="360"/>
      </w:pPr>
      <w:rPr>
        <w:rFonts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DDD60B8"/>
    <w:multiLevelType w:val="hybridMultilevel"/>
    <w:tmpl w:val="8C2C1EF8"/>
    <w:lvl w:ilvl="0" w:tplc="D8421D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15F9C"/>
    <w:rsid w:val="00051F9C"/>
    <w:rsid w:val="000937E9"/>
    <w:rsid w:val="00132AD6"/>
    <w:rsid w:val="001505C4"/>
    <w:rsid w:val="00163ED3"/>
    <w:rsid w:val="001908B3"/>
    <w:rsid w:val="00192004"/>
    <w:rsid w:val="001B41A5"/>
    <w:rsid w:val="001D29D6"/>
    <w:rsid w:val="0021240B"/>
    <w:rsid w:val="00223FAF"/>
    <w:rsid w:val="002555AE"/>
    <w:rsid w:val="00291868"/>
    <w:rsid w:val="00296D0F"/>
    <w:rsid w:val="002F4288"/>
    <w:rsid w:val="003865F5"/>
    <w:rsid w:val="003866E1"/>
    <w:rsid w:val="00445DA3"/>
    <w:rsid w:val="00461882"/>
    <w:rsid w:val="00466110"/>
    <w:rsid w:val="0047771F"/>
    <w:rsid w:val="0049514E"/>
    <w:rsid w:val="004F42BF"/>
    <w:rsid w:val="00531E2C"/>
    <w:rsid w:val="00577668"/>
    <w:rsid w:val="005A5502"/>
    <w:rsid w:val="006222F5"/>
    <w:rsid w:val="00646CC0"/>
    <w:rsid w:val="006D3A63"/>
    <w:rsid w:val="00720E94"/>
    <w:rsid w:val="007259B4"/>
    <w:rsid w:val="00753E0E"/>
    <w:rsid w:val="007C5934"/>
    <w:rsid w:val="00812E22"/>
    <w:rsid w:val="008A6EBB"/>
    <w:rsid w:val="0092204D"/>
    <w:rsid w:val="00963645"/>
    <w:rsid w:val="00972B23"/>
    <w:rsid w:val="009C1D39"/>
    <w:rsid w:val="009D085B"/>
    <w:rsid w:val="009D7758"/>
    <w:rsid w:val="009E12CD"/>
    <w:rsid w:val="00A35CF0"/>
    <w:rsid w:val="00A418AD"/>
    <w:rsid w:val="00A80A59"/>
    <w:rsid w:val="00AB2A3B"/>
    <w:rsid w:val="00AC0A56"/>
    <w:rsid w:val="00AD74BE"/>
    <w:rsid w:val="00AE7E5D"/>
    <w:rsid w:val="00AF2AB7"/>
    <w:rsid w:val="00B27548"/>
    <w:rsid w:val="00BC4FB4"/>
    <w:rsid w:val="00BD2223"/>
    <w:rsid w:val="00BD6C94"/>
    <w:rsid w:val="00C11267"/>
    <w:rsid w:val="00C657C7"/>
    <w:rsid w:val="00C8757B"/>
    <w:rsid w:val="00CD5C85"/>
    <w:rsid w:val="00D42EE6"/>
    <w:rsid w:val="00D70DEB"/>
    <w:rsid w:val="00D85CF7"/>
    <w:rsid w:val="00D93CF5"/>
    <w:rsid w:val="00DF2D07"/>
    <w:rsid w:val="00E16663"/>
    <w:rsid w:val="00E810E4"/>
    <w:rsid w:val="00E87729"/>
    <w:rsid w:val="00ED1B49"/>
    <w:rsid w:val="00EE3759"/>
    <w:rsid w:val="00EE3EC6"/>
    <w:rsid w:val="00EE7928"/>
    <w:rsid w:val="00F03572"/>
    <w:rsid w:val="00F12E2F"/>
    <w:rsid w:val="00F72B85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character" w:styleId="CommentReference">
    <w:name w:val="annotation reference"/>
    <w:rsid w:val="00E87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729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87729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B85"/>
    <w:rPr>
      <w:sz w:val="20"/>
      <w:szCs w:val="20"/>
    </w:rPr>
  </w:style>
  <w:style w:type="character" w:styleId="FootnoteReference">
    <w:name w:val="footnote reference"/>
    <w:semiHidden/>
    <w:rsid w:val="00F72B85"/>
    <w:rPr>
      <w:vertAlign w:val="superscript"/>
    </w:rPr>
  </w:style>
  <w:style w:type="character" w:styleId="CommentReference">
    <w:name w:val="annotation reference"/>
    <w:rsid w:val="00E87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729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87729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6E1A-329F-4124-9471-F495683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Honda Motor Group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Ballaux</dc:creator>
  <cp:lastModifiedBy>Hubert Romain</cp:lastModifiedBy>
  <cp:revision>3</cp:revision>
  <cp:lastPrinted>2018-10-04T15:26:00Z</cp:lastPrinted>
  <dcterms:created xsi:type="dcterms:W3CDTF">2018-10-04T15:26:00Z</dcterms:created>
  <dcterms:modified xsi:type="dcterms:W3CDTF">2018-10-04T15:27:00Z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