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E04C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E04CE" w:rsidP="00DE04CE">
            <w:pPr>
              <w:jc w:val="right"/>
            </w:pPr>
            <w:r w:rsidRPr="00DE04CE">
              <w:rPr>
                <w:sz w:val="40"/>
              </w:rPr>
              <w:t>ECE</w:t>
            </w:r>
            <w:r>
              <w:t>/TRANS/WP.29/GRSP/2018/24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E04CE" w:rsidP="00C97039">
            <w:pPr>
              <w:spacing w:before="240"/>
            </w:pPr>
            <w:r>
              <w:t>Distr. générale</w:t>
            </w:r>
          </w:p>
          <w:p w:rsidR="007A1612" w:rsidRDefault="007A1612" w:rsidP="00DE04CE">
            <w:pPr>
              <w:spacing w:line="240" w:lineRule="exact"/>
            </w:pPr>
            <w:r>
              <w:t>25 septembre 2018</w:t>
            </w:r>
          </w:p>
          <w:p w:rsidR="00DE04CE" w:rsidRDefault="00DE04CE" w:rsidP="00DE04CE">
            <w:pPr>
              <w:spacing w:line="240" w:lineRule="exact"/>
            </w:pPr>
            <w:r>
              <w:t>Français</w:t>
            </w:r>
          </w:p>
          <w:p w:rsidR="00DE04CE" w:rsidRPr="00DB58B5" w:rsidRDefault="00DE04CE" w:rsidP="00DE04CE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E266E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DE04CE" w:rsidRDefault="00DE04CE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5E266E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DE04CE" w:rsidRDefault="00DE04CE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:rsidR="00DE04CE" w:rsidRDefault="005E266E" w:rsidP="00257168">
      <w:pPr>
        <w:spacing w:before="120" w:line="240" w:lineRule="exact"/>
        <w:rPr>
          <w:b/>
        </w:rPr>
      </w:pPr>
      <w:r>
        <w:rPr>
          <w:b/>
        </w:rPr>
        <w:t>Soixante-quatrième</w:t>
      </w:r>
      <w:r w:rsidR="00DE04CE">
        <w:rPr>
          <w:b/>
        </w:rPr>
        <w:t xml:space="preserve"> session</w:t>
      </w:r>
    </w:p>
    <w:p w:rsidR="00DE04CE" w:rsidRDefault="005E266E" w:rsidP="00257168">
      <w:pPr>
        <w:spacing w:line="240" w:lineRule="exact"/>
      </w:pPr>
      <w:r>
        <w:t>Genève, 11-14 décembre 2018</w:t>
      </w:r>
    </w:p>
    <w:p w:rsidR="00DE04CE" w:rsidRDefault="00DE04CE" w:rsidP="00257168">
      <w:pPr>
        <w:spacing w:line="240" w:lineRule="exact"/>
      </w:pPr>
      <w:r>
        <w:t xml:space="preserve">Point </w:t>
      </w:r>
      <w:r w:rsidR="005E266E">
        <w:t>19</w:t>
      </w:r>
      <w:r>
        <w:t xml:space="preserve"> de l</w:t>
      </w:r>
      <w:r w:rsidR="005E266E">
        <w:t>’</w:t>
      </w:r>
      <w:r>
        <w:t>ordre du jour provisoire</w:t>
      </w:r>
    </w:p>
    <w:p w:rsidR="00DE04CE" w:rsidRPr="005E266E" w:rsidRDefault="00DE04CE" w:rsidP="005E266E">
      <w:pPr>
        <w:rPr>
          <w:b/>
          <w:bCs/>
          <w:lang w:val="fr-FR"/>
        </w:rPr>
      </w:pPr>
      <w:r w:rsidRPr="005E266E">
        <w:rPr>
          <w:b/>
          <w:lang w:val="fr-FR"/>
        </w:rPr>
        <w:t>Règlement ONU n</w:t>
      </w:r>
      <w:r w:rsidRPr="005E266E">
        <w:rPr>
          <w:b/>
          <w:vertAlign w:val="superscript"/>
          <w:lang w:val="fr-FR"/>
        </w:rPr>
        <w:t>o</w:t>
      </w:r>
      <w:r w:rsidRPr="005E266E">
        <w:rPr>
          <w:b/>
          <w:lang w:val="fr-FR"/>
        </w:rPr>
        <w:t xml:space="preserve"> 129 (Dispositifs améliorés </w:t>
      </w:r>
      <w:r w:rsidR="005E266E">
        <w:rPr>
          <w:b/>
          <w:lang w:val="fr-FR"/>
        </w:rPr>
        <w:br/>
      </w:r>
      <w:r w:rsidRPr="005E266E">
        <w:rPr>
          <w:b/>
          <w:lang w:val="fr-FR"/>
        </w:rPr>
        <w:t>de retenue pour enfants)</w:t>
      </w:r>
    </w:p>
    <w:p w:rsidR="00DE04CE" w:rsidRPr="003329BA" w:rsidRDefault="00DE04CE" w:rsidP="005E266E">
      <w:pPr>
        <w:pStyle w:val="HChG"/>
        <w:rPr>
          <w:bCs/>
          <w:lang w:val="fr-FR"/>
        </w:rPr>
      </w:pPr>
      <w:r w:rsidRPr="003329BA">
        <w:rPr>
          <w:lang w:val="fr-FR"/>
        </w:rPr>
        <w:tab/>
      </w:r>
      <w:r w:rsidRPr="003329BA">
        <w:rPr>
          <w:lang w:val="fr-FR"/>
        </w:rPr>
        <w:tab/>
        <w:t xml:space="preserve">Proposition </w:t>
      </w:r>
      <w:r w:rsidRPr="005E266E">
        <w:t>de</w:t>
      </w:r>
      <w:r w:rsidRPr="003329BA">
        <w:rPr>
          <w:lang w:val="fr-FR"/>
        </w:rPr>
        <w:t xml:space="preserve"> complément 2 à la série 03 d</w:t>
      </w:r>
      <w:r w:rsidR="005E266E">
        <w:rPr>
          <w:lang w:val="fr-FR"/>
        </w:rPr>
        <w:t>’</w:t>
      </w:r>
      <w:r w:rsidRPr="003329BA">
        <w:rPr>
          <w:lang w:val="fr-FR"/>
        </w:rPr>
        <w:t xml:space="preserve">amendements </w:t>
      </w:r>
      <w:r w:rsidR="005E266E">
        <w:rPr>
          <w:lang w:val="fr-FR"/>
        </w:rPr>
        <w:br/>
      </w:r>
      <w:r w:rsidRPr="003329BA">
        <w:rPr>
          <w:lang w:val="fr-FR"/>
        </w:rPr>
        <w:t>au Règlement ONU n</w:t>
      </w:r>
      <w:r w:rsidRPr="003329BA">
        <w:rPr>
          <w:vertAlign w:val="superscript"/>
          <w:lang w:val="fr-FR"/>
        </w:rPr>
        <w:t>o</w:t>
      </w:r>
      <w:r w:rsidRPr="003329BA">
        <w:rPr>
          <w:lang w:val="fr-FR"/>
        </w:rPr>
        <w:t xml:space="preserve"> 129</w:t>
      </w:r>
    </w:p>
    <w:p w:rsidR="00DE04CE" w:rsidRPr="003329BA" w:rsidRDefault="00DE04CE" w:rsidP="005E266E">
      <w:pPr>
        <w:pStyle w:val="H1G"/>
        <w:rPr>
          <w:lang w:val="fr-FR"/>
        </w:rPr>
      </w:pPr>
      <w:r w:rsidRPr="003329BA">
        <w:rPr>
          <w:lang w:val="fr-FR"/>
        </w:rPr>
        <w:tab/>
      </w:r>
      <w:r w:rsidRPr="003329BA">
        <w:rPr>
          <w:lang w:val="fr-FR"/>
        </w:rPr>
        <w:tab/>
      </w:r>
      <w:r w:rsidRPr="005E266E">
        <w:t>Communication</w:t>
      </w:r>
      <w:r w:rsidRPr="003329BA">
        <w:rPr>
          <w:lang w:val="fr-FR"/>
        </w:rPr>
        <w:t xml:space="preserve"> de l</w:t>
      </w:r>
      <w:r w:rsidR="005E266E">
        <w:rPr>
          <w:lang w:val="fr-FR"/>
        </w:rPr>
        <w:t>’</w:t>
      </w:r>
      <w:r w:rsidRPr="003329BA">
        <w:rPr>
          <w:lang w:val="fr-FR"/>
        </w:rPr>
        <w:t>expert de l</w:t>
      </w:r>
      <w:r w:rsidR="005E266E">
        <w:rPr>
          <w:lang w:val="fr-FR"/>
        </w:rPr>
        <w:t>’</w:t>
      </w:r>
      <w:r w:rsidRPr="003329BA">
        <w:rPr>
          <w:lang w:val="fr-FR"/>
        </w:rPr>
        <w:t xml:space="preserve">Association européenne </w:t>
      </w:r>
      <w:r w:rsidR="005E266E">
        <w:rPr>
          <w:lang w:val="fr-FR"/>
        </w:rPr>
        <w:br/>
      </w:r>
      <w:r w:rsidRPr="003329BA">
        <w:rPr>
          <w:lang w:val="fr-FR"/>
        </w:rPr>
        <w:t>des fournisseurs de l</w:t>
      </w:r>
      <w:r w:rsidR="005E266E">
        <w:rPr>
          <w:lang w:val="fr-FR"/>
        </w:rPr>
        <w:t>’</w:t>
      </w:r>
      <w:r w:rsidRPr="003329BA">
        <w:rPr>
          <w:lang w:val="fr-FR"/>
        </w:rPr>
        <w:t>automobile (CLEPA)</w:t>
      </w:r>
      <w:r w:rsidR="005E266E" w:rsidRPr="005E266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5E266E" w:rsidRDefault="00DE04CE" w:rsidP="005E266E">
      <w:pPr>
        <w:pStyle w:val="SingleTxtG"/>
        <w:rPr>
          <w:lang w:val="fr-FR"/>
        </w:rPr>
      </w:pPr>
      <w:r w:rsidRPr="003329BA">
        <w:rPr>
          <w:snapToGrid w:val="0"/>
          <w:lang w:val="fr-FR"/>
        </w:rPr>
        <w:tab/>
        <w:t xml:space="preserve">Le texte </w:t>
      </w:r>
      <w:r w:rsidRPr="005E266E">
        <w:t>reproduit</w:t>
      </w:r>
      <w:r w:rsidRPr="003329BA">
        <w:rPr>
          <w:snapToGrid w:val="0"/>
          <w:lang w:val="fr-FR"/>
        </w:rPr>
        <w:t xml:space="preserve"> ci-après a été établi par l</w:t>
      </w:r>
      <w:r w:rsidR="005E266E">
        <w:rPr>
          <w:snapToGrid w:val="0"/>
          <w:lang w:val="fr-FR"/>
        </w:rPr>
        <w:t>’</w:t>
      </w:r>
      <w:r w:rsidRPr="003329BA">
        <w:rPr>
          <w:snapToGrid w:val="0"/>
          <w:lang w:val="fr-FR"/>
        </w:rPr>
        <w:t>expert de l</w:t>
      </w:r>
      <w:r w:rsidR="005E266E">
        <w:rPr>
          <w:snapToGrid w:val="0"/>
          <w:lang w:val="fr-FR"/>
        </w:rPr>
        <w:t>’</w:t>
      </w:r>
      <w:r w:rsidR="00062898">
        <w:rPr>
          <w:snapToGrid w:val="0"/>
          <w:lang w:val="fr-FR"/>
        </w:rPr>
        <w:t xml:space="preserve">Association européenne </w:t>
      </w:r>
      <w:r w:rsidRPr="003329BA">
        <w:rPr>
          <w:snapToGrid w:val="0"/>
          <w:lang w:val="fr-FR"/>
        </w:rPr>
        <w:t>des fournisseurs de l</w:t>
      </w:r>
      <w:r w:rsidR="005E266E">
        <w:rPr>
          <w:snapToGrid w:val="0"/>
          <w:lang w:val="fr-FR"/>
        </w:rPr>
        <w:t>’</w:t>
      </w:r>
      <w:r w:rsidRPr="003329BA">
        <w:rPr>
          <w:snapToGrid w:val="0"/>
          <w:lang w:val="fr-FR"/>
        </w:rPr>
        <w:t xml:space="preserve">automobile (CLEPA) en vue de clarifier la définition du terme </w:t>
      </w:r>
      <w:r>
        <w:rPr>
          <w:snapToGrid w:val="0"/>
          <w:lang w:val="fr-FR"/>
        </w:rPr>
        <w:t>«</w:t>
      </w:r>
      <w:r w:rsidR="00062898">
        <w:rPr>
          <w:snapToGrid w:val="0"/>
          <w:lang w:val="fr-FR"/>
        </w:rPr>
        <w:t> porte</w:t>
      </w:r>
      <w:r w:rsidR="00062898">
        <w:rPr>
          <w:snapToGrid w:val="0"/>
          <w:lang w:val="fr-FR"/>
        </w:rPr>
        <w:noBreakHyphen/>
      </w:r>
      <w:r w:rsidRPr="003329BA">
        <w:rPr>
          <w:snapToGrid w:val="0"/>
          <w:lang w:val="fr-FR"/>
        </w:rPr>
        <w:t>bébé</w:t>
      </w:r>
      <w:r w:rsidR="00062898">
        <w:rPr>
          <w:snapToGrid w:val="0"/>
          <w:lang w:val="fr-FR"/>
        </w:rPr>
        <w:t> </w:t>
      </w:r>
      <w:r>
        <w:rPr>
          <w:snapToGrid w:val="0"/>
          <w:lang w:val="fr-FR"/>
        </w:rPr>
        <w:t>»</w:t>
      </w:r>
      <w:r w:rsidRPr="003329BA">
        <w:rPr>
          <w:snapToGrid w:val="0"/>
          <w:lang w:val="fr-FR"/>
        </w:rPr>
        <w:t xml:space="preserve"> et de modifier les dispositions transitoires à la suite de l</w:t>
      </w:r>
      <w:r w:rsidR="005E266E">
        <w:rPr>
          <w:snapToGrid w:val="0"/>
          <w:lang w:val="fr-FR"/>
        </w:rPr>
        <w:t>’</w:t>
      </w:r>
      <w:r w:rsidRPr="003329BA">
        <w:rPr>
          <w:snapToGrid w:val="0"/>
          <w:lang w:val="fr-FR"/>
        </w:rPr>
        <w:t>adoption des nouvelles Directives générales concernant l</w:t>
      </w:r>
      <w:r w:rsidR="005E266E">
        <w:rPr>
          <w:snapToGrid w:val="0"/>
          <w:lang w:val="fr-FR"/>
        </w:rPr>
        <w:t>’</w:t>
      </w:r>
      <w:r w:rsidRPr="003329BA">
        <w:rPr>
          <w:snapToGrid w:val="0"/>
          <w:lang w:val="fr-FR"/>
        </w:rPr>
        <w:t>élaboration des Règlements de l</w:t>
      </w:r>
      <w:r w:rsidR="005E266E">
        <w:rPr>
          <w:snapToGrid w:val="0"/>
          <w:lang w:val="fr-FR"/>
        </w:rPr>
        <w:t>’</w:t>
      </w:r>
      <w:r w:rsidRPr="003329BA">
        <w:rPr>
          <w:snapToGrid w:val="0"/>
          <w:lang w:val="fr-FR"/>
        </w:rPr>
        <w:t>ONU et les dispositions transitoires qu</w:t>
      </w:r>
      <w:r w:rsidR="005E266E">
        <w:rPr>
          <w:snapToGrid w:val="0"/>
          <w:lang w:val="fr-FR"/>
        </w:rPr>
        <w:t>’</w:t>
      </w:r>
      <w:r w:rsidRPr="003329BA">
        <w:rPr>
          <w:snapToGrid w:val="0"/>
          <w:lang w:val="fr-FR"/>
        </w:rPr>
        <w:t xml:space="preserve">ils contiennent (voir le document </w:t>
      </w:r>
      <w:r w:rsidRPr="003329BA">
        <w:rPr>
          <w:lang w:val="fr-FR"/>
        </w:rPr>
        <w:t>ECE/TRANS/WP.29/</w:t>
      </w:r>
      <w:r w:rsidR="00661BBD">
        <w:rPr>
          <w:lang w:val="fr-FR"/>
        </w:rPr>
        <w:t xml:space="preserve"> </w:t>
      </w:r>
      <w:r w:rsidRPr="003329BA">
        <w:rPr>
          <w:lang w:val="fr-FR"/>
        </w:rPr>
        <w:t>1044/Rev.2). Il est fondé sur les documents informels GRSP-63-27 et GRSP-63-30, examinés à la soixante-troisième session du Groupe de travail de la sécurité passive, et comporte une correction au paragraphe 16.11. Les modifications qu</w:t>
      </w:r>
      <w:r w:rsidR="005E266E">
        <w:rPr>
          <w:lang w:val="fr-FR"/>
        </w:rPr>
        <w:t>’</w:t>
      </w:r>
      <w:r w:rsidRPr="003329BA">
        <w:rPr>
          <w:lang w:val="fr-FR"/>
        </w:rPr>
        <w:t>il est proposé d</w:t>
      </w:r>
      <w:r w:rsidR="005E266E">
        <w:rPr>
          <w:lang w:val="fr-FR"/>
        </w:rPr>
        <w:t>’</w:t>
      </w:r>
      <w:r w:rsidRPr="003329BA">
        <w:rPr>
          <w:lang w:val="fr-FR"/>
        </w:rPr>
        <w:t>apporter au texte actuel du Règlement ONU n</w:t>
      </w:r>
      <w:r w:rsidRPr="003329BA">
        <w:rPr>
          <w:vertAlign w:val="superscript"/>
          <w:lang w:val="fr-FR"/>
        </w:rPr>
        <w:t>o</w:t>
      </w:r>
      <w:r w:rsidRPr="003329BA">
        <w:rPr>
          <w:lang w:val="fr-FR"/>
        </w:rPr>
        <w:t xml:space="preserve"> 129 sont indiquées en caractères gras pour les ajouts ou biffés pour les suppressions.</w:t>
      </w:r>
    </w:p>
    <w:p w:rsidR="00DE04CE" w:rsidRPr="003329BA" w:rsidRDefault="00DE04CE" w:rsidP="00945EE2">
      <w:pPr>
        <w:pStyle w:val="HChG"/>
        <w:rPr>
          <w:lang w:val="fr-FR"/>
        </w:rPr>
      </w:pPr>
      <w:r w:rsidRPr="003329BA">
        <w:rPr>
          <w:lang w:val="fr-FR"/>
        </w:rPr>
        <w:br w:type="page"/>
      </w:r>
      <w:r w:rsidRPr="003329BA">
        <w:rPr>
          <w:lang w:val="fr-FR"/>
        </w:rPr>
        <w:lastRenderedPageBreak/>
        <w:tab/>
        <w:t>I.</w:t>
      </w:r>
      <w:r w:rsidRPr="003329BA">
        <w:rPr>
          <w:lang w:val="fr-FR"/>
        </w:rPr>
        <w:tab/>
        <w:t>Proposition</w:t>
      </w:r>
    </w:p>
    <w:p w:rsidR="00DE04CE" w:rsidRPr="003329BA" w:rsidRDefault="00DE04CE" w:rsidP="005E266E">
      <w:pPr>
        <w:pStyle w:val="SingleTxtG"/>
        <w:rPr>
          <w:lang w:val="fr-FR"/>
        </w:rPr>
      </w:pPr>
      <w:r w:rsidRPr="003329BA">
        <w:rPr>
          <w:i/>
          <w:lang w:val="fr-FR"/>
        </w:rPr>
        <w:t>Paragraphe 2.26</w:t>
      </w:r>
      <w:r w:rsidRPr="003329BA">
        <w:rPr>
          <w:lang w:val="fr-FR"/>
        </w:rPr>
        <w:t>, lire</w:t>
      </w:r>
      <w:r w:rsidR="00945EE2">
        <w:rPr>
          <w:lang w:val="fr-FR"/>
        </w:rPr>
        <w:t> </w:t>
      </w:r>
      <w:r w:rsidRPr="003329BA">
        <w:rPr>
          <w:lang w:val="fr-FR"/>
        </w:rPr>
        <w:t>:</w:t>
      </w:r>
    </w:p>
    <w:p w:rsidR="00DE04CE" w:rsidRPr="003329BA" w:rsidRDefault="00DE04CE" w:rsidP="00945EE2">
      <w:pPr>
        <w:pStyle w:val="SingleTxtG"/>
        <w:ind w:left="1985" w:hanging="851"/>
        <w:rPr>
          <w:color w:val="000000"/>
          <w:lang w:val="fr-FR"/>
        </w:rPr>
      </w:pPr>
      <w:r>
        <w:rPr>
          <w:lang w:val="fr-FR"/>
        </w:rPr>
        <w:t>«</w:t>
      </w:r>
      <w:r w:rsidR="00945EE2">
        <w:rPr>
          <w:lang w:val="fr-FR"/>
        </w:rPr>
        <w:t> 2.26</w:t>
      </w:r>
      <w:r w:rsidRPr="003329BA">
        <w:rPr>
          <w:lang w:val="fr-FR"/>
        </w:rPr>
        <w:tab/>
      </w:r>
      <w:r w:rsidR="00945EE2">
        <w:rPr>
          <w:lang w:val="fr-FR"/>
        </w:rPr>
        <w:t>“</w:t>
      </w:r>
      <w:r w:rsidRPr="003329BA">
        <w:rPr>
          <w:i/>
          <w:lang w:val="fr-FR"/>
        </w:rPr>
        <w:t>Porte-bébé</w:t>
      </w:r>
      <w:r w:rsidR="00945EE2">
        <w:rPr>
          <w:lang w:val="fr-FR"/>
        </w:rPr>
        <w:t>”</w:t>
      </w:r>
      <w:r w:rsidRPr="003329BA">
        <w:rPr>
          <w:lang w:val="fr-FR"/>
        </w:rPr>
        <w:t xml:space="preserve">, un dispositif amélioré de retenue pour enfants intégral </w:t>
      </w:r>
      <w:r w:rsidRPr="003329BA">
        <w:rPr>
          <w:strike/>
          <w:lang w:val="fr-FR"/>
        </w:rPr>
        <w:t>destiné à recevoir un enfant d</w:t>
      </w:r>
      <w:r w:rsidR="005E266E">
        <w:rPr>
          <w:strike/>
          <w:lang w:val="fr-FR"/>
        </w:rPr>
        <w:t>’</w:t>
      </w:r>
      <w:r w:rsidRPr="003329BA">
        <w:rPr>
          <w:strike/>
          <w:lang w:val="fr-FR"/>
        </w:rPr>
        <w:t>un âge inférieur ou égal à 15 mois et d</w:t>
      </w:r>
      <w:r w:rsidR="005E266E">
        <w:rPr>
          <w:strike/>
          <w:lang w:val="fr-FR"/>
        </w:rPr>
        <w:t>’</w:t>
      </w:r>
      <w:r w:rsidRPr="003329BA">
        <w:rPr>
          <w:strike/>
          <w:lang w:val="fr-FR"/>
        </w:rPr>
        <w:t>une taille inférieure ou égale à 83 cm,</w:t>
      </w:r>
      <w:r w:rsidRPr="003329BA">
        <w:rPr>
          <w:lang w:val="fr-FR"/>
        </w:rPr>
        <w:t xml:space="preserve"> qui sert à accueillir un enfant en position semi-allongée face à l</w:t>
      </w:r>
      <w:r w:rsidR="005E266E">
        <w:rPr>
          <w:lang w:val="fr-FR"/>
        </w:rPr>
        <w:t>’</w:t>
      </w:r>
      <w:r w:rsidRPr="003329BA">
        <w:rPr>
          <w:lang w:val="fr-FR"/>
        </w:rPr>
        <w:t>arrière. Il est conçu de façon à répartir les forces de retenue sur la tête et le corps de l</w:t>
      </w:r>
      <w:r w:rsidR="005E266E">
        <w:rPr>
          <w:lang w:val="fr-FR"/>
        </w:rPr>
        <w:t>’</w:t>
      </w:r>
      <w:r w:rsidRPr="003329BA">
        <w:rPr>
          <w:lang w:val="fr-FR"/>
        </w:rPr>
        <w:t>enfant, à l</w:t>
      </w:r>
      <w:r w:rsidR="005E266E">
        <w:rPr>
          <w:lang w:val="fr-FR"/>
        </w:rPr>
        <w:t>’</w:t>
      </w:r>
      <w:r w:rsidRPr="003329BA">
        <w:rPr>
          <w:lang w:val="fr-FR"/>
        </w:rPr>
        <w:t>exclusion de ses membres, en cas de choc avant. Il est prévu pour que l</w:t>
      </w:r>
      <w:r w:rsidR="005E266E">
        <w:rPr>
          <w:lang w:val="fr-FR"/>
        </w:rPr>
        <w:t>’</w:t>
      </w:r>
      <w:r w:rsidRPr="003329BA">
        <w:rPr>
          <w:lang w:val="fr-FR"/>
        </w:rPr>
        <w:t>on puisse l</w:t>
      </w:r>
      <w:r w:rsidR="005E266E">
        <w:rPr>
          <w:lang w:val="fr-FR"/>
        </w:rPr>
        <w:t>’</w:t>
      </w:r>
      <w:r w:rsidRPr="003329BA">
        <w:rPr>
          <w:lang w:val="fr-FR"/>
        </w:rPr>
        <w:t>extraire du véhicule avec l</w:t>
      </w:r>
      <w:r w:rsidR="005E266E">
        <w:rPr>
          <w:lang w:val="fr-FR"/>
        </w:rPr>
        <w:t>’</w:t>
      </w:r>
      <w:r w:rsidRPr="003329BA">
        <w:rPr>
          <w:lang w:val="fr-FR"/>
        </w:rPr>
        <w:t>enfant dedans sans avoir à ouvrir un harnais et le porter une fois hors du véhicule.</w:t>
      </w:r>
      <w:r w:rsidR="00945EE2">
        <w:rPr>
          <w:lang w:val="fr-FR"/>
        </w:rPr>
        <w:t> </w:t>
      </w:r>
      <w:r>
        <w:rPr>
          <w:lang w:val="fr-FR"/>
        </w:rPr>
        <w:t>»</w:t>
      </w:r>
      <w:r w:rsidRPr="003329BA">
        <w:rPr>
          <w:lang w:val="fr-FR"/>
        </w:rPr>
        <w:t>.</w:t>
      </w:r>
    </w:p>
    <w:p w:rsidR="00DE04CE" w:rsidRPr="003329BA" w:rsidRDefault="00DE04CE" w:rsidP="00945EE2">
      <w:pPr>
        <w:pStyle w:val="SingleTxtG"/>
        <w:ind w:left="1985" w:hanging="851"/>
        <w:rPr>
          <w:lang w:val="fr-FR"/>
        </w:rPr>
      </w:pPr>
      <w:r w:rsidRPr="003329BA">
        <w:rPr>
          <w:i/>
          <w:lang w:val="fr-FR"/>
        </w:rPr>
        <w:t>Paragraphe 16.11</w:t>
      </w:r>
      <w:r w:rsidRPr="003329BA">
        <w:rPr>
          <w:lang w:val="fr-FR"/>
        </w:rPr>
        <w:t>, lire</w:t>
      </w:r>
      <w:r w:rsidR="00945EE2">
        <w:rPr>
          <w:lang w:val="fr-FR"/>
        </w:rPr>
        <w:t> </w:t>
      </w:r>
      <w:r w:rsidRPr="003329BA">
        <w:rPr>
          <w:lang w:val="fr-FR"/>
        </w:rPr>
        <w:t>:</w:t>
      </w:r>
    </w:p>
    <w:p w:rsidR="00DE04CE" w:rsidRPr="003329BA" w:rsidRDefault="00DE04CE" w:rsidP="00945EE2">
      <w:pPr>
        <w:pStyle w:val="SingleTxtG"/>
        <w:ind w:left="1985" w:hanging="851"/>
        <w:rPr>
          <w:lang w:val="fr-FR"/>
        </w:rPr>
      </w:pPr>
      <w:r>
        <w:rPr>
          <w:lang w:val="fr-FR"/>
        </w:rPr>
        <w:t>«</w:t>
      </w:r>
      <w:r w:rsidR="00945EE2">
        <w:rPr>
          <w:lang w:val="fr-FR"/>
        </w:rPr>
        <w:t> </w:t>
      </w:r>
      <w:r w:rsidRPr="003329BA">
        <w:rPr>
          <w:lang w:val="fr-FR"/>
        </w:rPr>
        <w:t>16.11</w:t>
      </w:r>
      <w:r w:rsidRPr="003329BA">
        <w:rPr>
          <w:lang w:val="fr-FR"/>
        </w:rPr>
        <w:tab/>
        <w:t>Nonobstant les dispositions des paragraphes 16.9 et 16.10, les Parties contractantes appliquant le présent Règlement ONU doivent continuer d</w:t>
      </w:r>
      <w:r w:rsidR="005E266E">
        <w:rPr>
          <w:lang w:val="fr-FR"/>
        </w:rPr>
        <w:t>’</w:t>
      </w:r>
      <w:r w:rsidRPr="003329BA">
        <w:rPr>
          <w:lang w:val="fr-FR"/>
        </w:rPr>
        <w:t>accepter les homologations de type ONU délivrées en vertu de la précédente série d</w:t>
      </w:r>
      <w:r w:rsidR="005E266E">
        <w:rPr>
          <w:lang w:val="fr-FR"/>
        </w:rPr>
        <w:t>’</w:t>
      </w:r>
      <w:r w:rsidRPr="003329BA">
        <w:rPr>
          <w:lang w:val="fr-FR"/>
        </w:rPr>
        <w:t>amendements audit Règlement</w:t>
      </w:r>
      <w:r w:rsidR="005C04D1">
        <w:rPr>
          <w:lang w:val="fr-FR"/>
        </w:rPr>
        <w:t xml:space="preserve"> ONU</w:t>
      </w:r>
      <w:r w:rsidRPr="003329BA">
        <w:rPr>
          <w:b/>
          <w:lang w:val="fr-FR"/>
        </w:rPr>
        <w:t>, et d</w:t>
      </w:r>
      <w:r w:rsidR="005E266E">
        <w:rPr>
          <w:b/>
          <w:lang w:val="fr-FR"/>
        </w:rPr>
        <w:t>’</w:t>
      </w:r>
      <w:r w:rsidRPr="003329BA">
        <w:rPr>
          <w:b/>
          <w:lang w:val="fr-FR"/>
        </w:rPr>
        <w:t>accorder des extensions pour celles-ci,</w:t>
      </w:r>
      <w:r w:rsidRPr="003329BA">
        <w:rPr>
          <w:lang w:val="fr-FR"/>
        </w:rPr>
        <w:t xml:space="preserve"> pour les </w:t>
      </w:r>
      <w:r w:rsidRPr="003329BA">
        <w:rPr>
          <w:strike/>
          <w:lang w:val="fr-FR"/>
        </w:rPr>
        <w:t>véhicules ou les systèmes de véhicules</w:t>
      </w:r>
      <w:r w:rsidRPr="003329BA">
        <w:rPr>
          <w:lang w:val="fr-FR"/>
        </w:rPr>
        <w:t xml:space="preserve"> </w:t>
      </w:r>
      <w:r w:rsidRPr="003329BA">
        <w:rPr>
          <w:b/>
          <w:lang w:val="fr-FR"/>
        </w:rPr>
        <w:t>dispositifs améliorés de retenue pour enfants</w:t>
      </w:r>
      <w:r w:rsidRPr="003329BA">
        <w:rPr>
          <w:lang w:val="fr-FR"/>
        </w:rPr>
        <w:t xml:space="preserve"> non concernés par les modifications apportées par la série 03 d</w:t>
      </w:r>
      <w:r w:rsidR="005E266E">
        <w:rPr>
          <w:lang w:val="fr-FR"/>
        </w:rPr>
        <w:t>’</w:t>
      </w:r>
      <w:r w:rsidRPr="003329BA">
        <w:rPr>
          <w:lang w:val="fr-FR"/>
        </w:rPr>
        <w:t>amendements.</w:t>
      </w:r>
      <w:r w:rsidR="00945EE2">
        <w:rPr>
          <w:lang w:val="fr-FR"/>
        </w:rPr>
        <w:t> </w:t>
      </w:r>
      <w:r>
        <w:rPr>
          <w:lang w:val="fr-FR"/>
        </w:rPr>
        <w:t>»</w:t>
      </w:r>
      <w:r w:rsidRPr="003329BA">
        <w:rPr>
          <w:lang w:val="fr-FR"/>
        </w:rPr>
        <w:t>.</w:t>
      </w:r>
    </w:p>
    <w:p w:rsidR="00DE04CE" w:rsidRPr="003329BA" w:rsidRDefault="00DE04CE" w:rsidP="005E266E">
      <w:pPr>
        <w:pStyle w:val="SingleTxtG"/>
        <w:rPr>
          <w:lang w:val="fr-FR"/>
        </w:rPr>
      </w:pPr>
      <w:r w:rsidRPr="003329BA">
        <w:rPr>
          <w:i/>
          <w:lang w:val="fr-FR"/>
        </w:rPr>
        <w:t>Ajouter le nouveau paragraphe 16.12</w:t>
      </w:r>
      <w:r w:rsidRPr="003329BA">
        <w:rPr>
          <w:lang w:val="fr-FR"/>
        </w:rPr>
        <w:t>, libellé comme suit</w:t>
      </w:r>
      <w:r w:rsidR="00945EE2">
        <w:rPr>
          <w:lang w:val="fr-FR"/>
        </w:rPr>
        <w:t> </w:t>
      </w:r>
      <w:r>
        <w:rPr>
          <w:lang w:val="fr-FR"/>
        </w:rPr>
        <w:t>:</w:t>
      </w:r>
    </w:p>
    <w:p w:rsidR="00DE04CE" w:rsidRPr="003329BA" w:rsidRDefault="00DE04CE" w:rsidP="00945EE2">
      <w:pPr>
        <w:pStyle w:val="SingleTxtG"/>
        <w:ind w:left="1985" w:hanging="851"/>
        <w:rPr>
          <w:b/>
          <w:color w:val="000000"/>
          <w:lang w:val="fr-FR"/>
        </w:rPr>
      </w:pPr>
      <w:r>
        <w:rPr>
          <w:lang w:val="fr-FR"/>
        </w:rPr>
        <w:t>«</w:t>
      </w:r>
      <w:r w:rsidR="00945EE2">
        <w:rPr>
          <w:lang w:val="fr-FR"/>
        </w:rPr>
        <w:t> </w:t>
      </w:r>
      <w:r w:rsidRPr="003329BA">
        <w:rPr>
          <w:b/>
          <w:lang w:val="fr-FR"/>
        </w:rPr>
        <w:t>16.12</w:t>
      </w:r>
      <w:r w:rsidRPr="003329BA">
        <w:rPr>
          <w:b/>
          <w:lang w:val="fr-FR"/>
        </w:rPr>
        <w:tab/>
        <w:t>Jusqu</w:t>
      </w:r>
      <w:r w:rsidR="005E266E">
        <w:rPr>
          <w:b/>
          <w:lang w:val="fr-FR"/>
        </w:rPr>
        <w:t>’</w:t>
      </w:r>
      <w:r w:rsidRPr="003329BA">
        <w:rPr>
          <w:b/>
          <w:lang w:val="fr-FR"/>
        </w:rPr>
        <w:t>au 1</w:t>
      </w:r>
      <w:r w:rsidRPr="003329BA">
        <w:rPr>
          <w:b/>
          <w:vertAlign w:val="superscript"/>
          <w:lang w:val="fr-FR"/>
        </w:rPr>
        <w:t>er</w:t>
      </w:r>
      <w:r w:rsidRPr="003329BA">
        <w:rPr>
          <w:b/>
          <w:lang w:val="fr-FR"/>
        </w:rPr>
        <w:t xml:space="preserve"> septembre 2024, les Parties cont</w:t>
      </w:r>
      <w:r w:rsidR="005C04D1">
        <w:rPr>
          <w:b/>
          <w:lang w:val="fr-FR"/>
        </w:rPr>
        <w:t>ractantes appliquant le présent </w:t>
      </w:r>
      <w:r w:rsidRPr="003329BA">
        <w:rPr>
          <w:b/>
          <w:lang w:val="fr-FR"/>
        </w:rPr>
        <w:t>Règlement ONU continuent d</w:t>
      </w:r>
      <w:r w:rsidR="005E266E">
        <w:rPr>
          <w:b/>
          <w:lang w:val="fr-FR"/>
        </w:rPr>
        <w:t>’</w:t>
      </w:r>
      <w:r w:rsidRPr="003329BA">
        <w:rPr>
          <w:b/>
          <w:lang w:val="fr-FR"/>
        </w:rPr>
        <w:t>accorder des extensions pour les homologations délivrées conformément à la série 02 d</w:t>
      </w:r>
      <w:r w:rsidR="005E266E">
        <w:rPr>
          <w:b/>
          <w:lang w:val="fr-FR"/>
        </w:rPr>
        <w:t>’</w:t>
      </w:r>
      <w:r w:rsidRPr="003329BA">
        <w:rPr>
          <w:b/>
          <w:lang w:val="fr-FR"/>
        </w:rPr>
        <w:t>amendements audit Règlement</w:t>
      </w:r>
      <w:r w:rsidR="005C04D1">
        <w:rPr>
          <w:b/>
          <w:lang w:val="fr-FR"/>
        </w:rPr>
        <w:t xml:space="preserve"> ONU</w:t>
      </w:r>
      <w:r w:rsidRPr="003329BA">
        <w:rPr>
          <w:b/>
          <w:lang w:val="fr-FR"/>
        </w:rPr>
        <w:t>.</w:t>
      </w:r>
      <w:r w:rsidR="00945EE2">
        <w:rPr>
          <w:b/>
          <w:lang w:val="fr-FR"/>
        </w:rPr>
        <w:t> </w:t>
      </w:r>
      <w:r>
        <w:rPr>
          <w:lang w:val="fr-FR"/>
        </w:rPr>
        <w:t>»</w:t>
      </w:r>
      <w:r w:rsidRPr="003329BA">
        <w:rPr>
          <w:lang w:val="fr-FR"/>
        </w:rPr>
        <w:t>.</w:t>
      </w:r>
    </w:p>
    <w:p w:rsidR="00DE04CE" w:rsidRPr="003329BA" w:rsidRDefault="00DE04CE" w:rsidP="00661BBD">
      <w:pPr>
        <w:pStyle w:val="HChG"/>
        <w:rPr>
          <w:lang w:val="fr-FR"/>
        </w:rPr>
      </w:pPr>
      <w:r w:rsidRPr="003329BA">
        <w:rPr>
          <w:lang w:val="fr-FR"/>
        </w:rPr>
        <w:tab/>
        <w:t>II.</w:t>
      </w:r>
      <w:r w:rsidRPr="003329BA">
        <w:rPr>
          <w:lang w:val="fr-FR"/>
        </w:rPr>
        <w:tab/>
      </w:r>
      <w:r w:rsidRPr="00661BBD">
        <w:t>Justification</w:t>
      </w:r>
    </w:p>
    <w:p w:rsidR="00DE04CE" w:rsidRPr="003329BA" w:rsidRDefault="00945EE2" w:rsidP="005E266E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="00DE04CE" w:rsidRPr="003329BA">
        <w:rPr>
          <w:lang w:val="fr-FR"/>
        </w:rPr>
        <w:t>La définition du porte-bébé telle qu</w:t>
      </w:r>
      <w:r w:rsidR="005E266E">
        <w:rPr>
          <w:lang w:val="fr-FR"/>
        </w:rPr>
        <w:t>’</w:t>
      </w:r>
      <w:r w:rsidR="00DE04CE" w:rsidRPr="003329BA">
        <w:rPr>
          <w:lang w:val="fr-FR"/>
        </w:rPr>
        <w:t>elle</w:t>
      </w:r>
      <w:r w:rsidR="00F13D32">
        <w:rPr>
          <w:lang w:val="fr-FR"/>
        </w:rPr>
        <w:t xml:space="preserve"> a été introduite dans la série </w:t>
      </w:r>
      <w:r w:rsidR="00DE04CE" w:rsidRPr="003329BA">
        <w:rPr>
          <w:lang w:val="fr-FR"/>
        </w:rPr>
        <w:t>03 d</w:t>
      </w:r>
      <w:r w:rsidR="005E266E">
        <w:rPr>
          <w:lang w:val="fr-FR"/>
        </w:rPr>
        <w:t>’</w:t>
      </w:r>
      <w:r w:rsidR="00DE04CE" w:rsidRPr="003329BA">
        <w:rPr>
          <w:lang w:val="fr-FR"/>
        </w:rPr>
        <w:t>amendements au Règlement ONU n</w:t>
      </w:r>
      <w:r w:rsidR="00DE04CE" w:rsidRPr="003329BA">
        <w:rPr>
          <w:vertAlign w:val="superscript"/>
          <w:lang w:val="fr-FR"/>
        </w:rPr>
        <w:t>o</w:t>
      </w:r>
      <w:r w:rsidR="00F13D32">
        <w:rPr>
          <w:lang w:val="fr-FR"/>
        </w:rPr>
        <w:t> </w:t>
      </w:r>
      <w:r w:rsidR="00DE04CE" w:rsidRPr="003329BA">
        <w:rPr>
          <w:lang w:val="fr-FR"/>
        </w:rPr>
        <w:t>129 renseigne sur l</w:t>
      </w:r>
      <w:r w:rsidR="005E266E">
        <w:rPr>
          <w:lang w:val="fr-FR"/>
        </w:rPr>
        <w:t>’</w:t>
      </w:r>
      <w:r w:rsidR="00DE04CE" w:rsidRPr="003329BA">
        <w:rPr>
          <w:lang w:val="fr-FR"/>
        </w:rPr>
        <w:t>aspect et la fonction de cet objet, et indique les limites de son usage (enfant d</w:t>
      </w:r>
      <w:r w:rsidR="005E266E">
        <w:rPr>
          <w:lang w:val="fr-FR"/>
        </w:rPr>
        <w:t>’</w:t>
      </w:r>
      <w:r w:rsidR="00DE04CE" w:rsidRPr="003329BA">
        <w:rPr>
          <w:lang w:val="fr-FR"/>
        </w:rPr>
        <w:t>un âge inférieur ou égal à 15 mois) et de l</w:t>
      </w:r>
      <w:r w:rsidR="005E266E">
        <w:rPr>
          <w:lang w:val="fr-FR"/>
        </w:rPr>
        <w:t>’</w:t>
      </w:r>
      <w:r w:rsidR="00DE04CE" w:rsidRPr="003329BA">
        <w:rPr>
          <w:lang w:val="fr-FR"/>
        </w:rPr>
        <w:t>homologation (enfant d</w:t>
      </w:r>
      <w:r w:rsidR="005E266E">
        <w:rPr>
          <w:lang w:val="fr-FR"/>
        </w:rPr>
        <w:t>’</w:t>
      </w:r>
      <w:r w:rsidR="00DE04CE" w:rsidRPr="003329BA">
        <w:rPr>
          <w:lang w:val="fr-FR"/>
        </w:rPr>
        <w:t>une taille inférieure ou égale à 83 cm). Cependant, elle peut être incompatible avec les prescriptions de taille actuellement énoncées au paragraphe 6.1.2.3 du Règlement. En outre, elle va à l</w:t>
      </w:r>
      <w:r w:rsidR="005E266E">
        <w:rPr>
          <w:lang w:val="fr-FR"/>
        </w:rPr>
        <w:t>’</w:t>
      </w:r>
      <w:r w:rsidR="00DE04CE" w:rsidRPr="003329BA">
        <w:rPr>
          <w:lang w:val="fr-FR"/>
        </w:rPr>
        <w:t>encontre de l</w:t>
      </w:r>
      <w:r w:rsidR="005E266E">
        <w:rPr>
          <w:lang w:val="fr-FR"/>
        </w:rPr>
        <w:t>’</w:t>
      </w:r>
      <w:r w:rsidR="00DE04CE" w:rsidRPr="003329BA">
        <w:rPr>
          <w:lang w:val="fr-FR"/>
        </w:rPr>
        <w:t>objectif consistant à maintenir les enfants dos à la route aussi longtemps que possible.</w:t>
      </w:r>
    </w:p>
    <w:p w:rsidR="00F13D32" w:rsidRDefault="00945EE2" w:rsidP="005E266E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="00DE04CE" w:rsidRPr="003329BA">
        <w:rPr>
          <w:lang w:val="fr-FR"/>
        </w:rPr>
        <w:t>Un enfant peut être très bien protégé par un p</w:t>
      </w:r>
      <w:r w:rsidR="00973FE6">
        <w:rPr>
          <w:lang w:val="fr-FR"/>
        </w:rPr>
        <w:t>orte-bébé au-delà de 15 mois (à </w:t>
      </w:r>
      <w:r w:rsidR="00DE04CE" w:rsidRPr="003329BA">
        <w:rPr>
          <w:lang w:val="fr-FR"/>
        </w:rPr>
        <w:t>condition que sa taille entre dans la gamme de tailles prévue pour le dispositif de retenue). En outre, il est possible de concevoir un porte-bébé conforme aux dimensions intérieures et extérieures pour un enfant de plus de 83 cm. Par conséquent, il est proposé de supprimer ces prescriptions du texte de la définition.</w:t>
      </w:r>
      <w:r>
        <w:rPr>
          <w:lang w:val="fr-FR"/>
        </w:rPr>
        <w:t xml:space="preserve"> </w:t>
      </w:r>
    </w:p>
    <w:p w:rsidR="00DE04CE" w:rsidRPr="00945EE2" w:rsidRDefault="00DE04CE" w:rsidP="005E266E">
      <w:pPr>
        <w:pStyle w:val="SingleTxtG"/>
        <w:rPr>
          <w:lang w:val="fr-FR"/>
        </w:rPr>
      </w:pPr>
      <w:r w:rsidRPr="003329BA">
        <w:rPr>
          <w:lang w:val="fr-FR"/>
        </w:rPr>
        <w:t xml:space="preserve">Dans les </w:t>
      </w:r>
      <w:r w:rsidRPr="003329BA">
        <w:rPr>
          <w:snapToGrid w:val="0"/>
          <w:lang w:val="fr-FR"/>
        </w:rPr>
        <w:t>nouvelles Directives générales concernant l</w:t>
      </w:r>
      <w:r w:rsidR="005E266E">
        <w:rPr>
          <w:snapToGrid w:val="0"/>
          <w:lang w:val="fr-FR"/>
        </w:rPr>
        <w:t>’</w:t>
      </w:r>
      <w:r w:rsidRPr="003329BA">
        <w:rPr>
          <w:snapToGrid w:val="0"/>
          <w:lang w:val="fr-FR"/>
        </w:rPr>
        <w:t>élaboration des Règlements de l</w:t>
      </w:r>
      <w:r w:rsidR="005E266E">
        <w:rPr>
          <w:snapToGrid w:val="0"/>
          <w:lang w:val="fr-FR"/>
        </w:rPr>
        <w:t>’</w:t>
      </w:r>
      <w:r w:rsidRPr="003329BA">
        <w:rPr>
          <w:snapToGrid w:val="0"/>
          <w:lang w:val="fr-FR"/>
        </w:rPr>
        <w:t>ONU et les dispositions transitoires qu</w:t>
      </w:r>
      <w:r w:rsidR="005E266E">
        <w:rPr>
          <w:snapToGrid w:val="0"/>
          <w:lang w:val="fr-FR"/>
        </w:rPr>
        <w:t>’</w:t>
      </w:r>
      <w:r w:rsidRPr="003329BA">
        <w:rPr>
          <w:snapToGrid w:val="0"/>
          <w:lang w:val="fr-FR"/>
        </w:rPr>
        <w:t xml:space="preserve">ils contiennent, adoptées par le WP.29 à sa session de novembre 2017 (voir le document </w:t>
      </w:r>
      <w:r w:rsidRPr="003329BA">
        <w:rPr>
          <w:lang w:val="fr-FR"/>
        </w:rPr>
        <w:t>ECE/TRANS/WP.29/1044/Rev.2), il est dit ceci</w:t>
      </w:r>
      <w:r w:rsidR="00945EE2">
        <w:rPr>
          <w:lang w:val="fr-FR"/>
        </w:rPr>
        <w:t> </w:t>
      </w:r>
      <w:r w:rsidRPr="003329BA">
        <w:rPr>
          <w:lang w:val="fr-FR"/>
        </w:rPr>
        <w:t>:</w:t>
      </w:r>
    </w:p>
    <w:p w:rsidR="00DE04CE" w:rsidRPr="003329BA" w:rsidRDefault="00945EE2" w:rsidP="00945EE2">
      <w:pPr>
        <w:pStyle w:val="SingleTxtG"/>
        <w:ind w:left="1701" w:hanging="567"/>
        <w:rPr>
          <w:i/>
          <w:iCs/>
          <w:lang w:val="fr-FR"/>
        </w:rPr>
      </w:pPr>
      <w:r>
        <w:rPr>
          <w:i/>
          <w:iCs/>
          <w:lang w:val="fr-FR"/>
        </w:rPr>
        <w:tab/>
      </w:r>
      <w:r w:rsidR="00DE04CE" w:rsidRPr="003329BA">
        <w:rPr>
          <w:i/>
          <w:iCs/>
          <w:lang w:val="fr-FR"/>
        </w:rPr>
        <w:t>Paragraphe 26. … La nouvelle série d</w:t>
      </w:r>
      <w:r w:rsidR="005E266E">
        <w:rPr>
          <w:i/>
          <w:iCs/>
          <w:lang w:val="fr-FR"/>
        </w:rPr>
        <w:t>’</w:t>
      </w:r>
      <w:r w:rsidR="00DE04CE" w:rsidRPr="003329BA">
        <w:rPr>
          <w:i/>
          <w:iCs/>
          <w:lang w:val="fr-FR"/>
        </w:rPr>
        <w:t>amendements peut comporter une disposition relative aux conditions d</w:t>
      </w:r>
      <w:r w:rsidR="005E266E">
        <w:rPr>
          <w:i/>
          <w:iCs/>
          <w:lang w:val="fr-FR"/>
        </w:rPr>
        <w:t>’</w:t>
      </w:r>
      <w:r w:rsidR="00DE04CE" w:rsidRPr="003329BA">
        <w:rPr>
          <w:i/>
          <w:iCs/>
          <w:lang w:val="fr-FR"/>
        </w:rPr>
        <w:t>octroi d</w:t>
      </w:r>
      <w:r w:rsidR="005E266E">
        <w:rPr>
          <w:i/>
          <w:iCs/>
          <w:lang w:val="fr-FR"/>
        </w:rPr>
        <w:t>’</w:t>
      </w:r>
      <w:r w:rsidR="00DE04CE" w:rsidRPr="003329BA">
        <w:rPr>
          <w:i/>
          <w:iCs/>
          <w:lang w:val="fr-FR"/>
        </w:rPr>
        <w:t xml:space="preserve">extensions aux homologations en vigueur </w:t>
      </w:r>
      <w:r>
        <w:rPr>
          <w:i/>
          <w:iCs/>
          <w:lang w:val="fr-FR"/>
        </w:rPr>
        <w:t>…</w:t>
      </w:r>
    </w:p>
    <w:p w:rsidR="00DE04CE" w:rsidRPr="003329BA" w:rsidRDefault="00945EE2" w:rsidP="005E266E">
      <w:pPr>
        <w:pStyle w:val="SingleTxtG"/>
        <w:rPr>
          <w:iCs/>
          <w:lang w:val="fr-FR"/>
        </w:rPr>
      </w:pPr>
      <w:r>
        <w:rPr>
          <w:iCs/>
          <w:lang w:val="fr-FR"/>
        </w:rPr>
        <w:t>3.</w:t>
      </w:r>
      <w:r>
        <w:rPr>
          <w:iCs/>
          <w:lang w:val="fr-FR"/>
        </w:rPr>
        <w:tab/>
      </w:r>
      <w:r w:rsidR="00DE04CE" w:rsidRPr="003329BA">
        <w:rPr>
          <w:iCs/>
          <w:lang w:val="fr-FR"/>
        </w:rPr>
        <w:t>La série 03 d</w:t>
      </w:r>
      <w:r w:rsidR="005E266E">
        <w:rPr>
          <w:iCs/>
          <w:lang w:val="fr-FR"/>
        </w:rPr>
        <w:t>’</w:t>
      </w:r>
      <w:r w:rsidR="00DE04CE" w:rsidRPr="003329BA">
        <w:rPr>
          <w:iCs/>
          <w:lang w:val="fr-FR"/>
        </w:rPr>
        <w:t>amendements au Règlement ONU n</w:t>
      </w:r>
      <w:r w:rsidR="00DE04CE" w:rsidRPr="003329BA">
        <w:rPr>
          <w:iCs/>
          <w:vertAlign w:val="superscript"/>
          <w:lang w:val="fr-FR"/>
        </w:rPr>
        <w:t>o</w:t>
      </w:r>
      <w:r w:rsidR="00DE04CE" w:rsidRPr="003329BA">
        <w:rPr>
          <w:iCs/>
          <w:lang w:val="fr-FR"/>
        </w:rPr>
        <w:t xml:space="preserve"> </w:t>
      </w:r>
      <w:r w:rsidR="00DE6FC3">
        <w:rPr>
          <w:iCs/>
          <w:lang w:val="fr-FR"/>
        </w:rPr>
        <w:t>129 autorise les extensions des </w:t>
      </w:r>
      <w:r w:rsidR="00DE04CE" w:rsidRPr="003329BA">
        <w:rPr>
          <w:iCs/>
          <w:lang w:val="fr-FR"/>
        </w:rPr>
        <w:t>homologations accordées en vertu de la version originale du Règlement (voir le paragraphe 16.4) et de la série 01 d</w:t>
      </w:r>
      <w:r w:rsidR="005E266E">
        <w:rPr>
          <w:iCs/>
          <w:lang w:val="fr-FR"/>
        </w:rPr>
        <w:t>’</w:t>
      </w:r>
      <w:r w:rsidR="00DE04CE" w:rsidRPr="003329BA">
        <w:rPr>
          <w:iCs/>
          <w:lang w:val="fr-FR"/>
        </w:rPr>
        <w:t>amendements (voir le paragraphe 16.7), mais pas en vertu de la série 02.</w:t>
      </w:r>
    </w:p>
    <w:p w:rsidR="00DE04CE" w:rsidRPr="003329BA" w:rsidRDefault="00945EE2" w:rsidP="005E266E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="00DE04CE" w:rsidRPr="003329BA">
        <w:rPr>
          <w:lang w:val="fr-FR"/>
        </w:rPr>
        <w:t>Il est donc nécessaire d</w:t>
      </w:r>
      <w:r w:rsidR="005E266E">
        <w:rPr>
          <w:lang w:val="fr-FR"/>
        </w:rPr>
        <w:t>’</w:t>
      </w:r>
      <w:r w:rsidR="00DE04CE" w:rsidRPr="003329BA">
        <w:rPr>
          <w:lang w:val="fr-FR"/>
        </w:rPr>
        <w:t>autoriser explicitement l</w:t>
      </w:r>
      <w:r w:rsidR="005E266E">
        <w:rPr>
          <w:lang w:val="fr-FR"/>
        </w:rPr>
        <w:t>’</w:t>
      </w:r>
      <w:r w:rsidR="00DE04CE" w:rsidRPr="003329BA">
        <w:rPr>
          <w:lang w:val="fr-FR"/>
        </w:rPr>
        <w:t>octroi d</w:t>
      </w:r>
      <w:r w:rsidR="005E266E">
        <w:rPr>
          <w:lang w:val="fr-FR"/>
        </w:rPr>
        <w:t>’</w:t>
      </w:r>
      <w:r w:rsidR="00DE04CE" w:rsidRPr="003329BA">
        <w:rPr>
          <w:lang w:val="fr-FR"/>
        </w:rPr>
        <w:t>extensions aux homologations de type délivrées en vertu de la série 02 d</w:t>
      </w:r>
      <w:r w:rsidR="005E266E">
        <w:rPr>
          <w:lang w:val="fr-FR"/>
        </w:rPr>
        <w:t>’</w:t>
      </w:r>
      <w:r w:rsidR="00DE04CE" w:rsidRPr="003329BA">
        <w:rPr>
          <w:lang w:val="fr-FR"/>
        </w:rPr>
        <w:t>amendements (nouveau paragraphe 16.12) et à toute homologation qui n</w:t>
      </w:r>
      <w:r w:rsidR="005E266E">
        <w:rPr>
          <w:lang w:val="fr-FR"/>
        </w:rPr>
        <w:t>’</w:t>
      </w:r>
      <w:r w:rsidR="00DE04CE" w:rsidRPr="003329BA">
        <w:rPr>
          <w:lang w:val="fr-FR"/>
        </w:rPr>
        <w:t xml:space="preserve">est pas affectée par la </w:t>
      </w:r>
      <w:r w:rsidR="00DE04CE" w:rsidRPr="003329BA">
        <w:rPr>
          <w:iCs/>
          <w:lang w:val="fr-FR"/>
        </w:rPr>
        <w:t>série 03 d</w:t>
      </w:r>
      <w:r w:rsidR="005E266E">
        <w:rPr>
          <w:iCs/>
          <w:lang w:val="fr-FR"/>
        </w:rPr>
        <w:t>’</w:t>
      </w:r>
      <w:r w:rsidR="00DE6FC3">
        <w:rPr>
          <w:iCs/>
          <w:lang w:val="fr-FR"/>
        </w:rPr>
        <w:t>amendements (par. </w:t>
      </w:r>
      <w:r w:rsidR="00DE04CE" w:rsidRPr="003329BA">
        <w:rPr>
          <w:iCs/>
          <w:lang w:val="fr-FR"/>
        </w:rPr>
        <w:t>16.11 modifié).</w:t>
      </w:r>
    </w:p>
    <w:p w:rsidR="00F9573C" w:rsidRDefault="00945EE2" w:rsidP="005E266E">
      <w:pPr>
        <w:pStyle w:val="SingleTxtG"/>
        <w:rPr>
          <w:lang w:val="fr-FR"/>
        </w:rPr>
      </w:pPr>
      <w:r>
        <w:rPr>
          <w:lang w:val="fr-FR"/>
        </w:rPr>
        <w:lastRenderedPageBreak/>
        <w:t>5.</w:t>
      </w:r>
      <w:r>
        <w:rPr>
          <w:lang w:val="fr-FR"/>
        </w:rPr>
        <w:tab/>
      </w:r>
      <w:r w:rsidR="00DE04CE" w:rsidRPr="003329BA">
        <w:rPr>
          <w:lang w:val="fr-FR"/>
        </w:rPr>
        <w:t>Le paragraphe 16.11 se rapporte actuellement à l</w:t>
      </w:r>
      <w:r w:rsidR="005E266E">
        <w:rPr>
          <w:lang w:val="fr-FR"/>
        </w:rPr>
        <w:t>’</w:t>
      </w:r>
      <w:r w:rsidR="00DE04CE" w:rsidRPr="003329BA">
        <w:rPr>
          <w:lang w:val="fr-FR"/>
        </w:rPr>
        <w:t>homologation de véhicules. Toutefois, le Règlement ONU n</w:t>
      </w:r>
      <w:r w:rsidR="00DE04CE" w:rsidRPr="003329BA">
        <w:rPr>
          <w:vertAlign w:val="superscript"/>
          <w:lang w:val="fr-FR"/>
        </w:rPr>
        <w:t>o</w:t>
      </w:r>
      <w:r w:rsidR="00DE04CE" w:rsidRPr="003329BA">
        <w:rPr>
          <w:lang w:val="fr-FR"/>
        </w:rPr>
        <w:t xml:space="preserve"> 129 ne porte pas sur cette question. Il convient ainsi de corriger cette erreur en mentionnant l</w:t>
      </w:r>
      <w:r w:rsidR="005E266E">
        <w:rPr>
          <w:lang w:val="fr-FR"/>
        </w:rPr>
        <w:t>’</w:t>
      </w:r>
      <w:r w:rsidR="00DE04CE" w:rsidRPr="003329BA">
        <w:rPr>
          <w:lang w:val="fr-FR"/>
        </w:rPr>
        <w:t xml:space="preserve">homologation des </w:t>
      </w:r>
      <w:r w:rsidR="005C04D1">
        <w:rPr>
          <w:lang w:val="fr-FR"/>
        </w:rPr>
        <w:t>« </w:t>
      </w:r>
      <w:r w:rsidR="00DE04CE" w:rsidRPr="003329BA">
        <w:rPr>
          <w:lang w:val="fr-FR"/>
        </w:rPr>
        <w:t>dispositifs améliorés de retenue pour enfants.</w:t>
      </w:r>
      <w:r>
        <w:rPr>
          <w:lang w:val="fr-FR"/>
        </w:rPr>
        <w:t> </w:t>
      </w:r>
      <w:r w:rsidR="00DE04CE">
        <w:rPr>
          <w:lang w:val="fr-FR"/>
        </w:rPr>
        <w:t>»</w:t>
      </w:r>
      <w:r w:rsidR="00DE04CE" w:rsidRPr="003329BA">
        <w:rPr>
          <w:lang w:val="fr-FR"/>
        </w:rPr>
        <w:t>.</w:t>
      </w:r>
    </w:p>
    <w:p w:rsidR="005E266E" w:rsidRPr="005E266E" w:rsidRDefault="005E266E" w:rsidP="005E266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E266E" w:rsidRPr="005E266E" w:rsidSect="00DE04C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7E3" w:rsidRDefault="00AA57E3" w:rsidP="00F95C08">
      <w:pPr>
        <w:spacing w:line="240" w:lineRule="auto"/>
      </w:pPr>
    </w:p>
  </w:endnote>
  <w:endnote w:type="continuationSeparator" w:id="0">
    <w:p w:rsidR="00AA57E3" w:rsidRPr="00AC3823" w:rsidRDefault="00AA57E3" w:rsidP="00AC3823">
      <w:pPr>
        <w:pStyle w:val="Footer"/>
      </w:pPr>
    </w:p>
  </w:endnote>
  <w:endnote w:type="continuationNotice" w:id="1">
    <w:p w:rsidR="00AA57E3" w:rsidRDefault="00AA57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4CE" w:rsidRPr="00DE04CE" w:rsidRDefault="00DE04CE" w:rsidP="00DE04CE">
    <w:pPr>
      <w:pStyle w:val="Footer"/>
      <w:tabs>
        <w:tab w:val="right" w:pos="9638"/>
      </w:tabs>
    </w:pPr>
    <w:r w:rsidRPr="00DE04CE">
      <w:rPr>
        <w:b/>
        <w:sz w:val="18"/>
      </w:rPr>
      <w:fldChar w:fldCharType="begin"/>
    </w:r>
    <w:r w:rsidRPr="00DE04CE">
      <w:rPr>
        <w:b/>
        <w:sz w:val="18"/>
      </w:rPr>
      <w:instrText xml:space="preserve"> PAGE  \* MERGEFORMAT </w:instrText>
    </w:r>
    <w:r w:rsidRPr="00DE04CE">
      <w:rPr>
        <w:b/>
        <w:sz w:val="18"/>
      </w:rPr>
      <w:fldChar w:fldCharType="separate"/>
    </w:r>
    <w:r w:rsidRPr="00DE04CE">
      <w:rPr>
        <w:b/>
        <w:noProof/>
        <w:sz w:val="18"/>
      </w:rPr>
      <w:t>2</w:t>
    </w:r>
    <w:r w:rsidRPr="00DE04CE">
      <w:rPr>
        <w:b/>
        <w:sz w:val="18"/>
      </w:rPr>
      <w:fldChar w:fldCharType="end"/>
    </w:r>
    <w:r>
      <w:rPr>
        <w:b/>
        <w:sz w:val="18"/>
      </w:rPr>
      <w:tab/>
    </w:r>
    <w:r>
      <w:t>GE.18-15926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4CE" w:rsidRPr="00DE04CE" w:rsidRDefault="00DE04CE" w:rsidP="00DE04CE">
    <w:pPr>
      <w:pStyle w:val="Footer"/>
      <w:tabs>
        <w:tab w:val="right" w:pos="9638"/>
      </w:tabs>
      <w:rPr>
        <w:b/>
        <w:sz w:val="18"/>
      </w:rPr>
    </w:pPr>
    <w:r>
      <w:t>GE.18-15926</w:t>
    </w:r>
    <w:r>
      <w:tab/>
    </w:r>
    <w:r w:rsidRPr="00DE04CE">
      <w:rPr>
        <w:b/>
        <w:sz w:val="18"/>
      </w:rPr>
      <w:fldChar w:fldCharType="begin"/>
    </w:r>
    <w:r w:rsidRPr="00DE04CE">
      <w:rPr>
        <w:b/>
        <w:sz w:val="18"/>
      </w:rPr>
      <w:instrText xml:space="preserve"> PAGE  \* MERGEFORMAT </w:instrText>
    </w:r>
    <w:r w:rsidRPr="00DE04CE">
      <w:rPr>
        <w:b/>
        <w:sz w:val="18"/>
      </w:rPr>
      <w:fldChar w:fldCharType="separate"/>
    </w:r>
    <w:r w:rsidRPr="00DE04CE">
      <w:rPr>
        <w:b/>
        <w:noProof/>
        <w:sz w:val="18"/>
      </w:rPr>
      <w:t>3</w:t>
    </w:r>
    <w:r w:rsidRPr="00DE04C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DE04CE" w:rsidRDefault="00DE04CE" w:rsidP="00DE04CE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18-15926  (F)</w:t>
    </w:r>
    <w:r w:rsidR="005E266E">
      <w:rPr>
        <w:sz w:val="20"/>
      </w:rPr>
      <w:t xml:space="preserve">    191018    241018</w:t>
    </w:r>
    <w:r>
      <w:rPr>
        <w:sz w:val="20"/>
      </w:rPr>
      <w:br/>
    </w:r>
    <w:r w:rsidRPr="00DE04CE">
      <w:rPr>
        <w:rFonts w:ascii="C39T30Lfz" w:hAnsi="C39T30Lfz"/>
        <w:sz w:val="56"/>
      </w:rPr>
      <w:t></w:t>
    </w:r>
    <w:r w:rsidRPr="00DE04CE">
      <w:rPr>
        <w:rFonts w:ascii="C39T30Lfz" w:hAnsi="C39T30Lfz"/>
        <w:sz w:val="56"/>
      </w:rPr>
      <w:t></w:t>
    </w:r>
    <w:r w:rsidRPr="00DE04CE">
      <w:rPr>
        <w:rFonts w:ascii="C39T30Lfz" w:hAnsi="C39T30Lfz"/>
        <w:sz w:val="56"/>
      </w:rPr>
      <w:t></w:t>
    </w:r>
    <w:r w:rsidRPr="00DE04CE">
      <w:rPr>
        <w:rFonts w:ascii="C39T30Lfz" w:hAnsi="C39T30Lfz"/>
        <w:sz w:val="56"/>
      </w:rPr>
      <w:t></w:t>
    </w:r>
    <w:r w:rsidRPr="00DE04CE">
      <w:rPr>
        <w:rFonts w:ascii="C39T30Lfz" w:hAnsi="C39T30Lfz"/>
        <w:sz w:val="56"/>
      </w:rPr>
      <w:t></w:t>
    </w:r>
    <w:r w:rsidRPr="00DE04CE">
      <w:rPr>
        <w:rFonts w:ascii="C39T30Lfz" w:hAnsi="C39T30Lfz"/>
        <w:sz w:val="56"/>
      </w:rPr>
      <w:t></w:t>
    </w:r>
    <w:r w:rsidRPr="00DE04CE">
      <w:rPr>
        <w:rFonts w:ascii="C39T30Lfz" w:hAnsi="C39T30Lfz"/>
        <w:sz w:val="56"/>
      </w:rPr>
      <w:t></w:t>
    </w:r>
    <w:r w:rsidRPr="00DE04CE">
      <w:rPr>
        <w:rFonts w:ascii="C39T30Lfz" w:hAnsi="C39T30Lfz"/>
        <w:sz w:val="56"/>
      </w:rPr>
      <w:t></w:t>
    </w:r>
    <w:r w:rsidRPr="00DE04CE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8/2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2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7E3" w:rsidRPr="00AC3823" w:rsidRDefault="00AA57E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A57E3" w:rsidRPr="00AC3823" w:rsidRDefault="00AA57E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A57E3" w:rsidRPr="00AC3823" w:rsidRDefault="00AA57E3">
      <w:pPr>
        <w:spacing w:line="240" w:lineRule="auto"/>
        <w:rPr>
          <w:sz w:val="2"/>
          <w:szCs w:val="2"/>
        </w:rPr>
      </w:pPr>
    </w:p>
  </w:footnote>
  <w:footnote w:id="2">
    <w:p w:rsidR="005E266E" w:rsidRPr="005E266E" w:rsidRDefault="005E266E" w:rsidP="005E266E">
      <w:pPr>
        <w:pStyle w:val="FootnoteText"/>
      </w:pPr>
      <w:r>
        <w:rPr>
          <w:rStyle w:val="FootnoteReference"/>
        </w:rPr>
        <w:tab/>
      </w:r>
      <w:r w:rsidRPr="005E266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 xml:space="preserve">Conformément au programme de travail du Comité des transports </w:t>
      </w:r>
      <w:r w:rsidR="00661BBD">
        <w:rPr>
          <w:lang w:val="fr-FR"/>
        </w:rPr>
        <w:t>intérieurs pour la période 2014</w:t>
      </w:r>
      <w:r w:rsidR="00661BBD">
        <w:rPr>
          <w:lang w:val="fr-FR"/>
        </w:rPr>
        <w:noBreakHyphen/>
      </w:r>
      <w:r>
        <w:rPr>
          <w:lang w:val="fr-FR"/>
        </w:rPr>
        <w:t>2018 (ECE/TRANS/240, par. 105, et ECE/TRANS/2014/26, activité 02.4),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4CE" w:rsidRPr="00DE04CE" w:rsidRDefault="003C2F1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D1BEB">
      <w:t>ECE/TRANS/WP.29/GRSP/2018/24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4CE" w:rsidRPr="00DE04CE" w:rsidRDefault="003C2F12" w:rsidP="00DE04C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D1BEB">
      <w:t>ECE/TRANS/WP.29/GRSP/2018/24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3AEE7E06"/>
    <w:multiLevelType w:val="hybridMultilevel"/>
    <w:tmpl w:val="EA00C550"/>
    <w:lvl w:ilvl="0" w:tplc="080C000F">
      <w:start w:val="1"/>
      <w:numFmt w:val="decimal"/>
      <w:lvlText w:val="%1."/>
      <w:lvlJc w:val="left"/>
      <w:pPr>
        <w:ind w:left="2214" w:hanging="360"/>
      </w:pPr>
    </w:lvl>
    <w:lvl w:ilvl="1" w:tplc="080C0019" w:tentative="1">
      <w:start w:val="1"/>
      <w:numFmt w:val="lowerLetter"/>
      <w:lvlText w:val="%2."/>
      <w:lvlJc w:val="left"/>
      <w:pPr>
        <w:ind w:left="2934" w:hanging="360"/>
      </w:pPr>
    </w:lvl>
    <w:lvl w:ilvl="2" w:tplc="080C001B" w:tentative="1">
      <w:start w:val="1"/>
      <w:numFmt w:val="lowerRoman"/>
      <w:lvlText w:val="%3."/>
      <w:lvlJc w:val="right"/>
      <w:pPr>
        <w:ind w:left="3654" w:hanging="180"/>
      </w:pPr>
    </w:lvl>
    <w:lvl w:ilvl="3" w:tplc="080C000F" w:tentative="1">
      <w:start w:val="1"/>
      <w:numFmt w:val="decimal"/>
      <w:lvlText w:val="%4."/>
      <w:lvlJc w:val="left"/>
      <w:pPr>
        <w:ind w:left="4374" w:hanging="360"/>
      </w:pPr>
    </w:lvl>
    <w:lvl w:ilvl="4" w:tplc="080C0019" w:tentative="1">
      <w:start w:val="1"/>
      <w:numFmt w:val="lowerLetter"/>
      <w:lvlText w:val="%5."/>
      <w:lvlJc w:val="left"/>
      <w:pPr>
        <w:ind w:left="5094" w:hanging="360"/>
      </w:pPr>
    </w:lvl>
    <w:lvl w:ilvl="5" w:tplc="080C001B" w:tentative="1">
      <w:start w:val="1"/>
      <w:numFmt w:val="lowerRoman"/>
      <w:lvlText w:val="%6."/>
      <w:lvlJc w:val="right"/>
      <w:pPr>
        <w:ind w:left="5814" w:hanging="180"/>
      </w:pPr>
    </w:lvl>
    <w:lvl w:ilvl="6" w:tplc="080C000F" w:tentative="1">
      <w:start w:val="1"/>
      <w:numFmt w:val="decimal"/>
      <w:lvlText w:val="%7."/>
      <w:lvlJc w:val="left"/>
      <w:pPr>
        <w:ind w:left="6534" w:hanging="360"/>
      </w:pPr>
    </w:lvl>
    <w:lvl w:ilvl="7" w:tplc="080C0019" w:tentative="1">
      <w:start w:val="1"/>
      <w:numFmt w:val="lowerLetter"/>
      <w:lvlText w:val="%8."/>
      <w:lvlJc w:val="left"/>
      <w:pPr>
        <w:ind w:left="7254" w:hanging="360"/>
      </w:pPr>
    </w:lvl>
    <w:lvl w:ilvl="8" w:tplc="080C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inkAnnotation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E3"/>
    <w:rsid w:val="00017F94"/>
    <w:rsid w:val="00023842"/>
    <w:rsid w:val="000334F9"/>
    <w:rsid w:val="00045FEB"/>
    <w:rsid w:val="00062898"/>
    <w:rsid w:val="0007796D"/>
    <w:rsid w:val="000B7790"/>
    <w:rsid w:val="00111F2F"/>
    <w:rsid w:val="0014365E"/>
    <w:rsid w:val="00143C66"/>
    <w:rsid w:val="0015389A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C2F12"/>
    <w:rsid w:val="00415391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5C04D1"/>
    <w:rsid w:val="005E266E"/>
    <w:rsid w:val="00661BBD"/>
    <w:rsid w:val="0071601D"/>
    <w:rsid w:val="007A1612"/>
    <w:rsid w:val="007A62E6"/>
    <w:rsid w:val="007F20FA"/>
    <w:rsid w:val="0080684C"/>
    <w:rsid w:val="00871C75"/>
    <w:rsid w:val="008776DC"/>
    <w:rsid w:val="009446C0"/>
    <w:rsid w:val="00945EE2"/>
    <w:rsid w:val="009705C8"/>
    <w:rsid w:val="00973FE6"/>
    <w:rsid w:val="009C1CF4"/>
    <w:rsid w:val="009F6B74"/>
    <w:rsid w:val="00A01A76"/>
    <w:rsid w:val="00A3029F"/>
    <w:rsid w:val="00A30353"/>
    <w:rsid w:val="00AA3415"/>
    <w:rsid w:val="00AA57E3"/>
    <w:rsid w:val="00AC3823"/>
    <w:rsid w:val="00AE323C"/>
    <w:rsid w:val="00AF0CB5"/>
    <w:rsid w:val="00B00181"/>
    <w:rsid w:val="00B00B0D"/>
    <w:rsid w:val="00B45F2E"/>
    <w:rsid w:val="00B765F7"/>
    <w:rsid w:val="00BA0CA9"/>
    <w:rsid w:val="00BD1BEB"/>
    <w:rsid w:val="00C02897"/>
    <w:rsid w:val="00C97039"/>
    <w:rsid w:val="00D3439C"/>
    <w:rsid w:val="00DB1831"/>
    <w:rsid w:val="00DD3BFD"/>
    <w:rsid w:val="00DE04CE"/>
    <w:rsid w:val="00DE6FC3"/>
    <w:rsid w:val="00DF6678"/>
    <w:rsid w:val="00E0299A"/>
    <w:rsid w:val="00E85C74"/>
    <w:rsid w:val="00EA6547"/>
    <w:rsid w:val="00EF2E22"/>
    <w:rsid w:val="00F13D3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E6C0477-13C2-478F-BD96-3B0F56BB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qFormat/>
    <w:rsid w:val="00DE04C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DE04CE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ECE/TRANS/WP.29/GRSP/2018/24</vt:lpstr>
      <vt:lpstr>ECE/TRANS/WP.29/GRSP/2018/24</vt:lpstr>
    </vt:vector>
  </TitlesOfParts>
  <Company>DCM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ECE/TRANS/WP.29/GRSP/2018/24</dc:title>
  <dc:subject/>
  <dc:creator>Isabelle VIGNY</dc:creator>
  <cp:keywords/>
  <cp:lastModifiedBy>Benedicte Boudol</cp:lastModifiedBy>
  <cp:revision>2</cp:revision>
  <cp:lastPrinted>2018-10-24T13:45:00Z</cp:lastPrinted>
  <dcterms:created xsi:type="dcterms:W3CDTF">2018-10-24T14:35:00Z</dcterms:created>
  <dcterms:modified xsi:type="dcterms:W3CDTF">2018-10-24T14:35:00Z</dcterms:modified>
</cp:coreProperties>
</file>