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38F84D2" w14:textId="77777777" w:rsidTr="00F01738">
        <w:trPr>
          <w:trHeight w:hRule="exact" w:val="851"/>
        </w:trPr>
        <w:tc>
          <w:tcPr>
            <w:tcW w:w="1276" w:type="dxa"/>
            <w:tcBorders>
              <w:bottom w:val="single" w:sz="4" w:space="0" w:color="auto"/>
            </w:tcBorders>
          </w:tcPr>
          <w:p w14:paraId="36A31A36" w14:textId="77777777" w:rsidR="00132EA9" w:rsidRPr="00DB58B5" w:rsidRDefault="00132EA9" w:rsidP="00E660DF"/>
        </w:tc>
        <w:tc>
          <w:tcPr>
            <w:tcW w:w="2268" w:type="dxa"/>
            <w:tcBorders>
              <w:bottom w:val="single" w:sz="4" w:space="0" w:color="auto"/>
            </w:tcBorders>
            <w:vAlign w:val="bottom"/>
          </w:tcPr>
          <w:p w14:paraId="2A314AB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0CBBDB" w14:textId="77777777" w:rsidR="00132EA9" w:rsidRPr="00DB58B5" w:rsidRDefault="00E660DF" w:rsidP="00E660DF">
            <w:pPr>
              <w:jc w:val="right"/>
            </w:pPr>
            <w:r w:rsidRPr="00E660DF">
              <w:rPr>
                <w:sz w:val="40"/>
              </w:rPr>
              <w:t>ST</w:t>
            </w:r>
            <w:r>
              <w:t>/SG/AC.10/46</w:t>
            </w:r>
          </w:p>
        </w:tc>
      </w:tr>
      <w:tr w:rsidR="00132EA9" w:rsidRPr="00DB58B5" w14:paraId="535B9F4A" w14:textId="77777777" w:rsidTr="00F01738">
        <w:trPr>
          <w:trHeight w:hRule="exact" w:val="2835"/>
        </w:trPr>
        <w:tc>
          <w:tcPr>
            <w:tcW w:w="1276" w:type="dxa"/>
            <w:tcBorders>
              <w:top w:val="single" w:sz="4" w:space="0" w:color="auto"/>
              <w:bottom w:val="single" w:sz="12" w:space="0" w:color="auto"/>
            </w:tcBorders>
          </w:tcPr>
          <w:p w14:paraId="73E731F8" w14:textId="77777777" w:rsidR="00132EA9" w:rsidRPr="00DB58B5" w:rsidRDefault="00132EA9" w:rsidP="00F01738">
            <w:pPr>
              <w:spacing w:before="120"/>
              <w:jc w:val="center"/>
            </w:pPr>
            <w:r>
              <w:rPr>
                <w:noProof/>
                <w:lang w:eastAsia="fr-CH"/>
              </w:rPr>
              <w:drawing>
                <wp:inline distT="0" distB="0" distL="0" distR="0" wp14:anchorId="32BBB837" wp14:editId="6696DE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74F47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CD2B546" w14:textId="77777777" w:rsidR="00132EA9" w:rsidRDefault="00E660DF" w:rsidP="00F01738">
            <w:pPr>
              <w:spacing w:before="240"/>
            </w:pPr>
            <w:r>
              <w:t>Distr. générale</w:t>
            </w:r>
          </w:p>
          <w:p w14:paraId="2A80FB93" w14:textId="77777777" w:rsidR="00E660DF" w:rsidRDefault="00E660DF" w:rsidP="00E660DF">
            <w:pPr>
              <w:spacing w:line="240" w:lineRule="exact"/>
            </w:pPr>
            <w:r>
              <w:t>21 décembre 2018</w:t>
            </w:r>
          </w:p>
          <w:p w14:paraId="313FF245" w14:textId="77777777" w:rsidR="00E660DF" w:rsidRDefault="00E660DF" w:rsidP="00E660DF">
            <w:pPr>
              <w:spacing w:line="240" w:lineRule="exact"/>
            </w:pPr>
            <w:r>
              <w:t>Français</w:t>
            </w:r>
          </w:p>
          <w:p w14:paraId="7D3E1FEC" w14:textId="77777777" w:rsidR="00E660DF" w:rsidRPr="00DB58B5" w:rsidRDefault="00E660DF" w:rsidP="00E660DF">
            <w:pPr>
              <w:spacing w:line="240" w:lineRule="exact"/>
            </w:pPr>
            <w:r>
              <w:t>Original : anglais</w:t>
            </w:r>
          </w:p>
        </w:tc>
      </w:tr>
    </w:tbl>
    <w:p w14:paraId="7CFAABC7" w14:textId="77777777" w:rsidR="00E660DF" w:rsidRDefault="00E660DF" w:rsidP="000305D3">
      <w:pPr>
        <w:spacing w:before="120"/>
        <w:rPr>
          <w:b/>
          <w:sz w:val="24"/>
          <w:szCs w:val="24"/>
        </w:rPr>
      </w:pPr>
      <w:r w:rsidRPr="00CA0680">
        <w:rPr>
          <w:b/>
          <w:sz w:val="24"/>
          <w:szCs w:val="24"/>
        </w:rPr>
        <w:t>Comité d</w:t>
      </w:r>
      <w:r w:rsidR="00341801">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341801">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79CDF97" w14:textId="77777777" w:rsidR="00E56893" w:rsidRPr="005D1B31" w:rsidRDefault="00E56893" w:rsidP="00E56893">
      <w:pPr>
        <w:pStyle w:val="HChG"/>
        <w:rPr>
          <w:bCs/>
        </w:rPr>
      </w:pPr>
      <w:r w:rsidRPr="005D1B31">
        <w:rPr>
          <w:lang w:val="fr-FR"/>
        </w:rPr>
        <w:tab/>
      </w:r>
      <w:r w:rsidRPr="005D1B31">
        <w:rPr>
          <w:lang w:val="fr-FR"/>
        </w:rPr>
        <w:tab/>
        <w:t>Rapport du Comité d</w:t>
      </w:r>
      <w:r w:rsidR="00341801">
        <w:rPr>
          <w:lang w:val="fr-FR"/>
        </w:rPr>
        <w:t>’</w:t>
      </w:r>
      <w:r w:rsidRPr="005D1B31">
        <w:rPr>
          <w:lang w:val="fr-FR"/>
        </w:rPr>
        <w:t xml:space="preserve">experts du transport des marchandises </w:t>
      </w:r>
      <w:r w:rsidRPr="00E56893">
        <w:rPr>
          <w:spacing w:val="-2"/>
          <w:lang w:val="fr-FR"/>
        </w:rPr>
        <w:t>dangereuses et du Système général harmonisé de classification</w:t>
      </w:r>
      <w:r w:rsidRPr="005D1B31">
        <w:rPr>
          <w:lang w:val="fr-FR"/>
        </w:rPr>
        <w:t xml:space="preserve"> </w:t>
      </w:r>
      <w:r w:rsidRPr="00E56893">
        <w:rPr>
          <w:spacing w:val="-2"/>
          <w:lang w:val="fr-FR"/>
        </w:rPr>
        <w:t>et d</w:t>
      </w:r>
      <w:r w:rsidR="00341801">
        <w:rPr>
          <w:spacing w:val="-2"/>
          <w:lang w:val="fr-FR"/>
        </w:rPr>
        <w:t>’</w:t>
      </w:r>
      <w:r w:rsidRPr="00E56893">
        <w:rPr>
          <w:spacing w:val="-2"/>
          <w:lang w:val="fr-FR"/>
        </w:rPr>
        <w:t>étiquetage des produits chimiques sur sa neuvième session</w:t>
      </w:r>
    </w:p>
    <w:p w14:paraId="183A65B8" w14:textId="77777777" w:rsidR="00E56893" w:rsidRPr="005D1B31" w:rsidRDefault="00E56893" w:rsidP="00E53256">
      <w:pPr>
        <w:pStyle w:val="H56G"/>
        <w:spacing w:after="240"/>
      </w:pPr>
      <w:r w:rsidRPr="005D1B31">
        <w:rPr>
          <w:lang w:val="fr-FR"/>
        </w:rPr>
        <w:tab/>
      </w:r>
      <w:r w:rsidRPr="005D1B31">
        <w:rPr>
          <w:lang w:val="fr-FR"/>
        </w:rPr>
        <w:tab/>
      </w:r>
      <w:r>
        <w:rPr>
          <w:lang w:val="fr-FR"/>
        </w:rPr>
        <w:t>T</w:t>
      </w:r>
      <w:r w:rsidRPr="005D1B31">
        <w:rPr>
          <w:lang w:val="fr-FR"/>
        </w:rPr>
        <w:t>enue à Genève le 7 décembre 2018</w:t>
      </w:r>
    </w:p>
    <w:p w14:paraId="135D10B9" w14:textId="77777777" w:rsidR="00E56893" w:rsidRPr="00E56893" w:rsidRDefault="00E56893" w:rsidP="00E56893">
      <w:pPr>
        <w:spacing w:after="120"/>
        <w:rPr>
          <w:sz w:val="28"/>
        </w:rPr>
      </w:pPr>
      <w:r w:rsidRPr="00E56893">
        <w:rPr>
          <w:sz w:val="28"/>
        </w:rPr>
        <w:t>Table des matières</w:t>
      </w:r>
    </w:p>
    <w:p w14:paraId="74574A9E" w14:textId="77777777" w:rsidR="00E56893" w:rsidRPr="00E56893" w:rsidRDefault="00E56893" w:rsidP="00E56893">
      <w:pPr>
        <w:tabs>
          <w:tab w:val="right" w:pos="8929"/>
          <w:tab w:val="right" w:pos="9638"/>
        </w:tabs>
        <w:spacing w:after="120"/>
        <w:ind w:left="283"/>
        <w:rPr>
          <w:i/>
          <w:sz w:val="18"/>
        </w:rPr>
      </w:pPr>
      <w:r w:rsidRPr="00E56893">
        <w:rPr>
          <w:i/>
          <w:sz w:val="18"/>
        </w:rPr>
        <w:tab/>
        <w:t>Paragraphes</w:t>
      </w:r>
      <w:r w:rsidRPr="00E56893">
        <w:rPr>
          <w:i/>
          <w:sz w:val="18"/>
        </w:rPr>
        <w:tab/>
        <w:t>Page</w:t>
      </w:r>
    </w:p>
    <w:p w14:paraId="53D67F31" w14:textId="77777777" w:rsidR="00193F9B" w:rsidRDefault="00193F9B" w:rsidP="00193F9B">
      <w:pPr>
        <w:tabs>
          <w:tab w:val="right" w:pos="850"/>
          <w:tab w:val="right" w:leader="dot" w:pos="7654"/>
          <w:tab w:val="right" w:pos="8929"/>
          <w:tab w:val="right" w:pos="9638"/>
        </w:tabs>
        <w:spacing w:after="120"/>
        <w:ind w:left="1134" w:hanging="1134"/>
      </w:pPr>
      <w:r>
        <w:tab/>
        <w:t>I.</w:t>
      </w:r>
      <w:r>
        <w:tab/>
      </w:r>
      <w:r w:rsidR="007A2465" w:rsidRPr="005D1B31">
        <w:rPr>
          <w:lang w:val="fr-FR"/>
        </w:rPr>
        <w:t>Participation</w:t>
      </w:r>
      <w:r>
        <w:tab/>
      </w:r>
      <w:r>
        <w:tab/>
      </w:r>
      <w:r w:rsidR="007A2465">
        <w:t>1−4</w:t>
      </w:r>
      <w:r>
        <w:tab/>
      </w:r>
      <w:r w:rsidR="007A2465">
        <w:t>3</w:t>
      </w:r>
    </w:p>
    <w:p w14:paraId="66DA54F0" w14:textId="77777777" w:rsidR="00193F9B" w:rsidRDefault="00193F9B" w:rsidP="00193F9B">
      <w:pPr>
        <w:tabs>
          <w:tab w:val="right" w:pos="850"/>
          <w:tab w:val="right" w:leader="dot" w:pos="7654"/>
          <w:tab w:val="right" w:pos="8929"/>
          <w:tab w:val="right" w:pos="9638"/>
        </w:tabs>
        <w:spacing w:after="120"/>
        <w:ind w:left="1134" w:hanging="1134"/>
      </w:pPr>
      <w:r>
        <w:tab/>
        <w:t>II.</w:t>
      </w:r>
      <w:r>
        <w:tab/>
      </w:r>
      <w:r w:rsidR="007A2465" w:rsidRPr="005D1B31">
        <w:rPr>
          <w:lang w:val="fr-FR"/>
        </w:rPr>
        <w:t xml:space="preserve">Adoption de </w:t>
      </w:r>
      <w:r w:rsidR="007A2465" w:rsidRPr="0056094D">
        <w:t>l</w:t>
      </w:r>
      <w:r w:rsidR="00341801">
        <w:t>’</w:t>
      </w:r>
      <w:r w:rsidR="007A2465" w:rsidRPr="0056094D">
        <w:t>ordre</w:t>
      </w:r>
      <w:r w:rsidR="007A2465" w:rsidRPr="005D1B31">
        <w:rPr>
          <w:lang w:val="fr-FR"/>
        </w:rPr>
        <w:t xml:space="preserve"> du jour (point 1 de l</w:t>
      </w:r>
      <w:r w:rsidR="00341801">
        <w:rPr>
          <w:lang w:val="fr-FR"/>
        </w:rPr>
        <w:t>’</w:t>
      </w:r>
      <w:r w:rsidR="007A2465" w:rsidRPr="005D1B31">
        <w:rPr>
          <w:lang w:val="fr-FR"/>
        </w:rPr>
        <w:t>ordre du jour)</w:t>
      </w:r>
      <w:r>
        <w:tab/>
      </w:r>
      <w:r>
        <w:tab/>
      </w:r>
      <w:r w:rsidR="007A2465">
        <w:t>5</w:t>
      </w:r>
      <w:r>
        <w:tab/>
      </w:r>
      <w:r w:rsidR="007E7C93">
        <w:t>3</w:t>
      </w:r>
    </w:p>
    <w:p w14:paraId="60F968BB" w14:textId="77777777" w:rsidR="00193F9B" w:rsidRDefault="00193F9B" w:rsidP="00193F9B">
      <w:pPr>
        <w:tabs>
          <w:tab w:val="right" w:pos="850"/>
          <w:tab w:val="right" w:leader="dot" w:pos="7654"/>
          <w:tab w:val="right" w:pos="8929"/>
          <w:tab w:val="right" w:pos="9638"/>
        </w:tabs>
        <w:spacing w:after="120"/>
        <w:ind w:left="1134" w:hanging="1134"/>
      </w:pPr>
      <w:r>
        <w:tab/>
        <w:t>III.</w:t>
      </w:r>
      <w:r>
        <w:tab/>
      </w:r>
      <w:r w:rsidR="007E7C93" w:rsidRPr="005D1B31">
        <w:rPr>
          <w:lang w:val="fr-FR"/>
        </w:rPr>
        <w:t>Élection du Bureau (point 2 de l</w:t>
      </w:r>
      <w:r w:rsidR="00341801">
        <w:rPr>
          <w:lang w:val="fr-FR"/>
        </w:rPr>
        <w:t>’</w:t>
      </w:r>
      <w:r w:rsidR="007E7C93" w:rsidRPr="005D1B31">
        <w:rPr>
          <w:lang w:val="fr-FR"/>
        </w:rPr>
        <w:t>ordre du jour)</w:t>
      </w:r>
      <w:r>
        <w:tab/>
      </w:r>
      <w:r>
        <w:tab/>
      </w:r>
      <w:r w:rsidR="007A2465">
        <w:t>6</w:t>
      </w:r>
      <w:r>
        <w:tab/>
      </w:r>
      <w:r w:rsidR="007E7C93">
        <w:t>3</w:t>
      </w:r>
    </w:p>
    <w:p w14:paraId="5B33BD33" w14:textId="77777777" w:rsidR="00193F9B" w:rsidRDefault="00193F9B" w:rsidP="00193F9B">
      <w:pPr>
        <w:tabs>
          <w:tab w:val="right" w:pos="850"/>
          <w:tab w:val="right" w:leader="dot" w:pos="7654"/>
          <w:tab w:val="right" w:pos="8929"/>
          <w:tab w:val="right" w:pos="9638"/>
        </w:tabs>
        <w:spacing w:after="120"/>
        <w:ind w:left="1134" w:hanging="1134"/>
      </w:pPr>
      <w:r>
        <w:tab/>
        <w:t>IV.</w:t>
      </w:r>
      <w:r>
        <w:tab/>
      </w:r>
      <w:r w:rsidR="00A519FE" w:rsidRPr="00014479">
        <w:t>Résolutions</w:t>
      </w:r>
      <w:r w:rsidR="00A519FE" w:rsidRPr="005D1B31">
        <w:rPr>
          <w:lang w:val="fr-FR"/>
        </w:rPr>
        <w:t xml:space="preserve"> et décisions du Conseil économique et social </w:t>
      </w:r>
      <w:r w:rsidR="00A519FE">
        <w:rPr>
          <w:lang w:val="fr-FR"/>
        </w:rPr>
        <w:br/>
      </w:r>
      <w:r w:rsidR="00A519FE" w:rsidRPr="005D1B31">
        <w:rPr>
          <w:lang w:val="fr-FR"/>
        </w:rPr>
        <w:t>(point 3 de l</w:t>
      </w:r>
      <w:r w:rsidR="00341801">
        <w:rPr>
          <w:lang w:val="fr-FR"/>
        </w:rPr>
        <w:t>’</w:t>
      </w:r>
      <w:r w:rsidR="00A519FE" w:rsidRPr="005D1B31">
        <w:rPr>
          <w:lang w:val="fr-FR"/>
        </w:rPr>
        <w:t>ordre du jour)</w:t>
      </w:r>
      <w:r>
        <w:tab/>
      </w:r>
      <w:r>
        <w:tab/>
      </w:r>
      <w:r w:rsidR="007A2465">
        <w:t>7−9</w:t>
      </w:r>
      <w:r>
        <w:tab/>
      </w:r>
      <w:r w:rsidR="004B0ABB">
        <w:t>3</w:t>
      </w:r>
    </w:p>
    <w:p w14:paraId="6AEE439D" w14:textId="77777777" w:rsidR="00193F9B" w:rsidRDefault="00193F9B" w:rsidP="00193F9B">
      <w:pPr>
        <w:tabs>
          <w:tab w:val="right" w:pos="850"/>
          <w:tab w:val="right" w:leader="dot" w:pos="7654"/>
          <w:tab w:val="right" w:pos="8929"/>
          <w:tab w:val="right" w:pos="9638"/>
        </w:tabs>
        <w:spacing w:after="120"/>
        <w:ind w:left="1134" w:hanging="1134"/>
      </w:pPr>
      <w:r>
        <w:tab/>
        <w:t>V.</w:t>
      </w:r>
      <w:r>
        <w:tab/>
      </w:r>
      <w:r w:rsidR="00A519FE" w:rsidRPr="004A6271">
        <w:t>Travaux</w:t>
      </w:r>
      <w:r w:rsidR="00A519FE" w:rsidRPr="005D1B31">
        <w:rPr>
          <w:lang w:val="fr-FR"/>
        </w:rPr>
        <w:t xml:space="preserve"> du Sous-Comité d</w:t>
      </w:r>
      <w:r w:rsidR="00341801">
        <w:rPr>
          <w:lang w:val="fr-FR"/>
        </w:rPr>
        <w:t>’</w:t>
      </w:r>
      <w:r w:rsidR="00A519FE" w:rsidRPr="005D1B31">
        <w:rPr>
          <w:lang w:val="fr-FR"/>
        </w:rPr>
        <w:t>experts du transport des marchandises dangereuses</w:t>
      </w:r>
      <w:r w:rsidR="00A519FE">
        <w:rPr>
          <w:lang w:val="fr-FR"/>
        </w:rPr>
        <w:br/>
      </w:r>
      <w:r w:rsidR="00A519FE" w:rsidRPr="005D1B31">
        <w:rPr>
          <w:lang w:val="fr-FR"/>
        </w:rPr>
        <w:t>pendant l</w:t>
      </w:r>
      <w:r w:rsidR="00341801">
        <w:rPr>
          <w:lang w:val="fr-FR"/>
        </w:rPr>
        <w:t>’</w:t>
      </w:r>
      <w:r w:rsidR="00A519FE" w:rsidRPr="005D1B31">
        <w:rPr>
          <w:lang w:val="fr-FR"/>
        </w:rPr>
        <w:t xml:space="preserve">exercice biennal </w:t>
      </w:r>
      <w:r w:rsidR="00A519FE" w:rsidRPr="00CB5453">
        <w:rPr>
          <w:lang w:val="fr-FR"/>
        </w:rPr>
        <w:t>2017-2018</w:t>
      </w:r>
      <w:r w:rsidR="00A519FE" w:rsidRPr="005D1B31">
        <w:rPr>
          <w:lang w:val="fr-FR"/>
        </w:rPr>
        <w:t xml:space="preserve"> (point 4 de l</w:t>
      </w:r>
      <w:r w:rsidR="00341801">
        <w:rPr>
          <w:lang w:val="fr-FR"/>
        </w:rPr>
        <w:t>’</w:t>
      </w:r>
      <w:r w:rsidR="00A519FE" w:rsidRPr="005D1B31">
        <w:rPr>
          <w:lang w:val="fr-FR"/>
        </w:rPr>
        <w:t>ordre du jour)</w:t>
      </w:r>
      <w:r>
        <w:tab/>
      </w:r>
      <w:r>
        <w:tab/>
      </w:r>
      <w:r w:rsidR="007A2465">
        <w:t>10−11</w:t>
      </w:r>
      <w:r>
        <w:tab/>
      </w:r>
      <w:r w:rsidR="004B0ABB">
        <w:t>4</w:t>
      </w:r>
    </w:p>
    <w:p w14:paraId="51A4C210" w14:textId="77777777" w:rsidR="00193F9B" w:rsidRDefault="00193F9B" w:rsidP="00193F9B">
      <w:pPr>
        <w:tabs>
          <w:tab w:val="right" w:pos="850"/>
          <w:tab w:val="right" w:leader="dot" w:pos="7654"/>
          <w:tab w:val="right" w:pos="8929"/>
          <w:tab w:val="right" w:pos="9638"/>
        </w:tabs>
        <w:spacing w:after="120"/>
        <w:ind w:left="1134" w:hanging="1134"/>
      </w:pPr>
      <w:r>
        <w:tab/>
        <w:t>VI.</w:t>
      </w:r>
      <w:r>
        <w:tab/>
      </w:r>
      <w:r w:rsidR="00A519FE" w:rsidRPr="005D1B31">
        <w:rPr>
          <w:lang w:val="fr-FR"/>
        </w:rPr>
        <w:t>Travaux du Sous-Comité d</w:t>
      </w:r>
      <w:r w:rsidR="00341801">
        <w:rPr>
          <w:lang w:val="fr-FR"/>
        </w:rPr>
        <w:t>’</w:t>
      </w:r>
      <w:r w:rsidR="00A519FE" w:rsidRPr="005D1B31">
        <w:rPr>
          <w:lang w:val="fr-FR"/>
        </w:rPr>
        <w:t xml:space="preserve">experts du Système général harmonisé </w:t>
      </w:r>
      <w:r w:rsidR="00A519FE">
        <w:rPr>
          <w:lang w:val="fr-FR"/>
        </w:rPr>
        <w:br/>
      </w:r>
      <w:r w:rsidR="00A519FE" w:rsidRPr="005D1B31">
        <w:rPr>
          <w:lang w:val="fr-FR"/>
        </w:rPr>
        <w:t>de classification et d</w:t>
      </w:r>
      <w:r w:rsidR="00341801">
        <w:rPr>
          <w:lang w:val="fr-FR"/>
        </w:rPr>
        <w:t>’</w:t>
      </w:r>
      <w:r w:rsidR="00A519FE" w:rsidRPr="005D1B31">
        <w:rPr>
          <w:lang w:val="fr-FR"/>
        </w:rPr>
        <w:t>étiquetage des produits chimiques pendant</w:t>
      </w:r>
      <w:r w:rsidR="00A519FE">
        <w:rPr>
          <w:lang w:val="fr-FR"/>
        </w:rPr>
        <w:br/>
      </w:r>
      <w:r w:rsidR="00A519FE" w:rsidRPr="005D1B31">
        <w:rPr>
          <w:lang w:val="fr-FR"/>
        </w:rPr>
        <w:t>la période biennale 201</w:t>
      </w:r>
      <w:r w:rsidR="00A519FE">
        <w:rPr>
          <w:lang w:val="fr-FR"/>
        </w:rPr>
        <w:t>7</w:t>
      </w:r>
      <w:r w:rsidR="00A519FE" w:rsidRPr="005D1B31">
        <w:rPr>
          <w:lang w:val="fr-FR"/>
        </w:rPr>
        <w:t>-201</w:t>
      </w:r>
      <w:r w:rsidR="00A519FE">
        <w:rPr>
          <w:lang w:val="fr-FR"/>
        </w:rPr>
        <w:t>8</w:t>
      </w:r>
      <w:r w:rsidR="00A519FE" w:rsidRPr="005D1B31">
        <w:rPr>
          <w:lang w:val="fr-FR"/>
        </w:rPr>
        <w:t xml:space="preserve"> (point 5 de l</w:t>
      </w:r>
      <w:r w:rsidR="00341801">
        <w:rPr>
          <w:lang w:val="fr-FR"/>
        </w:rPr>
        <w:t>’</w:t>
      </w:r>
      <w:r w:rsidR="00A519FE" w:rsidRPr="005D1B31">
        <w:rPr>
          <w:lang w:val="fr-FR"/>
        </w:rPr>
        <w:t>ordre du jour)</w:t>
      </w:r>
      <w:r>
        <w:tab/>
      </w:r>
      <w:r>
        <w:tab/>
      </w:r>
      <w:r w:rsidR="007A2465">
        <w:t>12−13</w:t>
      </w:r>
      <w:r>
        <w:tab/>
      </w:r>
      <w:r w:rsidR="004B0ABB">
        <w:t>4</w:t>
      </w:r>
    </w:p>
    <w:p w14:paraId="38B5CC89" w14:textId="77777777" w:rsidR="0099458C" w:rsidRDefault="0099458C" w:rsidP="0099458C">
      <w:pPr>
        <w:tabs>
          <w:tab w:val="right" w:pos="850"/>
          <w:tab w:val="right" w:leader="dot" w:pos="7654"/>
          <w:tab w:val="right" w:pos="8929"/>
          <w:tab w:val="right" w:pos="9638"/>
        </w:tabs>
        <w:spacing w:after="120"/>
        <w:ind w:left="1134" w:hanging="1134"/>
      </w:pPr>
      <w:r>
        <w:tab/>
        <w:t>VII.</w:t>
      </w:r>
      <w:r>
        <w:tab/>
      </w:r>
      <w:r w:rsidR="00A519FE" w:rsidRPr="005D1B31">
        <w:rPr>
          <w:lang w:val="fr-FR"/>
        </w:rPr>
        <w:t xml:space="preserve">Programme de </w:t>
      </w:r>
      <w:r w:rsidR="00A519FE" w:rsidRPr="00A519FE">
        <w:t>travail</w:t>
      </w:r>
      <w:r w:rsidR="00A519FE" w:rsidRPr="005D1B31">
        <w:rPr>
          <w:lang w:val="fr-FR"/>
        </w:rPr>
        <w:t xml:space="preserve"> pour la période biennale 2019-2020 </w:t>
      </w:r>
      <w:r w:rsidR="00A519FE">
        <w:rPr>
          <w:lang w:val="fr-FR"/>
        </w:rPr>
        <w:br/>
      </w:r>
      <w:r w:rsidR="00A519FE" w:rsidRPr="005D1B31">
        <w:rPr>
          <w:lang w:val="fr-FR"/>
        </w:rPr>
        <w:t>(point 6 de l</w:t>
      </w:r>
      <w:r w:rsidR="00341801">
        <w:rPr>
          <w:lang w:val="fr-FR"/>
        </w:rPr>
        <w:t>’</w:t>
      </w:r>
      <w:r w:rsidR="00A519FE" w:rsidRPr="005D1B31">
        <w:rPr>
          <w:lang w:val="fr-FR"/>
        </w:rPr>
        <w:t>ordre du jour)</w:t>
      </w:r>
      <w:r>
        <w:tab/>
      </w:r>
      <w:r>
        <w:tab/>
      </w:r>
      <w:r w:rsidR="007A2465">
        <w:t>14−17</w:t>
      </w:r>
      <w:r>
        <w:tab/>
      </w:r>
      <w:r w:rsidR="004B0ABB">
        <w:t>5</w:t>
      </w:r>
    </w:p>
    <w:p w14:paraId="31746CC0" w14:textId="77777777" w:rsidR="0099458C" w:rsidRDefault="0099458C" w:rsidP="0099458C">
      <w:pPr>
        <w:tabs>
          <w:tab w:val="right" w:leader="dot" w:pos="7654"/>
          <w:tab w:val="right" w:pos="8929"/>
          <w:tab w:val="right" w:pos="9638"/>
        </w:tabs>
        <w:spacing w:after="120"/>
        <w:ind w:left="1559" w:hanging="425"/>
      </w:pPr>
      <w:r>
        <w:t>A.</w:t>
      </w:r>
      <w:r>
        <w:tab/>
      </w:r>
      <w:r w:rsidR="009B1AA6" w:rsidRPr="005D1B31">
        <w:rPr>
          <w:lang w:val="fr-FR"/>
        </w:rPr>
        <w:t>Programme de travail</w:t>
      </w:r>
      <w:r>
        <w:tab/>
      </w:r>
      <w:r>
        <w:tab/>
      </w:r>
      <w:r w:rsidR="007A2465">
        <w:t>14</w:t>
      </w:r>
      <w:r>
        <w:tab/>
      </w:r>
      <w:r w:rsidR="004B0ABB">
        <w:t>5</w:t>
      </w:r>
    </w:p>
    <w:p w14:paraId="5A7CD871" w14:textId="77777777" w:rsidR="0099458C" w:rsidRDefault="0099458C" w:rsidP="0099458C">
      <w:pPr>
        <w:tabs>
          <w:tab w:val="right" w:leader="dot" w:pos="7654"/>
          <w:tab w:val="right" w:pos="8929"/>
          <w:tab w:val="right" w:pos="9638"/>
        </w:tabs>
        <w:spacing w:after="120"/>
        <w:ind w:left="1559" w:hanging="425"/>
      </w:pPr>
      <w:r>
        <w:t>B.</w:t>
      </w:r>
      <w:r>
        <w:tab/>
      </w:r>
      <w:r w:rsidR="00B26560" w:rsidRPr="00FC6D8E">
        <w:t>Calendrier</w:t>
      </w:r>
      <w:r w:rsidR="00B26560" w:rsidRPr="005D1B31">
        <w:rPr>
          <w:lang w:val="fr-FR"/>
        </w:rPr>
        <w:t xml:space="preserve"> des réunions</w:t>
      </w:r>
      <w:r>
        <w:tab/>
      </w:r>
      <w:r>
        <w:tab/>
      </w:r>
      <w:r w:rsidR="007A2465">
        <w:t>15−17</w:t>
      </w:r>
      <w:r>
        <w:tab/>
      </w:r>
      <w:r w:rsidR="004B0ABB">
        <w:t>5</w:t>
      </w:r>
    </w:p>
    <w:p w14:paraId="028846F7" w14:textId="77777777" w:rsidR="0099458C" w:rsidRDefault="0099458C" w:rsidP="0099458C">
      <w:pPr>
        <w:tabs>
          <w:tab w:val="right" w:pos="850"/>
          <w:tab w:val="right" w:leader="dot" w:pos="7654"/>
          <w:tab w:val="right" w:pos="8929"/>
          <w:tab w:val="right" w:pos="9638"/>
        </w:tabs>
        <w:spacing w:after="120"/>
        <w:ind w:left="1134" w:hanging="1134"/>
      </w:pPr>
      <w:r>
        <w:tab/>
        <w:t>VIII.</w:t>
      </w:r>
      <w:r>
        <w:tab/>
      </w:r>
      <w:r w:rsidR="00A11CCE" w:rsidRPr="005D1B31">
        <w:rPr>
          <w:lang w:val="fr-FR"/>
        </w:rPr>
        <w:t>Projet de résolution 201</w:t>
      </w:r>
      <w:r w:rsidR="00A11CCE">
        <w:rPr>
          <w:lang w:val="fr-FR"/>
        </w:rPr>
        <w:t>9</w:t>
      </w:r>
      <w:r w:rsidR="00A11CCE" w:rsidRPr="005D1B31">
        <w:rPr>
          <w:lang w:val="fr-FR"/>
        </w:rPr>
        <w:t>/… du Conseil économique et social</w:t>
      </w:r>
      <w:r w:rsidR="00A11CCE">
        <w:rPr>
          <w:lang w:val="fr-FR"/>
        </w:rPr>
        <w:br/>
      </w:r>
      <w:r w:rsidR="00A11CCE" w:rsidRPr="005D1B31">
        <w:rPr>
          <w:lang w:val="fr-FR"/>
        </w:rPr>
        <w:t>(point 7 de l</w:t>
      </w:r>
      <w:r w:rsidR="00341801">
        <w:rPr>
          <w:lang w:val="fr-FR"/>
        </w:rPr>
        <w:t>’</w:t>
      </w:r>
      <w:r w:rsidR="00A11CCE" w:rsidRPr="005D1B31">
        <w:rPr>
          <w:lang w:val="fr-FR"/>
        </w:rPr>
        <w:t xml:space="preserve">ordre </w:t>
      </w:r>
      <w:r w:rsidR="00A11CCE" w:rsidRPr="00A11CCE">
        <w:t>du</w:t>
      </w:r>
      <w:r w:rsidR="00A11CCE" w:rsidRPr="005D1B31">
        <w:rPr>
          <w:lang w:val="fr-FR"/>
        </w:rPr>
        <w:t xml:space="preserve"> jour)</w:t>
      </w:r>
      <w:r>
        <w:tab/>
      </w:r>
      <w:r>
        <w:tab/>
      </w:r>
      <w:r w:rsidR="007A2465">
        <w:t>18</w:t>
      </w:r>
      <w:r>
        <w:tab/>
      </w:r>
      <w:r w:rsidR="004B0ABB">
        <w:t>6</w:t>
      </w:r>
    </w:p>
    <w:p w14:paraId="41171206" w14:textId="77777777" w:rsidR="0099458C" w:rsidRDefault="0099458C" w:rsidP="0099458C">
      <w:pPr>
        <w:tabs>
          <w:tab w:val="right" w:pos="850"/>
          <w:tab w:val="right" w:leader="dot" w:pos="7654"/>
          <w:tab w:val="right" w:pos="8929"/>
          <w:tab w:val="right" w:pos="9638"/>
        </w:tabs>
        <w:spacing w:after="120"/>
        <w:ind w:left="1134" w:hanging="1134"/>
      </w:pPr>
      <w:r>
        <w:tab/>
        <w:t>IX.</w:t>
      </w:r>
      <w:r>
        <w:tab/>
      </w:r>
      <w:r w:rsidR="00420B8D" w:rsidRPr="005D1B31">
        <w:rPr>
          <w:lang w:val="fr-FR"/>
        </w:rPr>
        <w:t>Questions diverses (point 8 de l</w:t>
      </w:r>
      <w:r w:rsidR="00341801">
        <w:rPr>
          <w:lang w:val="fr-FR"/>
        </w:rPr>
        <w:t>’</w:t>
      </w:r>
      <w:r w:rsidR="00420B8D" w:rsidRPr="005D1B31">
        <w:rPr>
          <w:lang w:val="fr-FR"/>
        </w:rPr>
        <w:t>ordre du jour)</w:t>
      </w:r>
      <w:r>
        <w:tab/>
      </w:r>
      <w:r>
        <w:tab/>
      </w:r>
      <w:r w:rsidR="007E7C93">
        <w:t>19</w:t>
      </w:r>
      <w:r>
        <w:tab/>
      </w:r>
      <w:r w:rsidR="004B0ABB">
        <w:t>6</w:t>
      </w:r>
    </w:p>
    <w:p w14:paraId="2D1B5509" w14:textId="77777777" w:rsidR="0099458C" w:rsidRDefault="0099458C" w:rsidP="0099458C">
      <w:pPr>
        <w:tabs>
          <w:tab w:val="right" w:pos="850"/>
          <w:tab w:val="right" w:leader="dot" w:pos="7654"/>
          <w:tab w:val="right" w:pos="8929"/>
          <w:tab w:val="right" w:pos="9638"/>
        </w:tabs>
        <w:spacing w:after="120"/>
        <w:ind w:left="1134" w:hanging="1134"/>
      </w:pPr>
      <w:r>
        <w:tab/>
        <w:t>X.</w:t>
      </w:r>
      <w:r>
        <w:tab/>
      </w:r>
      <w:r w:rsidR="00470E9A" w:rsidRPr="005D1B31">
        <w:rPr>
          <w:lang w:val="fr-FR"/>
        </w:rPr>
        <w:t>Adoption du rapport (point 9 de l</w:t>
      </w:r>
      <w:r w:rsidR="00341801">
        <w:rPr>
          <w:lang w:val="fr-FR"/>
        </w:rPr>
        <w:t>’</w:t>
      </w:r>
      <w:r w:rsidR="00470E9A" w:rsidRPr="005D1B31">
        <w:rPr>
          <w:lang w:val="fr-FR"/>
        </w:rPr>
        <w:t>ordre du jour)</w:t>
      </w:r>
      <w:r>
        <w:tab/>
      </w:r>
      <w:r>
        <w:tab/>
      </w:r>
      <w:r w:rsidR="007E7C93">
        <w:t>20</w:t>
      </w:r>
      <w:r>
        <w:tab/>
      </w:r>
      <w:r w:rsidR="004B0ABB">
        <w:t>6</w:t>
      </w:r>
    </w:p>
    <w:p w14:paraId="0C9A177C" w14:textId="77777777" w:rsidR="00E941A9" w:rsidRPr="00145A19" w:rsidRDefault="00E941A9" w:rsidP="009D7B98">
      <w:pPr>
        <w:keepNext/>
        <w:keepLines/>
        <w:tabs>
          <w:tab w:val="right" w:pos="850"/>
        </w:tabs>
        <w:spacing w:after="120"/>
      </w:pPr>
      <w:r>
        <w:lastRenderedPageBreak/>
        <w:tab/>
        <w:t>Annexes</w:t>
      </w:r>
    </w:p>
    <w:p w14:paraId="0E83A207" w14:textId="77777777" w:rsidR="00E941A9" w:rsidRDefault="00E941A9" w:rsidP="009D7B98">
      <w:pPr>
        <w:keepNext/>
        <w:keepLines/>
        <w:tabs>
          <w:tab w:val="right" w:pos="850"/>
          <w:tab w:val="right" w:leader="dot" w:pos="8929"/>
          <w:tab w:val="right" w:pos="9638"/>
        </w:tabs>
        <w:spacing w:after="120"/>
        <w:ind w:left="1134" w:hanging="1134"/>
      </w:pPr>
      <w:r>
        <w:tab/>
        <w:t>I.</w:t>
      </w:r>
      <w:r>
        <w:tab/>
      </w:r>
      <w:r w:rsidR="009D7B98" w:rsidRPr="005D1B31">
        <w:rPr>
          <w:lang w:val="fr-FR"/>
        </w:rPr>
        <w:t>Amendements à la vingtième édition révisée des Recommandations relatives au transport des marchandises dangereuses, Règlement type (ST/SG/AC.10/1/Rev.20)</w:t>
      </w:r>
      <w:r w:rsidR="009D7B98" w:rsidRPr="009D7B98">
        <w:rPr>
          <w:rStyle w:val="FootnoteReference"/>
          <w:sz w:val="20"/>
          <w:vertAlign w:val="baseline"/>
        </w:rPr>
        <w:footnoteReference w:customMarkFollows="1" w:id="2"/>
        <w:t>*</w:t>
      </w:r>
      <w:r>
        <w:tab/>
      </w:r>
      <w:r>
        <w:tab/>
      </w:r>
      <w:r w:rsidR="00554C41">
        <w:t>7</w:t>
      </w:r>
    </w:p>
    <w:p w14:paraId="6AEB9FF0" w14:textId="77777777" w:rsidR="00E941A9" w:rsidRDefault="00E941A9" w:rsidP="00E941A9">
      <w:pPr>
        <w:tabs>
          <w:tab w:val="right" w:pos="850"/>
          <w:tab w:val="right" w:leader="dot" w:pos="8929"/>
          <w:tab w:val="right" w:pos="9638"/>
        </w:tabs>
        <w:spacing w:after="120"/>
        <w:ind w:left="1134" w:hanging="1134"/>
      </w:pPr>
      <w:r>
        <w:tab/>
        <w:t>II.</w:t>
      </w:r>
      <w:r>
        <w:tab/>
      </w:r>
      <w:r w:rsidR="009D7B98" w:rsidRPr="005D1B31">
        <w:rPr>
          <w:lang w:val="fr-FR"/>
        </w:rPr>
        <w:t xml:space="preserve">Amendements à la sixième édition révisée des Recommandations relatives au transport </w:t>
      </w:r>
      <w:r w:rsidR="009D7B98" w:rsidRPr="005D1B31">
        <w:rPr>
          <w:lang w:val="fr-FR"/>
        </w:rPr>
        <w:br/>
      </w:r>
      <w:r w:rsidR="009D7B98" w:rsidRPr="005D1B31">
        <w:rPr>
          <w:spacing w:val="-2"/>
          <w:lang w:val="fr-FR"/>
        </w:rPr>
        <w:t>des marchandises dangereuses, Manuel d’épreuves</w:t>
      </w:r>
      <w:r w:rsidR="009D7B98" w:rsidRPr="005D1B31">
        <w:rPr>
          <w:lang w:val="fr-FR"/>
        </w:rPr>
        <w:t xml:space="preserve"> et de critères </w:t>
      </w:r>
      <w:r w:rsidR="009D7B98">
        <w:rPr>
          <w:lang w:val="fr-FR"/>
        </w:rPr>
        <w:br/>
      </w:r>
      <w:r w:rsidR="009D7B98" w:rsidRPr="005D1B31">
        <w:rPr>
          <w:lang w:val="fr-FR"/>
        </w:rPr>
        <w:t>(ST/SG/AC.10/11/Rev.6 et Amend</w:t>
      </w:r>
      <w:r w:rsidR="009D7B98">
        <w:rPr>
          <w:lang w:val="fr-FR"/>
        </w:rPr>
        <w:t>.</w:t>
      </w:r>
      <w:r w:rsidR="009D7B98" w:rsidRPr="005D1B31">
        <w:rPr>
          <w:lang w:val="fr-FR"/>
        </w:rPr>
        <w:t>1)</w:t>
      </w:r>
      <w:r w:rsidR="009D7B98" w:rsidRPr="009D7B98">
        <w:rPr>
          <w:rStyle w:val="FootnoteReference"/>
          <w:sz w:val="20"/>
          <w:vertAlign w:val="baseline"/>
        </w:rPr>
        <w:footnoteReference w:customMarkFollows="1" w:id="3"/>
        <w:t>**</w:t>
      </w:r>
      <w:r>
        <w:tab/>
      </w:r>
      <w:r>
        <w:tab/>
      </w:r>
      <w:r w:rsidR="00554C41">
        <w:t>7</w:t>
      </w:r>
    </w:p>
    <w:p w14:paraId="6C639945" w14:textId="77777777" w:rsidR="00E941A9" w:rsidRDefault="00E941A9" w:rsidP="00E941A9">
      <w:pPr>
        <w:tabs>
          <w:tab w:val="right" w:pos="850"/>
          <w:tab w:val="right" w:leader="dot" w:pos="8929"/>
          <w:tab w:val="right" w:pos="9638"/>
        </w:tabs>
        <w:spacing w:after="120"/>
        <w:ind w:left="1134" w:hanging="1134"/>
      </w:pPr>
      <w:r>
        <w:tab/>
        <w:t>III.</w:t>
      </w:r>
      <w:r>
        <w:tab/>
      </w:r>
      <w:r w:rsidR="009D7B98" w:rsidRPr="005D1B31">
        <w:rPr>
          <w:lang w:val="fr-FR"/>
        </w:rPr>
        <w:t xml:space="preserve">Amendements à la septième édition révisée du Système général harmonisé de classification </w:t>
      </w:r>
      <w:r w:rsidR="009D7B98" w:rsidRPr="005D1B31">
        <w:rPr>
          <w:lang w:val="fr-FR"/>
        </w:rPr>
        <w:br/>
        <w:t>et d’étiquetage des produits chimiques (SGH) (ST/SG/AC.10/30/Rev.7)</w:t>
      </w:r>
      <w:r w:rsidR="009D7B98" w:rsidRPr="009D7B98">
        <w:rPr>
          <w:rStyle w:val="FootnoteReference"/>
          <w:sz w:val="20"/>
          <w:vertAlign w:val="baseline"/>
        </w:rPr>
        <w:footnoteReference w:customMarkFollows="1" w:id="4"/>
        <w:t>***</w:t>
      </w:r>
      <w:r>
        <w:tab/>
      </w:r>
      <w:r>
        <w:tab/>
      </w:r>
      <w:r w:rsidR="00554C41">
        <w:t>7</w:t>
      </w:r>
    </w:p>
    <w:p w14:paraId="43FBD93D" w14:textId="77777777" w:rsidR="00E941A9" w:rsidRDefault="00E941A9" w:rsidP="00E941A9">
      <w:pPr>
        <w:tabs>
          <w:tab w:val="right" w:pos="850"/>
          <w:tab w:val="right" w:leader="dot" w:pos="8929"/>
          <w:tab w:val="right" w:pos="9638"/>
        </w:tabs>
        <w:spacing w:after="120"/>
        <w:ind w:left="1134" w:hanging="1134"/>
      </w:pPr>
      <w:r>
        <w:tab/>
        <w:t>IV.</w:t>
      </w:r>
      <w:r>
        <w:tab/>
      </w:r>
      <w:r w:rsidR="009D7B98" w:rsidRPr="005D1B31">
        <w:rPr>
          <w:lang w:val="fr-FR"/>
        </w:rPr>
        <w:t>Projet de résolution 2019/… du Conseil économique et social</w:t>
      </w:r>
      <w:r>
        <w:tab/>
      </w:r>
      <w:r>
        <w:tab/>
      </w:r>
      <w:r w:rsidR="00554C41">
        <w:t>8</w:t>
      </w:r>
    </w:p>
    <w:p w14:paraId="2FC9C5AA" w14:textId="77777777" w:rsidR="00E941A9" w:rsidRPr="00CB7EA7" w:rsidRDefault="00193F9B" w:rsidP="00CB7EA7">
      <w:pPr>
        <w:pStyle w:val="HChG"/>
      </w:pPr>
      <w:r>
        <w:br w:type="page"/>
      </w:r>
      <w:bookmarkStart w:id="0" w:name="_GoBack"/>
      <w:bookmarkEnd w:id="0"/>
      <w:r w:rsidR="00CB7EA7">
        <w:lastRenderedPageBreak/>
        <w:tab/>
      </w:r>
      <w:r w:rsidR="00E941A9" w:rsidRPr="005D1B31">
        <w:rPr>
          <w:lang w:val="fr-FR"/>
        </w:rPr>
        <w:t>Rapport</w:t>
      </w:r>
    </w:p>
    <w:p w14:paraId="6AB0CFB1" w14:textId="77777777" w:rsidR="00E941A9" w:rsidRPr="00CB7EA7" w:rsidRDefault="00E941A9" w:rsidP="00CB7EA7">
      <w:pPr>
        <w:pStyle w:val="HChG"/>
      </w:pPr>
      <w:r w:rsidRPr="005D1B31">
        <w:rPr>
          <w:lang w:val="fr-FR"/>
        </w:rPr>
        <w:tab/>
        <w:t>I.</w:t>
      </w:r>
      <w:r w:rsidRPr="005D1B31">
        <w:rPr>
          <w:lang w:val="fr-FR"/>
        </w:rPr>
        <w:tab/>
        <w:t>Participation</w:t>
      </w:r>
    </w:p>
    <w:p w14:paraId="1C1C9757" w14:textId="77777777" w:rsidR="00E941A9" w:rsidRPr="005D1B31" w:rsidRDefault="0056094D" w:rsidP="0056094D">
      <w:pPr>
        <w:pStyle w:val="SingleTxtG"/>
      </w:pPr>
      <w:r w:rsidRPr="005D1B31">
        <w:t>1.</w:t>
      </w:r>
      <w:r w:rsidRPr="005D1B31">
        <w:tab/>
      </w:r>
      <w:r w:rsidR="00E941A9" w:rsidRPr="005D1B31">
        <w:rPr>
          <w:lang w:val="fr-FR"/>
        </w:rPr>
        <w:t>Le Comité d</w:t>
      </w:r>
      <w:r w:rsidR="00341801">
        <w:rPr>
          <w:lang w:val="fr-FR"/>
        </w:rPr>
        <w:t>’</w:t>
      </w:r>
      <w:r w:rsidR="00E941A9" w:rsidRPr="005D1B31">
        <w:rPr>
          <w:lang w:val="fr-FR"/>
        </w:rPr>
        <w:t>experts du transport des marchandises dangereuses et du Système général harmonisé de classification et d</w:t>
      </w:r>
      <w:r w:rsidR="00341801">
        <w:rPr>
          <w:lang w:val="fr-FR"/>
        </w:rPr>
        <w:t>’</w:t>
      </w:r>
      <w:r w:rsidR="00E941A9" w:rsidRPr="005D1B31">
        <w:rPr>
          <w:lang w:val="fr-FR"/>
        </w:rPr>
        <w:t>étiquetage des produits chimiques a tenu sa neuvième session à Genève le 7 décembre 2018.</w:t>
      </w:r>
    </w:p>
    <w:p w14:paraId="0FE69683" w14:textId="77777777" w:rsidR="00E941A9" w:rsidRPr="005D1B31" w:rsidRDefault="0056094D" w:rsidP="0056094D">
      <w:pPr>
        <w:pStyle w:val="ParNoG"/>
        <w:numPr>
          <w:ilvl w:val="0"/>
          <w:numId w:val="0"/>
        </w:numPr>
        <w:ind w:left="1134"/>
      </w:pPr>
      <w:r w:rsidRPr="005D1B31">
        <w:t>2.</w:t>
      </w:r>
      <w:r w:rsidRPr="005D1B31">
        <w:tab/>
      </w:r>
      <w:r w:rsidR="00E941A9" w:rsidRPr="005D1B31">
        <w:rPr>
          <w:lang w:val="fr-FR"/>
        </w:rPr>
        <w:t>Ont participé à cette session des experts des pays suivants : Allemagne, Australie, Autriche, Brésil, Canada, Chine, États-Unis d</w:t>
      </w:r>
      <w:r w:rsidR="00341801">
        <w:rPr>
          <w:lang w:val="fr-FR"/>
        </w:rPr>
        <w:t>’</w:t>
      </w:r>
      <w:r w:rsidR="00E941A9" w:rsidRPr="005D1B31">
        <w:rPr>
          <w:lang w:val="fr-FR"/>
        </w:rPr>
        <w:t>Amérique, France, Italie, Japon, Pays-Bas, République de Corée, Royaume-Uni de Grande-Bretagne et d</w:t>
      </w:r>
      <w:r w:rsidR="00341801">
        <w:rPr>
          <w:lang w:val="fr-FR"/>
        </w:rPr>
        <w:t>’</w:t>
      </w:r>
      <w:r w:rsidR="00E941A9" w:rsidRPr="005D1B31">
        <w:rPr>
          <w:lang w:val="fr-FR"/>
        </w:rPr>
        <w:t>Irlande du Nord, Suède et Suisse.</w:t>
      </w:r>
    </w:p>
    <w:p w14:paraId="1C28D205" w14:textId="77777777" w:rsidR="00E941A9" w:rsidRPr="005D1B31" w:rsidRDefault="0056094D" w:rsidP="0056094D">
      <w:pPr>
        <w:pStyle w:val="ParNoG"/>
        <w:numPr>
          <w:ilvl w:val="0"/>
          <w:numId w:val="0"/>
        </w:numPr>
        <w:ind w:left="1134"/>
      </w:pPr>
      <w:r w:rsidRPr="005D1B31">
        <w:t>3.</w:t>
      </w:r>
      <w:r w:rsidRPr="005D1B31">
        <w:tab/>
      </w:r>
      <w:r w:rsidR="00E941A9" w:rsidRPr="005D1B31">
        <w:rPr>
          <w:lang w:val="fr-FR"/>
        </w:rPr>
        <w:t>L</w:t>
      </w:r>
      <w:r w:rsidR="00341801">
        <w:rPr>
          <w:lang w:val="fr-FR"/>
        </w:rPr>
        <w:t>’</w:t>
      </w:r>
      <w:r w:rsidR="00E941A9" w:rsidRPr="005D1B31">
        <w:rPr>
          <w:lang w:val="fr-FR"/>
        </w:rPr>
        <w:t>Union européenne était représentée.</w:t>
      </w:r>
    </w:p>
    <w:p w14:paraId="650DC6A8" w14:textId="77777777" w:rsidR="00E941A9" w:rsidRPr="005D1B31" w:rsidRDefault="0056094D" w:rsidP="0056094D">
      <w:pPr>
        <w:pStyle w:val="ParNoG"/>
        <w:numPr>
          <w:ilvl w:val="0"/>
          <w:numId w:val="0"/>
        </w:numPr>
        <w:ind w:left="1134"/>
      </w:pPr>
      <w:r w:rsidRPr="005D1B31">
        <w:t>4.</w:t>
      </w:r>
      <w:r w:rsidRPr="005D1B31">
        <w:tab/>
      </w:r>
      <w:r w:rsidR="00E941A9" w:rsidRPr="005D1B31">
        <w:rPr>
          <w:lang w:val="fr-FR"/>
        </w:rPr>
        <w:t xml:space="preserve">Étaient également présents des représentants des organisations non gouvernementales ci-après : </w:t>
      </w:r>
      <w:proofErr w:type="spellStart"/>
      <w:r w:rsidR="00E941A9" w:rsidRPr="005D1B31">
        <w:rPr>
          <w:lang w:val="fr-FR"/>
        </w:rPr>
        <w:t>Australian</w:t>
      </w:r>
      <w:proofErr w:type="spellEnd"/>
      <w:r w:rsidR="00E941A9" w:rsidRPr="005D1B31">
        <w:rPr>
          <w:lang w:val="fr-FR"/>
        </w:rPr>
        <w:t xml:space="preserve"> Explosives </w:t>
      </w:r>
      <w:proofErr w:type="spellStart"/>
      <w:r w:rsidR="00E941A9" w:rsidRPr="005D1B31">
        <w:rPr>
          <w:lang w:val="fr-FR"/>
        </w:rPr>
        <w:t>Industry</w:t>
      </w:r>
      <w:proofErr w:type="spellEnd"/>
      <w:r w:rsidR="00E941A9" w:rsidRPr="005D1B31">
        <w:rPr>
          <w:lang w:val="fr-FR"/>
        </w:rPr>
        <w:t xml:space="preserve"> and </w:t>
      </w:r>
      <w:proofErr w:type="spellStart"/>
      <w:r w:rsidR="00E941A9" w:rsidRPr="005D1B31">
        <w:rPr>
          <w:lang w:val="fr-FR"/>
        </w:rPr>
        <w:t>Safety</w:t>
      </w:r>
      <w:proofErr w:type="spellEnd"/>
      <w:r w:rsidR="00E941A9" w:rsidRPr="005D1B31">
        <w:rPr>
          <w:lang w:val="fr-FR"/>
        </w:rPr>
        <w:t xml:space="preserve"> Group </w:t>
      </w:r>
      <w:proofErr w:type="spellStart"/>
      <w:r w:rsidR="00E941A9" w:rsidRPr="005D1B31">
        <w:rPr>
          <w:lang w:val="fr-FR"/>
        </w:rPr>
        <w:t>Incorporated</w:t>
      </w:r>
      <w:proofErr w:type="spellEnd"/>
      <w:r w:rsidR="00E941A9" w:rsidRPr="005D1B31">
        <w:rPr>
          <w:lang w:val="fr-FR"/>
        </w:rPr>
        <w:t xml:space="preserve"> (AEISG), </w:t>
      </w:r>
      <w:r w:rsidR="00E941A9" w:rsidRPr="00423027">
        <w:rPr>
          <w:lang w:val="fr-FR"/>
        </w:rPr>
        <w:t>Conseil européen de l</w:t>
      </w:r>
      <w:r w:rsidR="00341801">
        <w:rPr>
          <w:lang w:val="fr-FR"/>
        </w:rPr>
        <w:t>’</w:t>
      </w:r>
      <w:r w:rsidR="00E941A9" w:rsidRPr="00423027">
        <w:rPr>
          <w:lang w:val="fr-FR"/>
        </w:rPr>
        <w:t xml:space="preserve">industrie chimique (CEFIC), </w:t>
      </w:r>
      <w:r w:rsidR="00E941A9" w:rsidRPr="00423027">
        <w:t xml:space="preserve">Institute of </w:t>
      </w:r>
      <w:proofErr w:type="spellStart"/>
      <w:r w:rsidR="00E941A9" w:rsidRPr="00423027">
        <w:t>Makers</w:t>
      </w:r>
      <w:proofErr w:type="spellEnd"/>
      <w:r w:rsidR="00E941A9" w:rsidRPr="00423027">
        <w:t xml:space="preserve"> of Explosives (IME</w:t>
      </w:r>
      <w:r w:rsidR="00E941A9">
        <w:t xml:space="preserve">) et </w:t>
      </w:r>
      <w:r w:rsidR="00E941A9" w:rsidRPr="00423027">
        <w:t>Rechargeable Battery Association (PRBA)</w:t>
      </w:r>
      <w:r w:rsidR="00E941A9" w:rsidRPr="005D1B31">
        <w:rPr>
          <w:lang w:val="fr-FR"/>
        </w:rPr>
        <w:t>.</w:t>
      </w:r>
    </w:p>
    <w:p w14:paraId="5C8B07C0" w14:textId="77777777" w:rsidR="00E941A9" w:rsidRPr="005D1B31" w:rsidRDefault="00E941A9" w:rsidP="0056094D">
      <w:pPr>
        <w:pStyle w:val="HChG"/>
      </w:pPr>
      <w:r w:rsidRPr="005D1B31">
        <w:rPr>
          <w:lang w:val="fr-FR"/>
        </w:rPr>
        <w:tab/>
        <w:t>II.</w:t>
      </w:r>
      <w:r w:rsidRPr="005D1B31">
        <w:rPr>
          <w:lang w:val="fr-FR"/>
        </w:rPr>
        <w:tab/>
        <w:t xml:space="preserve">Adoption de </w:t>
      </w:r>
      <w:r w:rsidRPr="0056094D">
        <w:t>l</w:t>
      </w:r>
      <w:r w:rsidR="00341801">
        <w:t>’</w:t>
      </w:r>
      <w:r w:rsidRPr="0056094D">
        <w:t>ordre</w:t>
      </w:r>
      <w:r w:rsidRPr="005D1B31">
        <w:rPr>
          <w:lang w:val="fr-FR"/>
        </w:rPr>
        <w:t xml:space="preserve"> du jour (point 1 de l</w:t>
      </w:r>
      <w:r w:rsidR="00341801">
        <w:rPr>
          <w:lang w:val="fr-FR"/>
        </w:rPr>
        <w:t>’</w:t>
      </w:r>
      <w:r w:rsidRPr="005D1B31">
        <w:rPr>
          <w:lang w:val="fr-FR"/>
        </w:rPr>
        <w:t>ordre du jour)</w:t>
      </w:r>
    </w:p>
    <w:p w14:paraId="5CB54018" w14:textId="77777777" w:rsidR="00E941A9" w:rsidRPr="005D1B31" w:rsidRDefault="00E941A9" w:rsidP="00FC6D8E">
      <w:pPr>
        <w:pStyle w:val="SingleTxtG"/>
        <w:keepNext/>
        <w:keepLines/>
        <w:ind w:left="3119" w:hanging="1985"/>
        <w:jc w:val="left"/>
      </w:pPr>
      <w:r w:rsidRPr="005D1B31">
        <w:rPr>
          <w:i/>
          <w:lang w:val="fr-FR"/>
        </w:rPr>
        <w:t>Document</w:t>
      </w:r>
      <w:r w:rsidRPr="005D1B31">
        <w:rPr>
          <w:lang w:val="fr-FR"/>
        </w:rPr>
        <w:t> :</w:t>
      </w:r>
      <w:r w:rsidRPr="005D1B31">
        <w:rPr>
          <w:lang w:val="fr-FR"/>
        </w:rPr>
        <w:tab/>
        <w:t>ST/SG/AC.10/4</w:t>
      </w:r>
      <w:r>
        <w:rPr>
          <w:lang w:val="fr-FR"/>
        </w:rPr>
        <w:t>5</w:t>
      </w:r>
      <w:r w:rsidRPr="005D1B31">
        <w:rPr>
          <w:lang w:val="fr-FR"/>
        </w:rPr>
        <w:t xml:space="preserve"> (secrétariat).</w:t>
      </w:r>
    </w:p>
    <w:p w14:paraId="3068AF69" w14:textId="77777777" w:rsidR="00E941A9" w:rsidRPr="005D1B31" w:rsidRDefault="0056094D" w:rsidP="0056094D">
      <w:pPr>
        <w:pStyle w:val="ParNoG"/>
        <w:numPr>
          <w:ilvl w:val="0"/>
          <w:numId w:val="0"/>
        </w:numPr>
        <w:ind w:left="1134"/>
      </w:pPr>
      <w:r w:rsidRPr="005D1B31">
        <w:t>5.</w:t>
      </w:r>
      <w:r w:rsidRPr="005D1B31">
        <w:tab/>
      </w:r>
      <w:r w:rsidR="00E941A9" w:rsidRPr="005D1B31">
        <w:rPr>
          <w:lang w:val="fr-FR"/>
        </w:rPr>
        <w:t xml:space="preserve">Le </w:t>
      </w:r>
      <w:r w:rsidR="00A11CF6">
        <w:rPr>
          <w:lang w:val="fr-FR"/>
        </w:rPr>
        <w:t>Comité</w:t>
      </w:r>
      <w:r w:rsidR="00E941A9" w:rsidRPr="005D1B31">
        <w:rPr>
          <w:lang w:val="fr-FR"/>
        </w:rPr>
        <w:t xml:space="preserve"> a adopté l</w:t>
      </w:r>
      <w:r w:rsidR="00341801">
        <w:rPr>
          <w:lang w:val="fr-FR"/>
        </w:rPr>
        <w:t>’</w:t>
      </w:r>
      <w:r w:rsidR="00E941A9" w:rsidRPr="005D1B31">
        <w:rPr>
          <w:lang w:val="fr-FR"/>
        </w:rPr>
        <w:t>ordre du jour provisoire établi par le secrétariat.</w:t>
      </w:r>
    </w:p>
    <w:p w14:paraId="3B1E2F0E" w14:textId="77777777" w:rsidR="00E941A9" w:rsidRPr="005D1B31" w:rsidRDefault="00E941A9" w:rsidP="00645BEF">
      <w:pPr>
        <w:pStyle w:val="HChG"/>
      </w:pPr>
      <w:r w:rsidRPr="005D1B31">
        <w:rPr>
          <w:lang w:val="fr-FR"/>
        </w:rPr>
        <w:tab/>
        <w:t>III.</w:t>
      </w:r>
      <w:r w:rsidRPr="005D1B31">
        <w:rPr>
          <w:lang w:val="fr-FR"/>
        </w:rPr>
        <w:tab/>
        <w:t>Élection du Bureau (point 2 de l</w:t>
      </w:r>
      <w:r w:rsidR="00341801">
        <w:rPr>
          <w:lang w:val="fr-FR"/>
        </w:rPr>
        <w:t>’</w:t>
      </w:r>
      <w:r w:rsidRPr="005D1B31">
        <w:rPr>
          <w:lang w:val="fr-FR"/>
        </w:rPr>
        <w:t>ordre du jour)</w:t>
      </w:r>
    </w:p>
    <w:p w14:paraId="0FFFF2BF" w14:textId="77777777" w:rsidR="00E941A9" w:rsidRPr="005D1B31" w:rsidRDefault="0056094D" w:rsidP="0056094D">
      <w:pPr>
        <w:pStyle w:val="ParNoG"/>
        <w:numPr>
          <w:ilvl w:val="0"/>
          <w:numId w:val="0"/>
        </w:numPr>
        <w:ind w:left="1134"/>
      </w:pPr>
      <w:r w:rsidRPr="005D1B31">
        <w:t>6.</w:t>
      </w:r>
      <w:r w:rsidRPr="005D1B31">
        <w:tab/>
      </w:r>
      <w:r w:rsidR="00E941A9" w:rsidRPr="0025008E">
        <w:rPr>
          <w:lang w:val="fr-FR"/>
        </w:rPr>
        <w:t>M. D. Pfund (États-Unis d</w:t>
      </w:r>
      <w:r w:rsidR="00341801">
        <w:rPr>
          <w:lang w:val="fr-FR"/>
        </w:rPr>
        <w:t>’</w:t>
      </w:r>
      <w:r w:rsidR="00E941A9" w:rsidRPr="0025008E">
        <w:rPr>
          <w:lang w:val="fr-FR"/>
        </w:rPr>
        <w:t>Amérique)</w:t>
      </w:r>
      <w:r w:rsidR="00E941A9">
        <w:rPr>
          <w:lang w:val="fr-FR"/>
        </w:rPr>
        <w:t xml:space="preserve"> et </w:t>
      </w:r>
      <w:r w:rsidR="00E941A9" w:rsidRPr="005D1B31">
        <w:rPr>
          <w:lang w:val="fr-FR"/>
        </w:rPr>
        <w:t>M</w:t>
      </w:r>
      <w:r w:rsidR="00E941A9" w:rsidRPr="00A11CF6">
        <w:rPr>
          <w:vertAlign w:val="superscript"/>
          <w:lang w:val="fr-FR"/>
        </w:rPr>
        <w:t>me</w:t>
      </w:r>
      <w:r w:rsidR="00E941A9" w:rsidRPr="005D1B31">
        <w:rPr>
          <w:lang w:val="fr-FR"/>
        </w:rPr>
        <w:t> M. Ruskin (États-Unis d</w:t>
      </w:r>
      <w:r w:rsidR="00341801">
        <w:rPr>
          <w:lang w:val="fr-FR"/>
        </w:rPr>
        <w:t>’</w:t>
      </w:r>
      <w:r w:rsidR="00E941A9" w:rsidRPr="005D1B31">
        <w:rPr>
          <w:lang w:val="fr-FR"/>
        </w:rPr>
        <w:t>Amérique) ont été élus respectivement Président et Vice-Président</w:t>
      </w:r>
      <w:r w:rsidR="00E941A9">
        <w:rPr>
          <w:lang w:val="fr-FR"/>
        </w:rPr>
        <w:t>e</w:t>
      </w:r>
      <w:r w:rsidR="00E941A9" w:rsidRPr="005D1B31">
        <w:rPr>
          <w:lang w:val="fr-FR"/>
        </w:rPr>
        <w:t>.</w:t>
      </w:r>
    </w:p>
    <w:p w14:paraId="691047E0" w14:textId="77777777" w:rsidR="00E941A9" w:rsidRPr="005D1B31" w:rsidRDefault="00E941A9" w:rsidP="00014479">
      <w:pPr>
        <w:pStyle w:val="HChG"/>
      </w:pPr>
      <w:r w:rsidRPr="005D1B31">
        <w:rPr>
          <w:lang w:val="fr-FR"/>
        </w:rPr>
        <w:tab/>
        <w:t>IV.</w:t>
      </w:r>
      <w:r w:rsidRPr="005D1B31">
        <w:rPr>
          <w:lang w:val="fr-FR"/>
        </w:rPr>
        <w:tab/>
      </w:r>
      <w:r w:rsidRPr="00014479">
        <w:t>Résolutions</w:t>
      </w:r>
      <w:r w:rsidRPr="005D1B31">
        <w:rPr>
          <w:lang w:val="fr-FR"/>
        </w:rPr>
        <w:t xml:space="preserve"> et décisions du Conseil économique et social (point 3 de l</w:t>
      </w:r>
      <w:r w:rsidR="00341801">
        <w:rPr>
          <w:lang w:val="fr-FR"/>
        </w:rPr>
        <w:t>’</w:t>
      </w:r>
      <w:r w:rsidRPr="005D1B31">
        <w:rPr>
          <w:lang w:val="fr-FR"/>
        </w:rPr>
        <w:t>ordre du jour)</w:t>
      </w:r>
    </w:p>
    <w:p w14:paraId="30A248F3" w14:textId="77777777" w:rsidR="00E941A9" w:rsidRPr="005D1B31" w:rsidRDefault="0056094D" w:rsidP="00014479">
      <w:pPr>
        <w:pStyle w:val="SingleTxtG"/>
      </w:pPr>
      <w:r w:rsidRPr="005D1B31">
        <w:t>7.</w:t>
      </w:r>
      <w:r w:rsidRPr="005D1B31">
        <w:tab/>
      </w:r>
      <w:r w:rsidR="00E941A9" w:rsidRPr="00541B8F">
        <w:rPr>
          <w:lang w:val="fr-FR"/>
        </w:rPr>
        <w:t>Le Comité a noté que la résolution qu</w:t>
      </w:r>
      <w:r w:rsidR="00341801">
        <w:rPr>
          <w:lang w:val="fr-FR"/>
        </w:rPr>
        <w:t>’</w:t>
      </w:r>
      <w:r w:rsidR="00E941A9" w:rsidRPr="00541B8F">
        <w:rPr>
          <w:lang w:val="fr-FR"/>
        </w:rPr>
        <w:t>il avait établie à sa huitième session avait été adoptée en l</w:t>
      </w:r>
      <w:r w:rsidR="00341801">
        <w:rPr>
          <w:lang w:val="fr-FR"/>
        </w:rPr>
        <w:t>’</w:t>
      </w:r>
      <w:r w:rsidR="00E941A9" w:rsidRPr="00541B8F">
        <w:rPr>
          <w:lang w:val="fr-FR"/>
        </w:rPr>
        <w:t>état par le Conseil économique et social le 8</w:t>
      </w:r>
      <w:r w:rsidR="00014479">
        <w:rPr>
          <w:lang w:val="fr-FR"/>
        </w:rPr>
        <w:t> </w:t>
      </w:r>
      <w:r w:rsidR="00E941A9" w:rsidRPr="00541B8F">
        <w:rPr>
          <w:lang w:val="fr-FR"/>
        </w:rPr>
        <w:t>juin 2017 (E/RES/2017/13). Il a également été</w:t>
      </w:r>
      <w:r w:rsidR="00E941A9" w:rsidRPr="005D1B31">
        <w:rPr>
          <w:lang w:val="fr-FR"/>
        </w:rPr>
        <w:t xml:space="preserve"> noté que, étant donné qu</w:t>
      </w:r>
      <w:r w:rsidR="00341801">
        <w:rPr>
          <w:lang w:val="fr-FR"/>
        </w:rPr>
        <w:t>’</w:t>
      </w:r>
      <w:r w:rsidR="00E941A9" w:rsidRPr="005D1B31">
        <w:rPr>
          <w:lang w:val="fr-FR"/>
        </w:rPr>
        <w:t>aucune demande d</w:t>
      </w:r>
      <w:r w:rsidR="00341801">
        <w:rPr>
          <w:lang w:val="fr-FR"/>
        </w:rPr>
        <w:t>’</w:t>
      </w:r>
      <w:r w:rsidR="00E941A9" w:rsidRPr="005D1B31">
        <w:rPr>
          <w:lang w:val="fr-FR"/>
        </w:rPr>
        <w:t>admission au Comité ou à un de ses sous-comités n</w:t>
      </w:r>
      <w:r w:rsidR="00341801">
        <w:rPr>
          <w:lang w:val="fr-FR"/>
        </w:rPr>
        <w:t>’</w:t>
      </w:r>
      <w:r w:rsidR="00E941A9" w:rsidRPr="005D1B31">
        <w:rPr>
          <w:lang w:val="fr-FR"/>
        </w:rPr>
        <w:t>avait été reçue au cours de l</w:t>
      </w:r>
      <w:r w:rsidR="00341801">
        <w:rPr>
          <w:lang w:val="fr-FR"/>
        </w:rPr>
        <w:t>’</w:t>
      </w:r>
      <w:r w:rsidR="00E941A9" w:rsidRPr="005D1B31">
        <w:rPr>
          <w:lang w:val="fr-FR"/>
        </w:rPr>
        <w:t>exercice biennal 2017-2018, leur composition demeurait comme suit et comme indiqué dans les notes explicatives de l</w:t>
      </w:r>
      <w:r w:rsidR="00341801">
        <w:rPr>
          <w:lang w:val="fr-FR"/>
        </w:rPr>
        <w:t>’</w:t>
      </w:r>
      <w:r w:rsidR="00E941A9" w:rsidRPr="005D1B31">
        <w:rPr>
          <w:lang w:val="fr-FR"/>
        </w:rPr>
        <w:t>ordre du jour :</w:t>
      </w:r>
    </w:p>
    <w:p w14:paraId="5CD54D52" w14:textId="77777777" w:rsidR="00E941A9" w:rsidRPr="00014479" w:rsidRDefault="00E941A9" w:rsidP="00014479">
      <w:pPr>
        <w:pStyle w:val="Bullet1G"/>
      </w:pPr>
      <w:r w:rsidRPr="005D1B31">
        <w:rPr>
          <w:lang w:val="fr-FR"/>
        </w:rPr>
        <w:t xml:space="preserve">Comité </w:t>
      </w:r>
      <w:r w:rsidRPr="00014479">
        <w:t>d</w:t>
      </w:r>
      <w:r w:rsidR="00341801">
        <w:t>’</w:t>
      </w:r>
      <w:r w:rsidRPr="00014479">
        <w:t>experts : 40 membres ;</w:t>
      </w:r>
    </w:p>
    <w:p w14:paraId="7E0421B8" w14:textId="77777777" w:rsidR="00E941A9" w:rsidRPr="00014479" w:rsidRDefault="00E941A9" w:rsidP="00014479">
      <w:pPr>
        <w:pStyle w:val="Bullet1G"/>
      </w:pPr>
      <w:r w:rsidRPr="00014479">
        <w:t>Sous-Comité d</w:t>
      </w:r>
      <w:r w:rsidR="00341801">
        <w:t>’</w:t>
      </w:r>
      <w:r w:rsidRPr="00014479">
        <w:t>experts du transport des marchandises dangereuses : 30 membres ;</w:t>
      </w:r>
    </w:p>
    <w:p w14:paraId="7F8E955D" w14:textId="77777777" w:rsidR="00E941A9" w:rsidRPr="005D1B31" w:rsidRDefault="00E941A9" w:rsidP="00014479">
      <w:pPr>
        <w:pStyle w:val="Bullet1G"/>
      </w:pPr>
      <w:r w:rsidRPr="00014479">
        <w:t>Sous-Comité</w:t>
      </w:r>
      <w:r w:rsidRPr="005D1B31">
        <w:rPr>
          <w:lang w:val="fr-FR"/>
        </w:rPr>
        <w:t xml:space="preserve"> d</w:t>
      </w:r>
      <w:r w:rsidR="00341801">
        <w:rPr>
          <w:lang w:val="fr-FR"/>
        </w:rPr>
        <w:t>’</w:t>
      </w:r>
      <w:r w:rsidRPr="005D1B31">
        <w:rPr>
          <w:lang w:val="fr-FR"/>
        </w:rPr>
        <w:t>experts du Système général harmonisé de classification et d</w:t>
      </w:r>
      <w:r w:rsidR="00341801">
        <w:rPr>
          <w:lang w:val="fr-FR"/>
        </w:rPr>
        <w:t>’</w:t>
      </w:r>
      <w:r w:rsidRPr="005D1B31">
        <w:rPr>
          <w:lang w:val="fr-FR"/>
        </w:rPr>
        <w:t>étiquetage des produits chimiques : 36 membres.</w:t>
      </w:r>
    </w:p>
    <w:p w14:paraId="1C050500" w14:textId="77777777" w:rsidR="00E941A9" w:rsidRPr="005D1B31" w:rsidRDefault="0056094D" w:rsidP="00014479">
      <w:pPr>
        <w:pStyle w:val="SingleTxtG"/>
      </w:pPr>
      <w:r w:rsidRPr="005D1B31">
        <w:t>8.</w:t>
      </w:r>
      <w:r w:rsidRPr="005D1B31">
        <w:tab/>
      </w:r>
      <w:r w:rsidR="00E941A9" w:rsidRPr="00CB5453">
        <w:rPr>
          <w:lang w:val="fr-FR"/>
        </w:rPr>
        <w:t>Le Comité a noté avec satisfaction que le secrétariat avait publié la vingtième édition révisée des Recommandations relatives au transport des marchandises dangereuses, Règlement type (ST/SG/AC.10/1/Rev.20), premier amendement à la sixième édition révisée des Recommandations relatives au transport des marchandises dangereuses, Manuel d</w:t>
      </w:r>
      <w:r w:rsidR="00341801">
        <w:rPr>
          <w:lang w:val="fr-FR"/>
        </w:rPr>
        <w:t>’</w:t>
      </w:r>
      <w:r w:rsidR="00E941A9" w:rsidRPr="00CB5453">
        <w:rPr>
          <w:lang w:val="fr-FR"/>
        </w:rPr>
        <w:t>épreuves et de critères (ST/SG/AC.10/11/Rev.6/Amend.1) et la septième édition révisée du Système général harmonisé de classification et d</w:t>
      </w:r>
      <w:r w:rsidR="00341801">
        <w:rPr>
          <w:lang w:val="fr-FR"/>
        </w:rPr>
        <w:t>’</w:t>
      </w:r>
      <w:r w:rsidR="00E941A9" w:rsidRPr="00CB5453">
        <w:rPr>
          <w:lang w:val="fr-FR"/>
        </w:rPr>
        <w:t>étiquetage des produits chimiques (SGH) (ST/SG/AC.10/30/Rev.7) dans toutes les langues officielles de l</w:t>
      </w:r>
      <w:r w:rsidR="00341801">
        <w:rPr>
          <w:lang w:val="fr-FR"/>
        </w:rPr>
        <w:t>’</w:t>
      </w:r>
      <w:r w:rsidR="00E941A9" w:rsidRPr="00CB5453">
        <w:rPr>
          <w:lang w:val="fr-FR"/>
        </w:rPr>
        <w:t>Organisation des Nations Unies.</w:t>
      </w:r>
    </w:p>
    <w:p w14:paraId="079DA05A" w14:textId="77777777" w:rsidR="00E941A9" w:rsidRPr="005D1B31" w:rsidRDefault="0056094D" w:rsidP="0056094D">
      <w:pPr>
        <w:pStyle w:val="ParNoG"/>
        <w:keepNext/>
        <w:numPr>
          <w:ilvl w:val="0"/>
          <w:numId w:val="0"/>
        </w:numPr>
        <w:ind w:left="1134"/>
      </w:pPr>
      <w:r w:rsidRPr="005D1B31">
        <w:lastRenderedPageBreak/>
        <w:t>9.</w:t>
      </w:r>
      <w:r w:rsidRPr="005D1B31">
        <w:tab/>
      </w:r>
      <w:r w:rsidR="00E941A9" w:rsidRPr="005D1B31">
        <w:rPr>
          <w:lang w:val="fr-FR"/>
        </w:rPr>
        <w:t>Il a également été noté que les trois publications étaient également disponibles sous forme électronique :</w:t>
      </w:r>
    </w:p>
    <w:p w14:paraId="451D5DE2" w14:textId="77777777" w:rsidR="00E941A9" w:rsidRPr="005D1B31" w:rsidRDefault="00E941A9" w:rsidP="00E941A9">
      <w:pPr>
        <w:pStyle w:val="SingleTxtG"/>
        <w:ind w:firstLine="567"/>
      </w:pPr>
      <w:r w:rsidRPr="005D1B31">
        <w:rPr>
          <w:lang w:val="fr-FR"/>
        </w:rPr>
        <w:t>a)</w:t>
      </w:r>
      <w:r w:rsidRPr="005D1B31">
        <w:rPr>
          <w:lang w:val="fr-FR"/>
        </w:rPr>
        <w:tab/>
        <w:t>Sur le site Web de la Division des transports de la Commission économique pour l</w:t>
      </w:r>
      <w:r w:rsidR="00341801">
        <w:rPr>
          <w:lang w:val="fr-FR"/>
        </w:rPr>
        <w:t>’</w:t>
      </w:r>
      <w:r w:rsidRPr="005D1B31">
        <w:rPr>
          <w:lang w:val="fr-FR"/>
        </w:rPr>
        <w:t>Europe de l</w:t>
      </w:r>
      <w:r w:rsidR="00341801">
        <w:rPr>
          <w:lang w:val="fr-FR"/>
        </w:rPr>
        <w:t>’</w:t>
      </w:r>
      <w:r w:rsidRPr="005D1B31">
        <w:rPr>
          <w:lang w:val="fr-FR"/>
        </w:rPr>
        <w:t>ONU (www.unece.org/trans/danger/danger.htm) ; et</w:t>
      </w:r>
    </w:p>
    <w:p w14:paraId="12A781FE" w14:textId="77777777" w:rsidR="00E941A9" w:rsidRPr="005D1B31" w:rsidRDefault="00E941A9" w:rsidP="00E941A9">
      <w:pPr>
        <w:pStyle w:val="SingleTxtG"/>
        <w:ind w:firstLine="567"/>
      </w:pPr>
      <w:r w:rsidRPr="005D1B31">
        <w:rPr>
          <w:lang w:val="fr-FR"/>
        </w:rPr>
        <w:t>b)</w:t>
      </w:r>
      <w:r w:rsidRPr="005D1B31">
        <w:rPr>
          <w:lang w:val="fr-FR"/>
        </w:rPr>
        <w:tab/>
        <w:t>Séparément, au format pdf, en tant que publications destinées à la vente.</w:t>
      </w:r>
    </w:p>
    <w:p w14:paraId="3F32AD6A" w14:textId="77777777" w:rsidR="00E941A9" w:rsidRPr="005D1B31" w:rsidRDefault="00E941A9" w:rsidP="004A6271">
      <w:pPr>
        <w:pStyle w:val="HChG"/>
      </w:pPr>
      <w:r w:rsidRPr="005D1B31">
        <w:rPr>
          <w:lang w:val="fr-FR"/>
        </w:rPr>
        <w:tab/>
        <w:t>V.</w:t>
      </w:r>
      <w:r w:rsidRPr="005D1B31">
        <w:rPr>
          <w:lang w:val="fr-FR"/>
        </w:rPr>
        <w:tab/>
      </w:r>
      <w:r w:rsidRPr="004A6271">
        <w:t>Travaux</w:t>
      </w:r>
      <w:r w:rsidRPr="005D1B31">
        <w:rPr>
          <w:lang w:val="fr-FR"/>
        </w:rPr>
        <w:t xml:space="preserve"> du Sous-Comité d</w:t>
      </w:r>
      <w:r w:rsidR="00341801">
        <w:rPr>
          <w:lang w:val="fr-FR"/>
        </w:rPr>
        <w:t>’</w:t>
      </w:r>
      <w:r w:rsidRPr="005D1B31">
        <w:rPr>
          <w:lang w:val="fr-FR"/>
        </w:rPr>
        <w:t xml:space="preserve">experts du transport </w:t>
      </w:r>
      <w:r w:rsidR="004A6271">
        <w:rPr>
          <w:lang w:val="fr-FR"/>
        </w:rPr>
        <w:br/>
      </w:r>
      <w:r w:rsidRPr="005D1B31">
        <w:rPr>
          <w:lang w:val="fr-FR"/>
        </w:rPr>
        <w:t>des marchandises dangereuses pendant l</w:t>
      </w:r>
      <w:r w:rsidR="00341801">
        <w:rPr>
          <w:lang w:val="fr-FR"/>
        </w:rPr>
        <w:t>’</w:t>
      </w:r>
      <w:r w:rsidRPr="005D1B31">
        <w:rPr>
          <w:lang w:val="fr-FR"/>
        </w:rPr>
        <w:t xml:space="preserve">exercice </w:t>
      </w:r>
      <w:r w:rsidRPr="005D1B31">
        <w:rPr>
          <w:lang w:val="fr-FR"/>
        </w:rPr>
        <w:br/>
        <w:t xml:space="preserve">biennal </w:t>
      </w:r>
      <w:r w:rsidRPr="00CB5453">
        <w:rPr>
          <w:lang w:val="fr-FR"/>
        </w:rPr>
        <w:t>2017-2018</w:t>
      </w:r>
      <w:r w:rsidRPr="005D1B31">
        <w:rPr>
          <w:lang w:val="fr-FR"/>
        </w:rPr>
        <w:t xml:space="preserve"> (point 4 de l</w:t>
      </w:r>
      <w:r w:rsidR="00341801">
        <w:rPr>
          <w:lang w:val="fr-FR"/>
        </w:rPr>
        <w:t>’</w:t>
      </w:r>
      <w:r w:rsidRPr="005D1B31">
        <w:rPr>
          <w:lang w:val="fr-FR"/>
        </w:rPr>
        <w:t>ordre du jour)</w:t>
      </w:r>
    </w:p>
    <w:p w14:paraId="16338192" w14:textId="77777777" w:rsidR="00E941A9" w:rsidRPr="005D1B31" w:rsidRDefault="00E941A9" w:rsidP="00FC6D8E">
      <w:pPr>
        <w:pStyle w:val="SingleTxtG"/>
        <w:keepNext/>
        <w:keepLines/>
        <w:ind w:left="3119" w:hanging="1985"/>
        <w:jc w:val="left"/>
      </w:pPr>
      <w:r w:rsidRPr="005D1B31">
        <w:rPr>
          <w:i/>
          <w:lang w:val="fr-FR"/>
        </w:rPr>
        <w:t>Documents</w:t>
      </w:r>
      <w:r w:rsidRPr="005D1B31">
        <w:rPr>
          <w:lang w:val="fr-FR"/>
        </w:rPr>
        <w:t> :</w:t>
      </w:r>
      <w:r w:rsidRPr="005D1B31">
        <w:rPr>
          <w:lang w:val="fr-FR"/>
        </w:rPr>
        <w:tab/>
        <w:t>ST/SG/AC.10/C.3/</w:t>
      </w:r>
      <w:r>
        <w:rPr>
          <w:lang w:val="fr-FR"/>
        </w:rPr>
        <w:t>102</w:t>
      </w:r>
      <w:r w:rsidRPr="005D1B31">
        <w:rPr>
          <w:lang w:val="fr-FR"/>
        </w:rPr>
        <w:t xml:space="preserve"> et </w:t>
      </w:r>
      <w:r>
        <w:rPr>
          <w:lang w:val="fr-FR"/>
        </w:rPr>
        <w:t>Add</w:t>
      </w:r>
      <w:r w:rsidRPr="005D1B31">
        <w:rPr>
          <w:lang w:val="fr-FR"/>
        </w:rPr>
        <w:t>.1</w:t>
      </w:r>
      <w:r w:rsidRPr="005D1B31">
        <w:rPr>
          <w:lang w:val="fr-FR"/>
        </w:rPr>
        <w:br/>
        <w:t>ST/SG/AC.10/C.3/</w:t>
      </w:r>
      <w:r>
        <w:rPr>
          <w:lang w:val="fr-FR"/>
        </w:rPr>
        <w:t>104</w:t>
      </w:r>
      <w:r w:rsidRPr="005D1B31">
        <w:rPr>
          <w:lang w:val="fr-FR"/>
        </w:rPr>
        <w:t xml:space="preserve"> et Add.1</w:t>
      </w:r>
      <w:r w:rsidRPr="005D1B31">
        <w:rPr>
          <w:lang w:val="fr-FR"/>
        </w:rPr>
        <w:br/>
        <w:t>ST/SG/AC.10/C.3/</w:t>
      </w:r>
      <w:r>
        <w:rPr>
          <w:lang w:val="fr-FR"/>
        </w:rPr>
        <w:t>106</w:t>
      </w:r>
      <w:r w:rsidRPr="005D1B31">
        <w:rPr>
          <w:lang w:val="fr-FR"/>
        </w:rPr>
        <w:t xml:space="preserve"> et Add.1</w:t>
      </w:r>
      <w:r w:rsidR="00F2170C">
        <w:rPr>
          <w:lang w:val="fr-FR"/>
        </w:rPr>
        <w:br/>
      </w:r>
      <w:r w:rsidRPr="005D1B31">
        <w:rPr>
          <w:lang w:val="fr-FR"/>
        </w:rPr>
        <w:t>ST/SG/AC.10/C.3/201</w:t>
      </w:r>
      <w:r>
        <w:rPr>
          <w:lang w:val="fr-FR"/>
        </w:rPr>
        <w:t>8</w:t>
      </w:r>
      <w:r w:rsidRPr="005D1B31">
        <w:rPr>
          <w:lang w:val="fr-FR"/>
        </w:rPr>
        <w:t>/CRP.3 et Add.1 à 1</w:t>
      </w:r>
      <w:r>
        <w:rPr>
          <w:lang w:val="fr-FR"/>
        </w:rPr>
        <w:t>1</w:t>
      </w:r>
      <w:r w:rsidRPr="005D1B31">
        <w:rPr>
          <w:lang w:val="fr-FR"/>
        </w:rPr>
        <w:br/>
        <w:t>ST/SG/AC.10/C.3/201</w:t>
      </w:r>
      <w:r>
        <w:rPr>
          <w:lang w:val="fr-FR"/>
        </w:rPr>
        <w:t>8</w:t>
      </w:r>
      <w:r w:rsidRPr="005D1B31">
        <w:rPr>
          <w:lang w:val="fr-FR"/>
        </w:rPr>
        <w:t xml:space="preserve">/CRP.4 et Add.1 à </w:t>
      </w:r>
      <w:r>
        <w:rPr>
          <w:lang w:val="fr-FR"/>
        </w:rPr>
        <w:t>4</w:t>
      </w:r>
      <w:r w:rsidRPr="005D1B31">
        <w:rPr>
          <w:lang w:val="fr-FR"/>
        </w:rPr>
        <w:t>.</w:t>
      </w:r>
    </w:p>
    <w:p w14:paraId="50FE6B25" w14:textId="77777777" w:rsidR="00E941A9" w:rsidRPr="005D1B31" w:rsidRDefault="0056094D" w:rsidP="0056094D">
      <w:pPr>
        <w:pStyle w:val="ParNoG"/>
        <w:numPr>
          <w:ilvl w:val="0"/>
          <w:numId w:val="0"/>
        </w:numPr>
        <w:ind w:left="1134"/>
      </w:pPr>
      <w:r w:rsidRPr="005D1B31">
        <w:t>10.</w:t>
      </w:r>
      <w:r w:rsidRPr="005D1B31">
        <w:tab/>
      </w:r>
      <w:r w:rsidR="00E941A9" w:rsidRPr="005D1B31">
        <w:rPr>
          <w:lang w:val="fr-FR"/>
        </w:rPr>
        <w:t>Le Comité a pris note des rapports du Sous-Comité d</w:t>
      </w:r>
      <w:r w:rsidR="00341801">
        <w:rPr>
          <w:lang w:val="fr-FR"/>
        </w:rPr>
        <w:t>’</w:t>
      </w:r>
      <w:r w:rsidR="00E941A9" w:rsidRPr="005D1B31">
        <w:rPr>
          <w:lang w:val="fr-FR"/>
        </w:rPr>
        <w:t xml:space="preserve">experts du transport des marchandises dangereuses sur </w:t>
      </w:r>
      <w:r w:rsidR="00E941A9" w:rsidRPr="00282533">
        <w:rPr>
          <w:lang w:val="fr-FR"/>
        </w:rPr>
        <w:t>ses cinquante et unième, cinquante-deuxième et cinquante</w:t>
      </w:r>
      <w:r w:rsidR="00B67C40">
        <w:rPr>
          <w:lang w:val="fr-FR"/>
        </w:rPr>
        <w:noBreakHyphen/>
      </w:r>
      <w:r w:rsidR="00E941A9" w:rsidRPr="00282533">
        <w:rPr>
          <w:lang w:val="fr-FR"/>
        </w:rPr>
        <w:t>troisième sessions.</w:t>
      </w:r>
      <w:r w:rsidR="00E941A9" w:rsidRPr="005D1B31">
        <w:rPr>
          <w:lang w:val="fr-FR"/>
        </w:rPr>
        <w:t xml:space="preserve"> Le Comité a en outre noté que le Sous-Comité avait adopté le rapport sur les travaux de sa </w:t>
      </w:r>
      <w:r w:rsidR="00E941A9" w:rsidRPr="00282533">
        <w:t>cinquante-quatrième session (26 novembre</w:t>
      </w:r>
      <w:r w:rsidR="00F2170C">
        <w:t>-</w:t>
      </w:r>
      <w:r w:rsidR="00E941A9" w:rsidRPr="00282533">
        <w:t>4 décembre 2018)</w:t>
      </w:r>
      <w:r w:rsidR="00E941A9">
        <w:t xml:space="preserve"> </w:t>
      </w:r>
      <w:r w:rsidR="00E941A9" w:rsidRPr="009075BA">
        <w:rPr>
          <w:spacing w:val="-2"/>
          <w:lang w:val="fr-FR"/>
        </w:rPr>
        <w:t>sur la base d</w:t>
      </w:r>
      <w:r w:rsidR="00341801" w:rsidRPr="009075BA">
        <w:rPr>
          <w:spacing w:val="-2"/>
          <w:lang w:val="fr-FR"/>
        </w:rPr>
        <w:t>’</w:t>
      </w:r>
      <w:r w:rsidR="00E941A9" w:rsidRPr="009075BA">
        <w:rPr>
          <w:spacing w:val="-2"/>
          <w:lang w:val="fr-FR"/>
        </w:rPr>
        <w:t>un projet établi par le secrétariat (</w:t>
      </w:r>
      <w:r w:rsidR="00E941A9" w:rsidRPr="009075BA">
        <w:rPr>
          <w:spacing w:val="-2"/>
        </w:rPr>
        <w:t>ST/SG/AC.10/C.3/2018/CRP.3 et Add.1 à 11</w:t>
      </w:r>
      <w:r w:rsidR="00E941A9" w:rsidRPr="00282533">
        <w:t xml:space="preserve"> et </w:t>
      </w:r>
      <w:r w:rsidR="00EB18D1">
        <w:noBreakHyphen/>
      </w:r>
      <w:r w:rsidR="00E941A9" w:rsidRPr="00282533">
        <w:t>/CRP.4 et Add.1 à 4</w:t>
      </w:r>
      <w:r w:rsidR="00E941A9" w:rsidRPr="005D1B31">
        <w:rPr>
          <w:lang w:val="fr-FR"/>
        </w:rPr>
        <w:t>) avec quelques modifications mineures. Le</w:t>
      </w:r>
      <w:r w:rsidR="009075BA">
        <w:rPr>
          <w:lang w:val="fr-FR"/>
        </w:rPr>
        <w:t xml:space="preserve"> </w:t>
      </w:r>
      <w:r w:rsidR="00E941A9" w:rsidRPr="005D1B31">
        <w:rPr>
          <w:lang w:val="fr-FR"/>
        </w:rPr>
        <w:t>rapport définitif est paru sous l</w:t>
      </w:r>
      <w:r w:rsidR="00E941A9">
        <w:rPr>
          <w:lang w:val="fr-FR"/>
        </w:rPr>
        <w:t>es</w:t>
      </w:r>
      <w:r w:rsidR="00E941A9" w:rsidRPr="005D1B31">
        <w:rPr>
          <w:lang w:val="fr-FR"/>
        </w:rPr>
        <w:t xml:space="preserve"> cote</w:t>
      </w:r>
      <w:r w:rsidR="00E941A9">
        <w:rPr>
          <w:lang w:val="fr-FR"/>
        </w:rPr>
        <w:t>s</w:t>
      </w:r>
      <w:r w:rsidR="00E941A9" w:rsidRPr="005D1B31">
        <w:rPr>
          <w:lang w:val="fr-FR"/>
        </w:rPr>
        <w:t xml:space="preserve"> ST/SG/AC.10/C.3/108 </w:t>
      </w:r>
      <w:r w:rsidR="00E941A9">
        <w:rPr>
          <w:lang w:val="fr-FR"/>
        </w:rPr>
        <w:t>et</w:t>
      </w:r>
      <w:r w:rsidR="00E941A9" w:rsidRPr="005D1B31">
        <w:rPr>
          <w:lang w:val="fr-FR"/>
        </w:rPr>
        <w:t xml:space="preserve"> Add.1.</w:t>
      </w:r>
    </w:p>
    <w:p w14:paraId="4B61519E" w14:textId="77777777" w:rsidR="00E941A9" w:rsidRPr="005D1B31" w:rsidRDefault="0056094D" w:rsidP="00EB18D1">
      <w:pPr>
        <w:pStyle w:val="SingleTxtG"/>
      </w:pPr>
      <w:r w:rsidRPr="005D1B31">
        <w:t>11.</w:t>
      </w:r>
      <w:r w:rsidRPr="005D1B31">
        <w:tab/>
      </w:r>
      <w:r w:rsidR="00E941A9" w:rsidRPr="005D1B31">
        <w:rPr>
          <w:lang w:val="fr-FR"/>
        </w:rPr>
        <w:t>Le Comité a approuvé les rapports du Sous-Comité, y compris les amendements aux recommandations existantes relatives au transport des marchandises dangereuses et les recommandations nouvelles (voir annexes I et II).</w:t>
      </w:r>
    </w:p>
    <w:p w14:paraId="6F84F8CE" w14:textId="77777777" w:rsidR="00E941A9" w:rsidRPr="005D1B31" w:rsidRDefault="00E941A9" w:rsidP="00EB18D1">
      <w:pPr>
        <w:pStyle w:val="HChG"/>
      </w:pPr>
      <w:r w:rsidRPr="005D1B31">
        <w:rPr>
          <w:lang w:val="fr-FR"/>
        </w:rPr>
        <w:tab/>
        <w:t>VI.</w:t>
      </w:r>
      <w:r w:rsidRPr="005D1B31">
        <w:rPr>
          <w:lang w:val="fr-FR"/>
        </w:rPr>
        <w:tab/>
        <w:t>Travaux du Sous-Comité d</w:t>
      </w:r>
      <w:r w:rsidR="00341801">
        <w:rPr>
          <w:lang w:val="fr-FR"/>
        </w:rPr>
        <w:t>’</w:t>
      </w:r>
      <w:r w:rsidRPr="005D1B31">
        <w:rPr>
          <w:lang w:val="fr-FR"/>
        </w:rPr>
        <w:t>experts du Système général harmonisé de classification et d</w:t>
      </w:r>
      <w:r w:rsidR="00341801">
        <w:rPr>
          <w:lang w:val="fr-FR"/>
        </w:rPr>
        <w:t>’</w:t>
      </w:r>
      <w:r w:rsidRPr="005D1B31">
        <w:rPr>
          <w:lang w:val="fr-FR"/>
        </w:rPr>
        <w:t>étiquetage des produits chimiques pendant la période biennale 201</w:t>
      </w:r>
      <w:r>
        <w:rPr>
          <w:lang w:val="fr-FR"/>
        </w:rPr>
        <w:t>7</w:t>
      </w:r>
      <w:r w:rsidRPr="005D1B31">
        <w:rPr>
          <w:lang w:val="fr-FR"/>
        </w:rPr>
        <w:t>-201</w:t>
      </w:r>
      <w:r>
        <w:rPr>
          <w:lang w:val="fr-FR"/>
        </w:rPr>
        <w:t>8</w:t>
      </w:r>
      <w:r w:rsidRPr="005D1B31">
        <w:rPr>
          <w:lang w:val="fr-FR"/>
        </w:rPr>
        <w:t xml:space="preserve"> </w:t>
      </w:r>
      <w:r w:rsidR="00EB18D1">
        <w:rPr>
          <w:lang w:val="fr-FR"/>
        </w:rPr>
        <w:br/>
      </w:r>
      <w:r w:rsidRPr="005D1B31">
        <w:rPr>
          <w:lang w:val="fr-FR"/>
        </w:rPr>
        <w:t>(point 5 de l</w:t>
      </w:r>
      <w:r w:rsidR="00341801">
        <w:rPr>
          <w:lang w:val="fr-FR"/>
        </w:rPr>
        <w:t>’</w:t>
      </w:r>
      <w:r w:rsidRPr="005D1B31">
        <w:rPr>
          <w:lang w:val="fr-FR"/>
        </w:rPr>
        <w:t>ordre du jour)</w:t>
      </w:r>
    </w:p>
    <w:p w14:paraId="5B49F1F1" w14:textId="77777777" w:rsidR="00E941A9" w:rsidRPr="005D1B31" w:rsidRDefault="00E941A9" w:rsidP="00FC6D8E">
      <w:pPr>
        <w:pStyle w:val="SingleTxtG"/>
        <w:keepNext/>
        <w:keepLines/>
        <w:ind w:left="3119" w:hanging="1985"/>
        <w:jc w:val="left"/>
        <w:rPr>
          <w:lang w:val="en-US"/>
        </w:rPr>
      </w:pPr>
      <w:r w:rsidRPr="005D1B31">
        <w:rPr>
          <w:i/>
          <w:lang w:val="en-US"/>
        </w:rPr>
        <w:t>Documents</w:t>
      </w:r>
      <w:r w:rsidRPr="005D1B31">
        <w:rPr>
          <w:lang w:val="en-US"/>
        </w:rPr>
        <w:t> :</w:t>
      </w:r>
      <w:r w:rsidRPr="005D1B31">
        <w:rPr>
          <w:lang w:val="en-US"/>
        </w:rPr>
        <w:tab/>
        <w:t>ST/SG/AC.10/C.4/</w:t>
      </w:r>
      <w:r>
        <w:rPr>
          <w:lang w:val="en-US"/>
        </w:rPr>
        <w:t>66</w:t>
      </w:r>
      <w:r w:rsidRPr="005D1B31">
        <w:rPr>
          <w:lang w:val="en-US"/>
        </w:rPr>
        <w:br/>
        <w:t>ST/SG/AC.10/C.4/6</w:t>
      </w:r>
      <w:r>
        <w:rPr>
          <w:lang w:val="en-US"/>
        </w:rPr>
        <w:t>8</w:t>
      </w:r>
      <w:r w:rsidRPr="005D1B31">
        <w:rPr>
          <w:lang w:val="en-US"/>
        </w:rPr>
        <w:br/>
        <w:t>ST/SG/AC.10/C.4/</w:t>
      </w:r>
      <w:r>
        <w:rPr>
          <w:lang w:val="en-US"/>
        </w:rPr>
        <w:t>70</w:t>
      </w:r>
      <w:r w:rsidRPr="005D1B31">
        <w:rPr>
          <w:lang w:val="en-US"/>
        </w:rPr>
        <w:br/>
        <w:t>ST/SG/AC.10/C.4/201</w:t>
      </w:r>
      <w:r>
        <w:rPr>
          <w:lang w:val="en-US"/>
        </w:rPr>
        <w:t>8</w:t>
      </w:r>
      <w:r w:rsidRPr="005D1B31">
        <w:rPr>
          <w:lang w:val="en-US"/>
        </w:rPr>
        <w:t>/CRP.3 et Add.1 à 3</w:t>
      </w:r>
      <w:r w:rsidRPr="005D1B31">
        <w:rPr>
          <w:lang w:val="en-US"/>
        </w:rPr>
        <w:br/>
        <w:t>ST/SG/AC.10/C.4/201</w:t>
      </w:r>
      <w:r>
        <w:rPr>
          <w:lang w:val="en-US"/>
        </w:rPr>
        <w:t>8</w:t>
      </w:r>
      <w:r w:rsidRPr="005D1B31">
        <w:rPr>
          <w:lang w:val="en-US"/>
        </w:rPr>
        <w:t>/CRP.4 et Add.1.</w:t>
      </w:r>
    </w:p>
    <w:p w14:paraId="3ED3952D" w14:textId="77777777" w:rsidR="00E941A9" w:rsidRPr="005D1B31" w:rsidRDefault="0056094D" w:rsidP="0056094D">
      <w:pPr>
        <w:pStyle w:val="ParNoG"/>
        <w:numPr>
          <w:ilvl w:val="0"/>
          <w:numId w:val="0"/>
        </w:numPr>
        <w:ind w:left="1134"/>
      </w:pPr>
      <w:r w:rsidRPr="005D1B31">
        <w:t>12.</w:t>
      </w:r>
      <w:r w:rsidRPr="005D1B31">
        <w:tab/>
      </w:r>
      <w:r w:rsidR="00E941A9" w:rsidRPr="005D1B31">
        <w:rPr>
          <w:lang w:val="fr-FR"/>
        </w:rPr>
        <w:t>Le Comité a pris note des rapports du Sous-Comité d</w:t>
      </w:r>
      <w:r w:rsidR="00341801">
        <w:rPr>
          <w:lang w:val="fr-FR"/>
        </w:rPr>
        <w:t>’</w:t>
      </w:r>
      <w:r w:rsidR="00E941A9" w:rsidRPr="005D1B31">
        <w:rPr>
          <w:lang w:val="fr-FR"/>
        </w:rPr>
        <w:t>experts du Système général harmonisé de classification et d</w:t>
      </w:r>
      <w:r w:rsidR="00341801">
        <w:rPr>
          <w:lang w:val="fr-FR"/>
        </w:rPr>
        <w:t>’</w:t>
      </w:r>
      <w:r w:rsidR="00E941A9" w:rsidRPr="005D1B31">
        <w:rPr>
          <w:lang w:val="fr-FR"/>
        </w:rPr>
        <w:t>étiquetage des produits chimiques</w:t>
      </w:r>
      <w:r w:rsidR="00E941A9">
        <w:rPr>
          <w:lang w:val="fr-FR"/>
        </w:rPr>
        <w:t xml:space="preserve"> (</w:t>
      </w:r>
      <w:r w:rsidR="00E941A9" w:rsidRPr="00E5173A">
        <w:rPr>
          <w:lang w:val="fr-FR"/>
        </w:rPr>
        <w:t>Sous-Comité SGH</w:t>
      </w:r>
      <w:r w:rsidR="00E941A9">
        <w:rPr>
          <w:lang w:val="fr-FR"/>
        </w:rPr>
        <w:t>)</w:t>
      </w:r>
      <w:r w:rsidR="00E941A9" w:rsidRPr="005D1B31">
        <w:rPr>
          <w:lang w:val="fr-FR"/>
        </w:rPr>
        <w:t xml:space="preserve"> sur ses </w:t>
      </w:r>
      <w:r w:rsidR="00E941A9" w:rsidRPr="00E5173A">
        <w:rPr>
          <w:lang w:val="fr-FR"/>
        </w:rPr>
        <w:t>trente-troisième, trente-quatrième et trente</w:t>
      </w:r>
      <w:r w:rsidR="00E941A9">
        <w:rPr>
          <w:lang w:val="fr-FR"/>
        </w:rPr>
        <w:t>-</w:t>
      </w:r>
      <w:r w:rsidR="00E941A9" w:rsidRPr="00E5173A">
        <w:rPr>
          <w:lang w:val="fr-FR"/>
        </w:rPr>
        <w:t>cinquième sessions</w:t>
      </w:r>
      <w:r w:rsidR="00E941A9" w:rsidRPr="005D1B31">
        <w:rPr>
          <w:lang w:val="fr-FR"/>
        </w:rPr>
        <w:t xml:space="preserve">. Le Comité a en outre noté que le Sous-Comité avait adopté le rapport </w:t>
      </w:r>
      <w:r w:rsidR="00E941A9" w:rsidRPr="00E5173A">
        <w:rPr>
          <w:lang w:val="fr-FR"/>
        </w:rPr>
        <w:t>sur les travaux de sa trente-sixième session (5-7</w:t>
      </w:r>
      <w:r w:rsidR="00CE105A">
        <w:rPr>
          <w:lang w:val="fr-FR"/>
        </w:rPr>
        <w:t> </w:t>
      </w:r>
      <w:r w:rsidR="00E941A9" w:rsidRPr="00E5173A">
        <w:rPr>
          <w:lang w:val="fr-FR"/>
        </w:rPr>
        <w:t xml:space="preserve">décembre 2018) </w:t>
      </w:r>
      <w:r w:rsidR="00E941A9" w:rsidRPr="005D1B31">
        <w:rPr>
          <w:lang w:val="fr-FR"/>
        </w:rPr>
        <w:t>sur la base d</w:t>
      </w:r>
      <w:r w:rsidR="00341801">
        <w:rPr>
          <w:lang w:val="fr-FR"/>
        </w:rPr>
        <w:t>’</w:t>
      </w:r>
      <w:r w:rsidR="00E941A9" w:rsidRPr="005D1B31">
        <w:rPr>
          <w:lang w:val="fr-FR"/>
        </w:rPr>
        <w:t>un projet établi par le secrétariat (ST/SG/AC.10/C.4/</w:t>
      </w:r>
      <w:r w:rsidR="00A519FE">
        <w:rPr>
          <w:lang w:val="fr-FR"/>
        </w:rPr>
        <w:t xml:space="preserve"> </w:t>
      </w:r>
      <w:r w:rsidR="00E941A9" w:rsidRPr="005D1B31">
        <w:rPr>
          <w:lang w:val="fr-FR"/>
        </w:rPr>
        <w:t>201</w:t>
      </w:r>
      <w:r w:rsidR="00E941A9">
        <w:rPr>
          <w:lang w:val="fr-FR"/>
        </w:rPr>
        <w:t>8</w:t>
      </w:r>
      <w:r w:rsidR="00E941A9" w:rsidRPr="005D1B31">
        <w:rPr>
          <w:lang w:val="fr-FR"/>
        </w:rPr>
        <w:t>/CRP.3 et Add.1 à 3 et -/CRP.4 et Add.1) avec quelques modifications mineures. Le</w:t>
      </w:r>
      <w:r w:rsidR="00A519FE">
        <w:rPr>
          <w:lang w:val="fr-FR"/>
        </w:rPr>
        <w:t> </w:t>
      </w:r>
      <w:r w:rsidR="00E941A9" w:rsidRPr="005D1B31">
        <w:rPr>
          <w:lang w:val="fr-FR"/>
        </w:rPr>
        <w:t>rapport définitif est paru sous la cote ST/SG/AC.10/C.4/</w:t>
      </w:r>
      <w:r w:rsidR="00E941A9">
        <w:rPr>
          <w:lang w:val="fr-FR"/>
        </w:rPr>
        <w:t>72</w:t>
      </w:r>
      <w:r w:rsidR="00E941A9" w:rsidRPr="005D1B31">
        <w:rPr>
          <w:lang w:val="fr-FR"/>
        </w:rPr>
        <w:t>.</w:t>
      </w:r>
    </w:p>
    <w:p w14:paraId="560EA508" w14:textId="77777777" w:rsidR="00E941A9" w:rsidRPr="005D1B31" w:rsidRDefault="0056094D" w:rsidP="0056094D">
      <w:pPr>
        <w:pStyle w:val="ParNoG"/>
        <w:numPr>
          <w:ilvl w:val="0"/>
          <w:numId w:val="0"/>
        </w:numPr>
        <w:ind w:left="1134"/>
        <w:rPr>
          <w:lang w:val="fr-FR"/>
        </w:rPr>
      </w:pPr>
      <w:r w:rsidRPr="005D1B31">
        <w:rPr>
          <w:lang w:val="fr-FR"/>
        </w:rPr>
        <w:t>13.</w:t>
      </w:r>
      <w:r w:rsidRPr="005D1B31">
        <w:rPr>
          <w:lang w:val="fr-FR"/>
        </w:rPr>
        <w:tab/>
      </w:r>
      <w:r w:rsidR="00E941A9" w:rsidRPr="005D1B31">
        <w:rPr>
          <w:lang w:val="fr-FR"/>
        </w:rPr>
        <w:t>Le Comité a approuvé les rapports du Sous-Comité, y compris les amendements au texte existant du SGH et les dispositions nouvelles adoptées (voir annexe III).</w:t>
      </w:r>
    </w:p>
    <w:p w14:paraId="0ADDFAE7" w14:textId="77777777" w:rsidR="00E941A9" w:rsidRPr="005D1B31" w:rsidRDefault="00E941A9" w:rsidP="00F122C7">
      <w:pPr>
        <w:pStyle w:val="HChG"/>
        <w:spacing w:before="320" w:after="200"/>
        <w:rPr>
          <w:bCs/>
        </w:rPr>
      </w:pPr>
      <w:r w:rsidRPr="005D1B31">
        <w:rPr>
          <w:lang w:val="fr-FR"/>
        </w:rPr>
        <w:lastRenderedPageBreak/>
        <w:tab/>
        <w:t>VII.</w:t>
      </w:r>
      <w:r w:rsidRPr="005D1B31">
        <w:rPr>
          <w:lang w:val="fr-FR"/>
        </w:rPr>
        <w:tab/>
        <w:t xml:space="preserve">Programme de </w:t>
      </w:r>
      <w:r w:rsidRPr="00A519FE">
        <w:t>travail</w:t>
      </w:r>
      <w:r w:rsidRPr="005D1B31">
        <w:rPr>
          <w:lang w:val="fr-FR"/>
        </w:rPr>
        <w:t xml:space="preserve"> pour la période biennale 2019-2020 (point 6 de l</w:t>
      </w:r>
      <w:r w:rsidR="00341801">
        <w:rPr>
          <w:lang w:val="fr-FR"/>
        </w:rPr>
        <w:t>’</w:t>
      </w:r>
      <w:r w:rsidRPr="005D1B31">
        <w:rPr>
          <w:lang w:val="fr-FR"/>
        </w:rPr>
        <w:t>ordre du jour)</w:t>
      </w:r>
    </w:p>
    <w:p w14:paraId="00EF1EFA" w14:textId="77777777" w:rsidR="00E941A9" w:rsidRPr="00A519FE" w:rsidRDefault="00E941A9" w:rsidP="00F122C7">
      <w:pPr>
        <w:pStyle w:val="H1G"/>
        <w:spacing w:before="320" w:after="200"/>
      </w:pPr>
      <w:r w:rsidRPr="005D1B31">
        <w:rPr>
          <w:lang w:val="fr-FR"/>
        </w:rPr>
        <w:tab/>
        <w:t>A.</w:t>
      </w:r>
      <w:r w:rsidRPr="005D1B31">
        <w:rPr>
          <w:lang w:val="fr-FR"/>
        </w:rPr>
        <w:tab/>
        <w:t>Programme de travail</w:t>
      </w:r>
    </w:p>
    <w:p w14:paraId="708412FE" w14:textId="77777777" w:rsidR="00E941A9" w:rsidRPr="00E941A9" w:rsidRDefault="00E941A9" w:rsidP="00FC6D8E">
      <w:pPr>
        <w:pStyle w:val="SingleTxtG"/>
        <w:keepNext/>
        <w:keepLines/>
        <w:ind w:left="3119" w:hanging="1985"/>
        <w:jc w:val="left"/>
      </w:pPr>
      <w:r w:rsidRPr="00E941A9">
        <w:rPr>
          <w:i/>
        </w:rPr>
        <w:t>Document informel</w:t>
      </w:r>
      <w:r w:rsidR="001818B5">
        <w:rPr>
          <w:i/>
        </w:rPr>
        <w:t> </w:t>
      </w:r>
      <w:r w:rsidRPr="00E941A9">
        <w:t>:</w:t>
      </w:r>
      <w:r w:rsidRPr="00E941A9">
        <w:tab/>
        <w:t>INF.1 (secrétariat).</w:t>
      </w:r>
    </w:p>
    <w:p w14:paraId="15D980A1" w14:textId="77777777" w:rsidR="00E941A9" w:rsidRPr="005D1B31" w:rsidRDefault="0056094D" w:rsidP="0056094D">
      <w:pPr>
        <w:pStyle w:val="ParNoG"/>
        <w:numPr>
          <w:ilvl w:val="0"/>
          <w:numId w:val="0"/>
        </w:numPr>
        <w:ind w:left="1134"/>
      </w:pPr>
      <w:r w:rsidRPr="005D1B31">
        <w:t>14.</w:t>
      </w:r>
      <w:r w:rsidRPr="005D1B31">
        <w:tab/>
      </w:r>
      <w:r w:rsidR="00E941A9" w:rsidRPr="005D1B31">
        <w:rPr>
          <w:lang w:val="fr-FR"/>
        </w:rPr>
        <w:t>Le Comité a approuvé les programmes de travail des deux sous-comités, tels qu</w:t>
      </w:r>
      <w:r w:rsidR="00341801">
        <w:rPr>
          <w:lang w:val="fr-FR"/>
        </w:rPr>
        <w:t>’</w:t>
      </w:r>
      <w:r w:rsidR="00E941A9" w:rsidRPr="005D1B31">
        <w:rPr>
          <w:lang w:val="fr-FR"/>
        </w:rPr>
        <w:t>ils figurent respectivement au paragraphe </w:t>
      </w:r>
      <w:r w:rsidR="00E941A9">
        <w:rPr>
          <w:lang w:val="fr-FR"/>
        </w:rPr>
        <w:t>141</w:t>
      </w:r>
      <w:r w:rsidR="00E941A9" w:rsidRPr="005D1B31">
        <w:rPr>
          <w:lang w:val="fr-FR"/>
        </w:rPr>
        <w:t xml:space="preserve"> du document ST/SG/AC.10/C.3/10</w:t>
      </w:r>
      <w:r w:rsidR="00E941A9">
        <w:rPr>
          <w:lang w:val="fr-FR"/>
        </w:rPr>
        <w:t>8</w:t>
      </w:r>
      <w:r w:rsidR="00E941A9" w:rsidRPr="005D1B31">
        <w:rPr>
          <w:lang w:val="fr-FR"/>
        </w:rPr>
        <w:t xml:space="preserve"> et à l</w:t>
      </w:r>
      <w:r w:rsidR="00341801">
        <w:rPr>
          <w:lang w:val="fr-FR"/>
        </w:rPr>
        <w:t>’</w:t>
      </w:r>
      <w:r w:rsidR="00E941A9" w:rsidRPr="005D1B31">
        <w:rPr>
          <w:lang w:val="fr-FR"/>
        </w:rPr>
        <w:t>annexe II du document ST/SG/AC.10/C.4/</w:t>
      </w:r>
      <w:r w:rsidR="00E941A9">
        <w:rPr>
          <w:lang w:val="fr-FR"/>
        </w:rPr>
        <w:t>72</w:t>
      </w:r>
      <w:r w:rsidR="00E941A9" w:rsidRPr="005D1B31">
        <w:rPr>
          <w:lang w:val="fr-FR"/>
        </w:rPr>
        <w:t>.</w:t>
      </w:r>
    </w:p>
    <w:p w14:paraId="54286426" w14:textId="77777777" w:rsidR="00E941A9" w:rsidRPr="005D1B31" w:rsidRDefault="00E941A9" w:rsidP="00F122C7">
      <w:pPr>
        <w:pStyle w:val="H1G"/>
        <w:spacing w:before="320" w:after="200"/>
      </w:pPr>
      <w:r w:rsidRPr="005D1B31">
        <w:rPr>
          <w:lang w:val="fr-FR"/>
        </w:rPr>
        <w:tab/>
        <w:t>B.</w:t>
      </w:r>
      <w:r w:rsidRPr="005D1B31">
        <w:rPr>
          <w:lang w:val="fr-FR"/>
        </w:rPr>
        <w:tab/>
      </w:r>
      <w:r w:rsidRPr="00FC6D8E">
        <w:t>Calendrier</w:t>
      </w:r>
      <w:r w:rsidRPr="005D1B31">
        <w:rPr>
          <w:lang w:val="fr-FR"/>
        </w:rPr>
        <w:t xml:space="preserve"> des réunions</w:t>
      </w:r>
    </w:p>
    <w:p w14:paraId="2C96E078" w14:textId="77777777" w:rsidR="00E941A9" w:rsidRPr="005D1B31" w:rsidRDefault="0056094D" w:rsidP="0056094D">
      <w:pPr>
        <w:pStyle w:val="ParNoG"/>
        <w:numPr>
          <w:ilvl w:val="0"/>
          <w:numId w:val="0"/>
        </w:numPr>
        <w:tabs>
          <w:tab w:val="left" w:pos="1701"/>
        </w:tabs>
        <w:ind w:left="1134"/>
      </w:pPr>
      <w:r w:rsidRPr="005D1B31">
        <w:t>15.</w:t>
      </w:r>
      <w:r w:rsidRPr="005D1B31">
        <w:tab/>
      </w:r>
      <w:r w:rsidR="00E941A9" w:rsidRPr="009D4442">
        <w:rPr>
          <w:lang w:val="fr-FR"/>
        </w:rPr>
        <w:t>À sa septième session, le Comité a décidé d</w:t>
      </w:r>
      <w:r w:rsidR="00341801">
        <w:rPr>
          <w:lang w:val="fr-FR"/>
        </w:rPr>
        <w:t>’</w:t>
      </w:r>
      <w:r w:rsidR="00E941A9" w:rsidRPr="009D4442">
        <w:rPr>
          <w:lang w:val="fr-FR"/>
        </w:rPr>
        <w:t>accorder aux Sous-Comités du transport des marchandises dangereuses et du Système général harmonisé la possibilité de tenir des réunions communes afin d</w:t>
      </w:r>
      <w:r w:rsidR="00341801">
        <w:rPr>
          <w:lang w:val="fr-FR"/>
        </w:rPr>
        <w:t>’</w:t>
      </w:r>
      <w:r w:rsidR="00E941A9" w:rsidRPr="009D4442">
        <w:rPr>
          <w:lang w:val="fr-FR"/>
        </w:rPr>
        <w:t>éviter les chevauchements dans les débats et de faciliter l</w:t>
      </w:r>
      <w:r w:rsidR="00341801">
        <w:rPr>
          <w:lang w:val="fr-FR"/>
        </w:rPr>
        <w:t>’</w:t>
      </w:r>
      <w:r w:rsidR="00E941A9" w:rsidRPr="009D4442">
        <w:rPr>
          <w:lang w:val="fr-FR"/>
        </w:rPr>
        <w:t>échange de connaissances et de compétences sur les questions d</w:t>
      </w:r>
      <w:r w:rsidR="00341801">
        <w:rPr>
          <w:lang w:val="fr-FR"/>
        </w:rPr>
        <w:t>’</w:t>
      </w:r>
      <w:r w:rsidR="00E941A9" w:rsidRPr="009D4442">
        <w:rPr>
          <w:lang w:val="fr-FR"/>
        </w:rPr>
        <w:t>intérêt commun</w:t>
      </w:r>
      <w:r w:rsidR="00E941A9" w:rsidRPr="00B26560">
        <w:rPr>
          <w:rStyle w:val="FootnoteReference"/>
        </w:rPr>
        <w:footnoteReference w:id="5"/>
      </w:r>
      <w:r w:rsidR="00E941A9" w:rsidRPr="009D4442">
        <w:rPr>
          <w:lang w:val="fr-FR"/>
        </w:rPr>
        <w:t>. Depuis lors, les sous-comités ont tenu trois sessions conjointes (9</w:t>
      </w:r>
      <w:r w:rsidR="00B26560">
        <w:rPr>
          <w:lang w:val="fr-FR"/>
        </w:rPr>
        <w:t> </w:t>
      </w:r>
      <w:r w:rsidR="00E941A9" w:rsidRPr="009D4442">
        <w:rPr>
          <w:lang w:val="fr-FR"/>
        </w:rPr>
        <w:t>décembre 2015</w:t>
      </w:r>
      <w:r w:rsidR="00E941A9" w:rsidRPr="00B26560">
        <w:rPr>
          <w:rStyle w:val="FootnoteReference"/>
        </w:rPr>
        <w:footnoteReference w:id="6"/>
      </w:r>
      <w:r w:rsidR="00E941A9" w:rsidRPr="009D4442">
        <w:rPr>
          <w:lang w:val="fr-FR"/>
        </w:rPr>
        <w:t>, 5</w:t>
      </w:r>
      <w:r w:rsidR="00B26560">
        <w:rPr>
          <w:lang w:val="fr-FR"/>
        </w:rPr>
        <w:t> </w:t>
      </w:r>
      <w:r w:rsidR="00E941A9" w:rsidRPr="009D4442">
        <w:rPr>
          <w:lang w:val="fr-FR"/>
        </w:rPr>
        <w:t>juillet 2016</w:t>
      </w:r>
      <w:r w:rsidR="00E941A9" w:rsidRPr="00B26560">
        <w:rPr>
          <w:rStyle w:val="FootnoteReference"/>
        </w:rPr>
        <w:footnoteReference w:id="7"/>
      </w:r>
      <w:r w:rsidR="00E941A9" w:rsidRPr="009D4442">
        <w:rPr>
          <w:lang w:val="fr-FR"/>
        </w:rPr>
        <w:t xml:space="preserve"> et 3</w:t>
      </w:r>
      <w:r w:rsidR="00B26560">
        <w:rPr>
          <w:lang w:val="fr-FR"/>
        </w:rPr>
        <w:t> </w:t>
      </w:r>
      <w:r w:rsidR="00E941A9" w:rsidRPr="009D4442">
        <w:rPr>
          <w:lang w:val="fr-FR"/>
        </w:rPr>
        <w:t>juillet 2018</w:t>
      </w:r>
      <w:r w:rsidR="00E941A9" w:rsidRPr="00B26560">
        <w:rPr>
          <w:rStyle w:val="FootnoteReference"/>
        </w:rPr>
        <w:footnoteReference w:id="8"/>
      </w:r>
      <w:r w:rsidR="00E941A9" w:rsidRPr="009D4442">
        <w:rPr>
          <w:lang w:val="fr-FR"/>
        </w:rPr>
        <w:t>).</w:t>
      </w:r>
    </w:p>
    <w:p w14:paraId="332E2D31" w14:textId="77777777" w:rsidR="00E941A9" w:rsidRPr="005D1B31" w:rsidRDefault="0056094D" w:rsidP="00F644F0">
      <w:pPr>
        <w:pStyle w:val="SingleTxtG"/>
      </w:pPr>
      <w:r w:rsidRPr="005D1B31">
        <w:t>16.</w:t>
      </w:r>
      <w:r w:rsidRPr="005D1B31">
        <w:tab/>
      </w:r>
      <w:r w:rsidR="00E941A9" w:rsidRPr="00AF1E95">
        <w:rPr>
          <w:lang w:val="fr-FR"/>
        </w:rPr>
        <w:t>Considérant que les séances conjointes se sont révélées fructueuses pour améliorer la coopération entre les deux sous-comités et traiter des questions d</w:t>
      </w:r>
      <w:r w:rsidR="00341801">
        <w:rPr>
          <w:lang w:val="fr-FR"/>
        </w:rPr>
        <w:t>’</w:t>
      </w:r>
      <w:r w:rsidR="00E941A9" w:rsidRPr="00AF1E95">
        <w:rPr>
          <w:lang w:val="fr-FR"/>
        </w:rPr>
        <w:t xml:space="preserve">intérêt commun, le Comité a décidé </w:t>
      </w:r>
      <w:r w:rsidR="00E941A9">
        <w:rPr>
          <w:lang w:val="fr-FR"/>
        </w:rPr>
        <w:t>que d</w:t>
      </w:r>
      <w:r w:rsidR="00E941A9" w:rsidRPr="005D1B31">
        <w:rPr>
          <w:lang w:val="fr-FR"/>
        </w:rPr>
        <w:t xml:space="preserve">es séances conjointes des deux sous-comités pourront à nouveau être convoquées lors des deuxième et troisième sessions de </w:t>
      </w:r>
      <w:r w:rsidR="00E941A9">
        <w:rPr>
          <w:lang w:val="fr-FR"/>
        </w:rPr>
        <w:t xml:space="preserve">chaque </w:t>
      </w:r>
      <w:r w:rsidR="00E941A9" w:rsidRPr="005D1B31">
        <w:rPr>
          <w:lang w:val="fr-FR"/>
        </w:rPr>
        <w:t>exercice biennal. Le temps alloué aux sessions conjointes sera déterminé par les présidents des deux sous</w:t>
      </w:r>
      <w:r w:rsidR="00B26560">
        <w:rPr>
          <w:lang w:val="fr-FR"/>
        </w:rPr>
        <w:noBreakHyphen/>
      </w:r>
      <w:r w:rsidR="00E941A9" w:rsidRPr="005D1B31">
        <w:rPr>
          <w:lang w:val="fr-FR"/>
        </w:rPr>
        <w:t>comités et le secrétariat en</w:t>
      </w:r>
      <w:r w:rsidR="00E941A9">
        <w:rPr>
          <w:lang w:val="fr-FR"/>
        </w:rPr>
        <w:t xml:space="preserve"> </w:t>
      </w:r>
      <w:r w:rsidR="00E941A9" w:rsidRPr="005D1B31">
        <w:rPr>
          <w:lang w:val="fr-FR"/>
        </w:rPr>
        <w:t>fonction du nombre de questions à examiner. Cela n</w:t>
      </w:r>
      <w:r w:rsidR="00341801">
        <w:rPr>
          <w:lang w:val="fr-FR"/>
        </w:rPr>
        <w:t>’</w:t>
      </w:r>
      <w:r w:rsidR="00E941A9" w:rsidRPr="005D1B31">
        <w:rPr>
          <w:lang w:val="fr-FR"/>
        </w:rPr>
        <w:t>entraînera aucun coût supplémentaire en services de conférence car cela n</w:t>
      </w:r>
      <w:r w:rsidR="00341801">
        <w:rPr>
          <w:lang w:val="fr-FR"/>
        </w:rPr>
        <w:t>’</w:t>
      </w:r>
      <w:r w:rsidR="00E941A9" w:rsidRPr="005D1B31">
        <w:rPr>
          <w:lang w:val="fr-FR"/>
        </w:rPr>
        <w:t>aura pas d</w:t>
      </w:r>
      <w:r w:rsidR="00341801">
        <w:rPr>
          <w:lang w:val="fr-FR"/>
        </w:rPr>
        <w:t>’</w:t>
      </w:r>
      <w:r w:rsidR="00E941A9" w:rsidRPr="005D1B31">
        <w:rPr>
          <w:lang w:val="fr-FR"/>
        </w:rPr>
        <w:t>incidence sur le nombre total de réunions prévu.</w:t>
      </w:r>
    </w:p>
    <w:p w14:paraId="0D88833A" w14:textId="77777777" w:rsidR="00E941A9" w:rsidRPr="005D1B31" w:rsidRDefault="0056094D" w:rsidP="00F644F0">
      <w:pPr>
        <w:pStyle w:val="SingleTxtG"/>
      </w:pPr>
      <w:r w:rsidRPr="005D1B31">
        <w:t>17.</w:t>
      </w:r>
      <w:r w:rsidRPr="005D1B31">
        <w:tab/>
      </w:r>
      <w:r w:rsidR="00E941A9" w:rsidRPr="005D1B31">
        <w:rPr>
          <w:lang w:val="fr-FR"/>
        </w:rPr>
        <w:t>Informé par le secrétariat de la disponibilité des salles de conférence, le Comité a décidé que le calendrier des réunions pour 201</w:t>
      </w:r>
      <w:r w:rsidR="00E941A9">
        <w:rPr>
          <w:lang w:val="fr-FR"/>
        </w:rPr>
        <w:t>9</w:t>
      </w:r>
      <w:r w:rsidR="00E941A9" w:rsidRPr="005D1B31">
        <w:rPr>
          <w:lang w:val="fr-FR"/>
        </w:rPr>
        <w:t>-20</w:t>
      </w:r>
      <w:r w:rsidR="00E941A9">
        <w:rPr>
          <w:lang w:val="fr-FR"/>
        </w:rPr>
        <w:t>20</w:t>
      </w:r>
      <w:r w:rsidR="00E941A9" w:rsidRPr="005D1B31">
        <w:rPr>
          <w:lang w:val="fr-FR"/>
        </w:rPr>
        <w:t xml:space="preserve"> serait le suivant :</w:t>
      </w:r>
    </w:p>
    <w:p w14:paraId="491EF40E" w14:textId="77777777" w:rsidR="00E941A9" w:rsidRPr="005D1B31" w:rsidRDefault="00E941A9" w:rsidP="00E941A9">
      <w:pPr>
        <w:pStyle w:val="H23G"/>
      </w:pPr>
      <w:r w:rsidRPr="005D1B31">
        <w:rPr>
          <w:lang w:val="fr-FR"/>
        </w:rPr>
        <w:tab/>
      </w:r>
      <w:r w:rsidRPr="005D1B31">
        <w:rPr>
          <w:lang w:val="fr-FR"/>
        </w:rPr>
        <w:tab/>
        <w:t>201</w:t>
      </w:r>
      <w:r>
        <w:rPr>
          <w:lang w:val="fr-FR"/>
        </w:rPr>
        <w:t>9</w:t>
      </w:r>
    </w:p>
    <w:p w14:paraId="43858877" w14:textId="77777777" w:rsidR="00E941A9" w:rsidRPr="005D1B31" w:rsidRDefault="00E941A9" w:rsidP="00E941A9">
      <w:pPr>
        <w:pStyle w:val="SingleTxtG"/>
        <w:tabs>
          <w:tab w:val="left" w:pos="4820"/>
        </w:tabs>
        <w:ind w:left="4820" w:hanging="3686"/>
        <w:jc w:val="left"/>
      </w:pPr>
      <w:r>
        <w:rPr>
          <w:lang w:val="fr-FR"/>
        </w:rPr>
        <w:t>1</w:t>
      </w:r>
      <w:r w:rsidR="00F644F0" w:rsidRPr="00F644F0">
        <w:rPr>
          <w:vertAlign w:val="superscript"/>
          <w:lang w:val="fr-FR"/>
        </w:rPr>
        <w:t>er</w:t>
      </w:r>
      <w:r>
        <w:rPr>
          <w:lang w:val="fr-FR"/>
        </w:rPr>
        <w:t>-5</w:t>
      </w:r>
      <w:r w:rsidRPr="005D1B31">
        <w:rPr>
          <w:lang w:val="fr-FR"/>
        </w:rPr>
        <w:t> juillet :</w:t>
      </w:r>
      <w:r w:rsidRPr="005D1B31">
        <w:rPr>
          <w:lang w:val="fr-FR"/>
        </w:rPr>
        <w:tab/>
        <w:t>Sous-Comité TMD, cinquante</w:t>
      </w:r>
      <w:r>
        <w:rPr>
          <w:lang w:val="fr-FR"/>
        </w:rPr>
        <w:t>-cinqu</w:t>
      </w:r>
      <w:r w:rsidRPr="005D1B31">
        <w:rPr>
          <w:lang w:val="fr-FR"/>
        </w:rPr>
        <w:t>ième session (10 réunions)</w:t>
      </w:r>
    </w:p>
    <w:p w14:paraId="74D10CBA" w14:textId="77777777" w:rsidR="00E941A9" w:rsidRPr="005D1B31" w:rsidRDefault="00E941A9" w:rsidP="00E941A9">
      <w:pPr>
        <w:pStyle w:val="SingleTxtG"/>
        <w:tabs>
          <w:tab w:val="left" w:pos="4820"/>
        </w:tabs>
        <w:ind w:left="4820" w:hanging="3686"/>
        <w:jc w:val="left"/>
      </w:pPr>
      <w:r>
        <w:rPr>
          <w:lang w:val="fr-FR"/>
        </w:rPr>
        <w:t>8</w:t>
      </w:r>
      <w:r w:rsidRPr="005D1B31">
        <w:rPr>
          <w:lang w:val="fr-FR"/>
        </w:rPr>
        <w:t>-1</w:t>
      </w:r>
      <w:r>
        <w:rPr>
          <w:lang w:val="fr-FR"/>
        </w:rPr>
        <w:t>0</w:t>
      </w:r>
      <w:r w:rsidRPr="005D1B31">
        <w:rPr>
          <w:lang w:val="fr-FR"/>
        </w:rPr>
        <w:t> juillet (matin) :</w:t>
      </w:r>
      <w:r w:rsidRPr="005D1B31">
        <w:rPr>
          <w:lang w:val="fr-FR"/>
        </w:rPr>
        <w:tab/>
        <w:t>Sous-Comité SGH, trente-</w:t>
      </w:r>
      <w:r>
        <w:rPr>
          <w:lang w:val="fr-FR"/>
        </w:rPr>
        <w:t>sept</w:t>
      </w:r>
      <w:r w:rsidRPr="005D1B31">
        <w:rPr>
          <w:lang w:val="fr-FR"/>
        </w:rPr>
        <w:t>ième session (5 réunions)</w:t>
      </w:r>
    </w:p>
    <w:p w14:paraId="12E23110" w14:textId="77777777" w:rsidR="00E941A9" w:rsidRPr="005D1B31" w:rsidRDefault="00E941A9" w:rsidP="00E941A9">
      <w:pPr>
        <w:pStyle w:val="SingleTxtG"/>
        <w:tabs>
          <w:tab w:val="left" w:pos="4820"/>
        </w:tabs>
        <w:ind w:left="4820" w:hanging="3686"/>
        <w:jc w:val="left"/>
      </w:pPr>
      <w:r w:rsidRPr="005D1B31">
        <w:rPr>
          <w:lang w:val="fr-FR"/>
        </w:rPr>
        <w:t>2-</w:t>
      </w:r>
      <w:r>
        <w:rPr>
          <w:lang w:val="fr-FR"/>
        </w:rPr>
        <w:t>11</w:t>
      </w:r>
      <w:r w:rsidRPr="005D1B31">
        <w:rPr>
          <w:lang w:val="fr-FR"/>
        </w:rPr>
        <w:t> décembre (matin)</w:t>
      </w:r>
      <w:r w:rsidRPr="00B26560">
        <w:rPr>
          <w:rStyle w:val="FootnoteReference"/>
        </w:rPr>
        <w:footnoteReference w:id="9"/>
      </w:r>
      <w:r w:rsidRPr="005D1B31">
        <w:rPr>
          <w:sz w:val="22"/>
          <w:lang w:val="fr-FR"/>
        </w:rPr>
        <w:t> </w:t>
      </w:r>
      <w:r w:rsidRPr="005D1B31">
        <w:rPr>
          <w:lang w:val="fr-FR"/>
        </w:rPr>
        <w:t>:</w:t>
      </w:r>
      <w:r w:rsidRPr="005D1B31">
        <w:rPr>
          <w:lang w:val="fr-FR"/>
        </w:rPr>
        <w:tab/>
        <w:t>Sous-Comité TMD, cinquante-</w:t>
      </w:r>
      <w:r>
        <w:rPr>
          <w:lang w:val="fr-FR"/>
        </w:rPr>
        <w:t>si</w:t>
      </w:r>
      <w:r w:rsidRPr="005D1B31">
        <w:rPr>
          <w:lang w:val="fr-FR"/>
        </w:rPr>
        <w:t>xième session (15 réunions)</w:t>
      </w:r>
    </w:p>
    <w:p w14:paraId="0A80DF19" w14:textId="77777777" w:rsidR="00E941A9" w:rsidRPr="005D1B31" w:rsidRDefault="00E941A9" w:rsidP="00E941A9">
      <w:pPr>
        <w:pStyle w:val="SingleTxtG"/>
        <w:tabs>
          <w:tab w:val="left" w:pos="4820"/>
        </w:tabs>
        <w:ind w:left="4820" w:hanging="3686"/>
        <w:jc w:val="left"/>
      </w:pPr>
      <w:r>
        <w:rPr>
          <w:lang w:val="fr-FR"/>
        </w:rPr>
        <w:t>11</w:t>
      </w:r>
      <w:r w:rsidRPr="005D1B31">
        <w:rPr>
          <w:lang w:val="fr-FR"/>
        </w:rPr>
        <w:t> (après-midi)</w:t>
      </w:r>
      <w:r w:rsidR="002E1D30" w:rsidRPr="002E1D30">
        <w:rPr>
          <w:sz w:val="18"/>
          <w:szCs w:val="18"/>
          <w:vertAlign w:val="superscript"/>
          <w:lang w:val="fr-FR"/>
        </w:rPr>
        <w:t>5</w:t>
      </w:r>
      <w:r w:rsidR="00FC1329">
        <w:rPr>
          <w:sz w:val="18"/>
          <w:szCs w:val="18"/>
          <w:lang w:val="fr-FR"/>
        </w:rPr>
        <w:t>-</w:t>
      </w:r>
      <w:r w:rsidR="00FC1329" w:rsidRPr="000630D7">
        <w:rPr>
          <w:lang w:val="fr-FR"/>
        </w:rPr>
        <w:t>13</w:t>
      </w:r>
      <w:r w:rsidRPr="005D1B31">
        <w:rPr>
          <w:lang w:val="fr-FR"/>
        </w:rPr>
        <w:t> décembre :</w:t>
      </w:r>
      <w:r w:rsidRPr="005D1B31">
        <w:rPr>
          <w:lang w:val="fr-FR"/>
        </w:rPr>
        <w:tab/>
        <w:t>Sous-Comité SGH, trente-</w:t>
      </w:r>
      <w:r>
        <w:rPr>
          <w:lang w:val="fr-FR"/>
        </w:rPr>
        <w:t>huit</w:t>
      </w:r>
      <w:r w:rsidRPr="005D1B31">
        <w:rPr>
          <w:lang w:val="fr-FR"/>
        </w:rPr>
        <w:t>ième session (5 réunions)</w:t>
      </w:r>
    </w:p>
    <w:p w14:paraId="0CFB82F9" w14:textId="77777777" w:rsidR="00E941A9" w:rsidRPr="005D1B31" w:rsidRDefault="00E941A9" w:rsidP="00E941A9">
      <w:pPr>
        <w:pStyle w:val="H4G"/>
        <w:rPr>
          <w:i w:val="0"/>
        </w:rPr>
      </w:pPr>
      <w:r w:rsidRPr="005D1B31">
        <w:rPr>
          <w:lang w:val="fr-FR"/>
        </w:rPr>
        <w:tab/>
      </w:r>
      <w:r w:rsidRPr="005D1B31">
        <w:rPr>
          <w:lang w:val="fr-FR"/>
        </w:rPr>
        <w:tab/>
        <w:t>Total </w:t>
      </w:r>
      <w:r w:rsidRPr="005D1B31">
        <w:rPr>
          <w:i w:val="0"/>
          <w:lang w:val="fr-FR"/>
        </w:rPr>
        <w:t>:</w:t>
      </w:r>
    </w:p>
    <w:p w14:paraId="27DC4979" w14:textId="77777777" w:rsidR="00E941A9" w:rsidRPr="005D1B31" w:rsidRDefault="00E941A9" w:rsidP="00E941A9">
      <w:pPr>
        <w:pStyle w:val="SingleTxtG"/>
        <w:tabs>
          <w:tab w:val="left" w:pos="2977"/>
        </w:tabs>
      </w:pPr>
      <w:r w:rsidRPr="005D1B31">
        <w:rPr>
          <w:lang w:val="fr-FR"/>
        </w:rPr>
        <w:t>Sous-Comité TMD :</w:t>
      </w:r>
      <w:r w:rsidRPr="005D1B31">
        <w:rPr>
          <w:lang w:val="fr-FR"/>
        </w:rPr>
        <w:tab/>
        <w:t>25 séances</w:t>
      </w:r>
      <w:r w:rsidRPr="007017E0">
        <w:rPr>
          <w:sz w:val="18"/>
          <w:szCs w:val="18"/>
          <w:vertAlign w:val="superscript"/>
          <w:lang w:val="fr-FR"/>
        </w:rPr>
        <w:t>5</w:t>
      </w:r>
    </w:p>
    <w:p w14:paraId="48FB7794" w14:textId="77777777" w:rsidR="00E941A9" w:rsidRPr="007017E0" w:rsidRDefault="00E941A9" w:rsidP="00E941A9">
      <w:pPr>
        <w:pStyle w:val="SingleTxtG"/>
        <w:tabs>
          <w:tab w:val="left" w:pos="2977"/>
        </w:tabs>
      </w:pPr>
      <w:r w:rsidRPr="005D1B31">
        <w:rPr>
          <w:lang w:val="fr-FR"/>
        </w:rPr>
        <w:t xml:space="preserve">Sous-Comité SGH : </w:t>
      </w:r>
      <w:r w:rsidRPr="005D1B31">
        <w:rPr>
          <w:lang w:val="fr-FR"/>
        </w:rPr>
        <w:tab/>
        <w:t>10 séances</w:t>
      </w:r>
      <w:r w:rsidRPr="007017E0">
        <w:rPr>
          <w:sz w:val="18"/>
          <w:szCs w:val="18"/>
          <w:vertAlign w:val="superscript"/>
          <w:lang w:val="fr-FR"/>
        </w:rPr>
        <w:t>5</w:t>
      </w:r>
    </w:p>
    <w:p w14:paraId="722753B0" w14:textId="77777777" w:rsidR="00E941A9" w:rsidRPr="005D1B31" w:rsidRDefault="00E941A9" w:rsidP="00E941A9">
      <w:pPr>
        <w:pStyle w:val="H23G"/>
      </w:pPr>
      <w:r w:rsidRPr="005D1B31">
        <w:rPr>
          <w:lang w:val="fr-FR"/>
        </w:rPr>
        <w:lastRenderedPageBreak/>
        <w:tab/>
      </w:r>
      <w:r w:rsidRPr="005D1B31">
        <w:rPr>
          <w:lang w:val="fr-FR"/>
        </w:rPr>
        <w:tab/>
        <w:t>20</w:t>
      </w:r>
      <w:r>
        <w:rPr>
          <w:lang w:val="fr-FR"/>
        </w:rPr>
        <w:t>20</w:t>
      </w:r>
    </w:p>
    <w:p w14:paraId="69C2687E" w14:textId="77777777" w:rsidR="00E941A9" w:rsidRPr="005D1B31" w:rsidRDefault="00E941A9" w:rsidP="00E941A9">
      <w:pPr>
        <w:pStyle w:val="SingleTxtG"/>
        <w:tabs>
          <w:tab w:val="left" w:pos="4820"/>
        </w:tabs>
        <w:ind w:left="4820" w:hanging="3686"/>
        <w:jc w:val="left"/>
      </w:pPr>
      <w:r w:rsidRPr="005D1B31">
        <w:rPr>
          <w:lang w:val="fr-FR"/>
        </w:rPr>
        <w:t>2</w:t>
      </w:r>
      <w:r>
        <w:rPr>
          <w:lang w:val="fr-FR"/>
        </w:rPr>
        <w:t>9</w:t>
      </w:r>
      <w:r w:rsidRPr="005D1B31">
        <w:rPr>
          <w:lang w:val="fr-FR"/>
        </w:rPr>
        <w:t> juin-</w:t>
      </w:r>
      <w:r>
        <w:rPr>
          <w:lang w:val="fr-FR"/>
        </w:rPr>
        <w:t>8</w:t>
      </w:r>
      <w:r w:rsidRPr="005D1B31">
        <w:rPr>
          <w:lang w:val="fr-FR"/>
        </w:rPr>
        <w:t> juillet (matin)</w:t>
      </w:r>
      <w:bookmarkStart w:id="1" w:name="_Hlk5096520"/>
      <w:r w:rsidRPr="005D1B31">
        <w:rPr>
          <w:sz w:val="18"/>
          <w:szCs w:val="18"/>
          <w:vertAlign w:val="superscript"/>
          <w:lang w:val="fr-FR"/>
        </w:rPr>
        <w:t>5</w:t>
      </w:r>
      <w:bookmarkEnd w:id="1"/>
      <w:r w:rsidRPr="005D1B31">
        <w:rPr>
          <w:lang w:val="fr-FR"/>
        </w:rPr>
        <w:t> :</w:t>
      </w:r>
      <w:r w:rsidRPr="005D1B31">
        <w:rPr>
          <w:lang w:val="fr-FR"/>
        </w:rPr>
        <w:tab/>
        <w:t>Sous-Comité TMD, cinquante-</w:t>
      </w:r>
      <w:r>
        <w:rPr>
          <w:lang w:val="fr-FR"/>
        </w:rPr>
        <w:t>sept</w:t>
      </w:r>
      <w:r w:rsidRPr="005D1B31">
        <w:rPr>
          <w:lang w:val="fr-FR"/>
        </w:rPr>
        <w:t>ième session (15 réunions)</w:t>
      </w:r>
    </w:p>
    <w:p w14:paraId="622F96CB" w14:textId="77777777" w:rsidR="00E941A9" w:rsidRPr="005D1B31" w:rsidRDefault="00E941A9" w:rsidP="00E941A9">
      <w:pPr>
        <w:pStyle w:val="SingleTxtG"/>
        <w:tabs>
          <w:tab w:val="left" w:pos="4820"/>
        </w:tabs>
        <w:ind w:left="4820" w:hanging="3686"/>
        <w:jc w:val="left"/>
      </w:pPr>
      <w:r>
        <w:rPr>
          <w:lang w:val="fr-FR"/>
        </w:rPr>
        <w:t>8</w:t>
      </w:r>
      <w:r w:rsidRPr="005D1B31">
        <w:rPr>
          <w:lang w:val="fr-FR"/>
        </w:rPr>
        <w:t> (après-midi)</w:t>
      </w:r>
      <w:r w:rsidRPr="00DC6094">
        <w:rPr>
          <w:sz w:val="18"/>
          <w:szCs w:val="18"/>
          <w:vertAlign w:val="superscript"/>
          <w:lang w:val="fr-FR"/>
        </w:rPr>
        <w:t>5</w:t>
      </w:r>
      <w:r w:rsidRPr="005D1B31">
        <w:rPr>
          <w:lang w:val="fr-FR"/>
        </w:rPr>
        <w:t>-</w:t>
      </w:r>
      <w:r>
        <w:rPr>
          <w:lang w:val="fr-FR"/>
        </w:rPr>
        <w:t>10</w:t>
      </w:r>
      <w:r w:rsidRPr="005D1B31">
        <w:rPr>
          <w:lang w:val="fr-FR"/>
        </w:rPr>
        <w:t> juillet :</w:t>
      </w:r>
      <w:r w:rsidRPr="005D1B31">
        <w:rPr>
          <w:lang w:val="fr-FR"/>
        </w:rPr>
        <w:tab/>
        <w:t>Sous-Comité SGH, trente-</w:t>
      </w:r>
      <w:r>
        <w:rPr>
          <w:lang w:val="fr-FR"/>
        </w:rPr>
        <w:t>neuv</w:t>
      </w:r>
      <w:r w:rsidRPr="005D1B31">
        <w:rPr>
          <w:lang w:val="fr-FR"/>
        </w:rPr>
        <w:t>ième session (5 réunions)</w:t>
      </w:r>
    </w:p>
    <w:p w14:paraId="56B8CE99" w14:textId="77777777" w:rsidR="00E941A9" w:rsidRPr="005D1B31" w:rsidRDefault="00E941A9" w:rsidP="00E941A9">
      <w:pPr>
        <w:pStyle w:val="SingleTxtG"/>
        <w:tabs>
          <w:tab w:val="left" w:pos="4820"/>
        </w:tabs>
        <w:ind w:left="4820" w:hanging="3686"/>
        <w:jc w:val="left"/>
      </w:pPr>
      <w:r>
        <w:rPr>
          <w:lang w:val="fr-FR"/>
        </w:rPr>
        <w:t>30</w:t>
      </w:r>
      <w:r w:rsidRPr="005D1B31">
        <w:rPr>
          <w:lang w:val="fr-FR"/>
        </w:rPr>
        <w:t> novembre-</w:t>
      </w:r>
      <w:r>
        <w:rPr>
          <w:lang w:val="fr-FR"/>
        </w:rPr>
        <w:t>8</w:t>
      </w:r>
      <w:r w:rsidRPr="005D1B31">
        <w:rPr>
          <w:lang w:val="fr-FR"/>
        </w:rPr>
        <w:t xml:space="preserve"> décembre : </w:t>
      </w:r>
      <w:r w:rsidRPr="005D1B31">
        <w:rPr>
          <w:lang w:val="fr-FR"/>
        </w:rPr>
        <w:tab/>
        <w:t>Sous-Comité TMD, cinquante-</w:t>
      </w:r>
      <w:r>
        <w:rPr>
          <w:lang w:val="fr-FR"/>
        </w:rPr>
        <w:t>huit</w:t>
      </w:r>
      <w:r w:rsidRPr="005D1B31">
        <w:rPr>
          <w:lang w:val="fr-FR"/>
        </w:rPr>
        <w:t>ième session (14 réunions)</w:t>
      </w:r>
    </w:p>
    <w:p w14:paraId="0ADAB028" w14:textId="77777777" w:rsidR="00E941A9" w:rsidRPr="005D1B31" w:rsidRDefault="00E941A9" w:rsidP="00E941A9">
      <w:pPr>
        <w:pStyle w:val="SingleTxtG"/>
        <w:tabs>
          <w:tab w:val="left" w:pos="4820"/>
        </w:tabs>
        <w:ind w:left="4820" w:hanging="3686"/>
        <w:jc w:val="left"/>
      </w:pPr>
      <w:r>
        <w:rPr>
          <w:lang w:val="fr-FR"/>
        </w:rPr>
        <w:t>9</w:t>
      </w:r>
      <w:r w:rsidR="00FE46B1">
        <w:rPr>
          <w:lang w:val="fr-FR"/>
        </w:rPr>
        <w:t>-</w:t>
      </w:r>
      <w:r>
        <w:rPr>
          <w:lang w:val="fr-FR"/>
        </w:rPr>
        <w:t>11</w:t>
      </w:r>
      <w:r w:rsidRPr="005D1B31">
        <w:rPr>
          <w:lang w:val="fr-FR"/>
        </w:rPr>
        <w:t xml:space="preserve"> décembre (matin) : </w:t>
      </w:r>
      <w:r w:rsidRPr="005D1B31">
        <w:rPr>
          <w:lang w:val="fr-FR"/>
        </w:rPr>
        <w:tab/>
        <w:t xml:space="preserve">Sous-Comité SGH, </w:t>
      </w:r>
      <w:r>
        <w:rPr>
          <w:lang w:val="fr-FR"/>
        </w:rPr>
        <w:t>quarant</w:t>
      </w:r>
      <w:r w:rsidRPr="005D1B31">
        <w:rPr>
          <w:lang w:val="fr-FR"/>
        </w:rPr>
        <w:t>ième session (5 réunions)</w:t>
      </w:r>
    </w:p>
    <w:p w14:paraId="02A4A994" w14:textId="77777777" w:rsidR="00E941A9" w:rsidRPr="005D1B31" w:rsidRDefault="00E941A9" w:rsidP="00E941A9">
      <w:pPr>
        <w:pStyle w:val="SingleTxtG"/>
        <w:tabs>
          <w:tab w:val="left" w:pos="4820"/>
        </w:tabs>
        <w:ind w:left="4820" w:hanging="3686"/>
        <w:jc w:val="left"/>
      </w:pPr>
      <w:r>
        <w:rPr>
          <w:lang w:val="fr-FR"/>
        </w:rPr>
        <w:t>11</w:t>
      </w:r>
      <w:r w:rsidRPr="005D1B31">
        <w:rPr>
          <w:lang w:val="fr-FR"/>
        </w:rPr>
        <w:t xml:space="preserve"> décembre (après-midi) : </w:t>
      </w:r>
      <w:r w:rsidRPr="005D1B31">
        <w:rPr>
          <w:lang w:val="fr-FR"/>
        </w:rPr>
        <w:tab/>
      </w:r>
      <w:r w:rsidR="00FE46B1">
        <w:rPr>
          <w:lang w:val="fr-FR"/>
        </w:rPr>
        <w:t>Groupe de travail TMD-SGH</w:t>
      </w:r>
      <w:r w:rsidRPr="005D1B31">
        <w:rPr>
          <w:lang w:val="fr-FR"/>
        </w:rPr>
        <w:t xml:space="preserve">, </w:t>
      </w:r>
      <w:r w:rsidR="00817E37">
        <w:rPr>
          <w:lang w:val="fr-FR"/>
        </w:rPr>
        <w:br/>
      </w:r>
      <w:r>
        <w:rPr>
          <w:lang w:val="fr-FR"/>
        </w:rPr>
        <w:t>dix</w:t>
      </w:r>
      <w:r w:rsidRPr="005D1B31">
        <w:rPr>
          <w:lang w:val="fr-FR"/>
        </w:rPr>
        <w:t>ième session (1 réunion)</w:t>
      </w:r>
    </w:p>
    <w:p w14:paraId="020A4B57" w14:textId="77777777" w:rsidR="00E941A9" w:rsidRPr="005D1B31" w:rsidRDefault="00E941A9" w:rsidP="00E941A9">
      <w:pPr>
        <w:pStyle w:val="H4G"/>
        <w:rPr>
          <w:i w:val="0"/>
        </w:rPr>
      </w:pPr>
      <w:r w:rsidRPr="005D1B31">
        <w:rPr>
          <w:lang w:val="fr-FR"/>
        </w:rPr>
        <w:tab/>
      </w:r>
      <w:r w:rsidRPr="005D1B31">
        <w:rPr>
          <w:lang w:val="fr-FR"/>
        </w:rPr>
        <w:tab/>
        <w:t>Total </w:t>
      </w:r>
      <w:r w:rsidRPr="005D1B31">
        <w:rPr>
          <w:i w:val="0"/>
          <w:lang w:val="fr-FR"/>
        </w:rPr>
        <w:t>:</w:t>
      </w:r>
    </w:p>
    <w:p w14:paraId="5FF90167" w14:textId="77777777" w:rsidR="00E941A9" w:rsidRPr="005D1B31" w:rsidRDefault="00E941A9" w:rsidP="00E941A9">
      <w:pPr>
        <w:pStyle w:val="SingleTxtG"/>
        <w:tabs>
          <w:tab w:val="left" w:pos="2977"/>
        </w:tabs>
      </w:pPr>
      <w:r w:rsidRPr="005D1B31">
        <w:rPr>
          <w:lang w:val="fr-FR"/>
        </w:rPr>
        <w:t>Sous-Comité TMD :</w:t>
      </w:r>
      <w:r w:rsidRPr="005D1B31">
        <w:rPr>
          <w:lang w:val="fr-FR"/>
        </w:rPr>
        <w:tab/>
        <w:t>29 réunions</w:t>
      </w:r>
      <w:r>
        <w:rPr>
          <w:vertAlign w:val="superscript"/>
          <w:lang w:val="fr-FR"/>
        </w:rPr>
        <w:t>5</w:t>
      </w:r>
    </w:p>
    <w:p w14:paraId="6EB7B11D" w14:textId="77777777" w:rsidR="00E941A9" w:rsidRPr="005D1B31" w:rsidRDefault="00E941A9" w:rsidP="00E941A9">
      <w:pPr>
        <w:pStyle w:val="SingleTxtG"/>
        <w:tabs>
          <w:tab w:val="left" w:pos="2977"/>
        </w:tabs>
      </w:pPr>
      <w:r w:rsidRPr="005D1B31">
        <w:rPr>
          <w:lang w:val="fr-FR"/>
        </w:rPr>
        <w:t>Sous-Comité SGH :</w:t>
      </w:r>
      <w:r w:rsidRPr="005D1B31">
        <w:rPr>
          <w:lang w:val="fr-FR"/>
        </w:rPr>
        <w:tab/>
        <w:t>10 réunions</w:t>
      </w:r>
      <w:r>
        <w:rPr>
          <w:vertAlign w:val="superscript"/>
          <w:lang w:val="fr-FR"/>
        </w:rPr>
        <w:t>5</w:t>
      </w:r>
    </w:p>
    <w:p w14:paraId="1812A2E5" w14:textId="77777777" w:rsidR="00E941A9" w:rsidRPr="005D1B31" w:rsidRDefault="00E941A9" w:rsidP="00E941A9">
      <w:pPr>
        <w:pStyle w:val="SingleTxtG"/>
        <w:tabs>
          <w:tab w:val="left" w:pos="2977"/>
        </w:tabs>
      </w:pPr>
      <w:r w:rsidRPr="005D1B31">
        <w:rPr>
          <w:lang w:val="fr-FR"/>
        </w:rPr>
        <w:t xml:space="preserve">Comité : </w:t>
      </w:r>
      <w:r w:rsidRPr="005D1B31">
        <w:rPr>
          <w:lang w:val="fr-FR"/>
        </w:rPr>
        <w:tab/>
        <w:t>1 réunion</w:t>
      </w:r>
    </w:p>
    <w:p w14:paraId="1DFFDA53" w14:textId="77777777" w:rsidR="00E941A9" w:rsidRPr="005D1B31" w:rsidRDefault="00E941A9" w:rsidP="00A11CCE">
      <w:pPr>
        <w:pStyle w:val="HChG"/>
      </w:pPr>
      <w:r w:rsidRPr="005D1B31">
        <w:rPr>
          <w:lang w:val="fr-FR"/>
        </w:rPr>
        <w:tab/>
        <w:t>VIII.</w:t>
      </w:r>
      <w:r w:rsidRPr="005D1B31">
        <w:rPr>
          <w:lang w:val="fr-FR"/>
        </w:rPr>
        <w:tab/>
        <w:t>Projet de résolution 201</w:t>
      </w:r>
      <w:r>
        <w:rPr>
          <w:lang w:val="fr-FR"/>
        </w:rPr>
        <w:t>9</w:t>
      </w:r>
      <w:r w:rsidRPr="005D1B31">
        <w:rPr>
          <w:lang w:val="fr-FR"/>
        </w:rPr>
        <w:t>/… du Conseil économique et social (point 7 de l</w:t>
      </w:r>
      <w:r w:rsidR="00341801">
        <w:rPr>
          <w:lang w:val="fr-FR"/>
        </w:rPr>
        <w:t>’</w:t>
      </w:r>
      <w:r w:rsidRPr="005D1B31">
        <w:rPr>
          <w:lang w:val="fr-FR"/>
        </w:rPr>
        <w:t xml:space="preserve">ordre </w:t>
      </w:r>
      <w:r w:rsidRPr="00A11CCE">
        <w:t>du</w:t>
      </w:r>
      <w:r w:rsidRPr="005D1B31">
        <w:rPr>
          <w:lang w:val="fr-FR"/>
        </w:rPr>
        <w:t xml:space="preserve"> jour)</w:t>
      </w:r>
    </w:p>
    <w:p w14:paraId="7B675F4A" w14:textId="77777777" w:rsidR="00E941A9" w:rsidRPr="005D1B31" w:rsidRDefault="00E941A9" w:rsidP="00FC6D8E">
      <w:pPr>
        <w:pStyle w:val="SingleTxtG"/>
        <w:keepNext/>
        <w:keepLines/>
        <w:ind w:left="3119" w:hanging="1985"/>
        <w:jc w:val="left"/>
      </w:pPr>
      <w:r w:rsidRPr="005D1B31">
        <w:rPr>
          <w:i/>
          <w:lang w:val="fr-FR"/>
        </w:rPr>
        <w:t>Document</w:t>
      </w:r>
      <w:r w:rsidR="004B04A9">
        <w:rPr>
          <w:i/>
          <w:lang w:val="fr-FR"/>
        </w:rPr>
        <w:t>s</w:t>
      </w:r>
      <w:r w:rsidRPr="005D1B31">
        <w:rPr>
          <w:i/>
          <w:lang w:val="fr-FR"/>
        </w:rPr>
        <w:t xml:space="preserve"> informel</w:t>
      </w:r>
      <w:r w:rsidR="004B04A9">
        <w:rPr>
          <w:i/>
          <w:lang w:val="fr-FR"/>
        </w:rPr>
        <w:t>s</w:t>
      </w:r>
      <w:r w:rsidRPr="005D1B31">
        <w:rPr>
          <w:lang w:val="fr-FR"/>
        </w:rPr>
        <w:t> :</w:t>
      </w:r>
      <w:r w:rsidRPr="005D1B31">
        <w:rPr>
          <w:lang w:val="fr-FR"/>
        </w:rPr>
        <w:tab/>
      </w:r>
      <w:r w:rsidRPr="00FF72D4">
        <w:rPr>
          <w:lang w:val="fr-FR"/>
        </w:rPr>
        <w:t>INF.33 (cinquante-quatrième session du Sous-</w:t>
      </w:r>
      <w:bookmarkStart w:id="2" w:name="_Hlk5113091"/>
      <w:r w:rsidRPr="00FF72D4">
        <w:rPr>
          <w:lang w:val="fr-FR"/>
        </w:rPr>
        <w:t>Comité</w:t>
      </w:r>
      <w:bookmarkEnd w:id="2"/>
      <w:r w:rsidRPr="00FF72D4">
        <w:rPr>
          <w:lang w:val="fr-FR"/>
        </w:rPr>
        <w:t xml:space="preserve"> TMD) </w:t>
      </w:r>
      <w:r w:rsidR="00420B8D">
        <w:rPr>
          <w:lang w:val="fr-FR"/>
        </w:rPr>
        <w:t>−</w:t>
      </w:r>
      <w:r w:rsidRPr="00FF72D4">
        <w:rPr>
          <w:lang w:val="fr-FR"/>
        </w:rPr>
        <w:t xml:space="preserve"> INF.21 (trente-sixième session du Comité SGH)</w:t>
      </w:r>
      <w:r w:rsidRPr="005D1B31">
        <w:rPr>
          <w:lang w:val="fr-FR"/>
        </w:rPr>
        <w:t>.</w:t>
      </w:r>
    </w:p>
    <w:p w14:paraId="47BFA27A" w14:textId="77777777" w:rsidR="00E941A9" w:rsidRPr="005D1B31" w:rsidRDefault="0056094D" w:rsidP="0056094D">
      <w:pPr>
        <w:pStyle w:val="ParNoG"/>
        <w:numPr>
          <w:ilvl w:val="0"/>
          <w:numId w:val="0"/>
        </w:numPr>
        <w:ind w:left="1134"/>
      </w:pPr>
      <w:r w:rsidRPr="005D1B31">
        <w:t>18.</w:t>
      </w:r>
      <w:r w:rsidRPr="005D1B31">
        <w:tab/>
      </w:r>
      <w:r w:rsidR="00E941A9" w:rsidRPr="005D1B31">
        <w:rPr>
          <w:lang w:val="fr-FR"/>
        </w:rPr>
        <w:t>Le Comité a adopté un projet de résolution pour examen par le Conseil à sa session de 201</w:t>
      </w:r>
      <w:r w:rsidR="00E941A9">
        <w:rPr>
          <w:lang w:val="fr-FR"/>
        </w:rPr>
        <w:t>9</w:t>
      </w:r>
      <w:r w:rsidR="00E941A9" w:rsidRPr="005D1B31">
        <w:rPr>
          <w:lang w:val="fr-FR"/>
        </w:rPr>
        <w:t xml:space="preserve"> (voir annexe IV).</w:t>
      </w:r>
    </w:p>
    <w:p w14:paraId="1DC90142" w14:textId="77777777" w:rsidR="00E941A9" w:rsidRPr="005D1B31" w:rsidRDefault="00E941A9" w:rsidP="00420B8D">
      <w:pPr>
        <w:pStyle w:val="HChG"/>
        <w:rPr>
          <w:bCs/>
        </w:rPr>
      </w:pPr>
      <w:r w:rsidRPr="005D1B31">
        <w:rPr>
          <w:lang w:val="fr-FR"/>
        </w:rPr>
        <w:tab/>
        <w:t>IX.</w:t>
      </w:r>
      <w:r w:rsidRPr="005D1B31">
        <w:rPr>
          <w:lang w:val="fr-FR"/>
        </w:rPr>
        <w:tab/>
        <w:t>Questions diverses (point 8 de l</w:t>
      </w:r>
      <w:r w:rsidR="00341801">
        <w:rPr>
          <w:lang w:val="fr-FR"/>
        </w:rPr>
        <w:t>’</w:t>
      </w:r>
      <w:r w:rsidRPr="005D1B31">
        <w:rPr>
          <w:lang w:val="fr-FR"/>
        </w:rPr>
        <w:t>ordre du jour)</w:t>
      </w:r>
    </w:p>
    <w:p w14:paraId="4341F9C6" w14:textId="77777777" w:rsidR="00E941A9" w:rsidRPr="005D1B31" w:rsidRDefault="0056094D" w:rsidP="0056094D">
      <w:pPr>
        <w:pStyle w:val="ParNoG"/>
        <w:numPr>
          <w:ilvl w:val="0"/>
          <w:numId w:val="0"/>
        </w:numPr>
        <w:ind w:left="1134"/>
      </w:pPr>
      <w:r w:rsidRPr="005D1B31">
        <w:t>19.</w:t>
      </w:r>
      <w:r w:rsidRPr="005D1B31">
        <w:tab/>
      </w:r>
      <w:r w:rsidR="00E941A9" w:rsidRPr="009D4442">
        <w:rPr>
          <w:lang w:val="fr-FR"/>
        </w:rPr>
        <w:t>Notant que les travaux visant à faciliter l</w:t>
      </w:r>
      <w:r w:rsidR="00341801">
        <w:rPr>
          <w:lang w:val="fr-FR"/>
        </w:rPr>
        <w:t>’</w:t>
      </w:r>
      <w:r w:rsidR="00E941A9" w:rsidRPr="009D4442">
        <w:rPr>
          <w:lang w:val="fr-FR"/>
        </w:rPr>
        <w:t>utilisation du Manuel d</w:t>
      </w:r>
      <w:r w:rsidR="00341801">
        <w:rPr>
          <w:lang w:val="fr-FR"/>
        </w:rPr>
        <w:t>’</w:t>
      </w:r>
      <w:r w:rsidR="00E941A9" w:rsidRPr="009D4442">
        <w:rPr>
          <w:lang w:val="fr-FR"/>
        </w:rPr>
        <w:t xml:space="preserve">épreuves et de critères dans le contexte du SGH étaient achevés, le Comité a estimé que la référence aux </w:t>
      </w:r>
      <w:r w:rsidR="00420B8D">
        <w:rPr>
          <w:lang w:val="fr-FR"/>
        </w:rPr>
        <w:t>« </w:t>
      </w:r>
      <w:r w:rsidR="00E941A9" w:rsidRPr="009D4442">
        <w:rPr>
          <w:lang w:val="fr-FR"/>
        </w:rPr>
        <w:t>Recommandations relatives au transport des marchandises dangereuses</w:t>
      </w:r>
      <w:r w:rsidR="003D56BB">
        <w:rPr>
          <w:lang w:val="fr-FR"/>
        </w:rPr>
        <w:t> »</w:t>
      </w:r>
      <w:r w:rsidR="00E941A9" w:rsidRPr="009D4442">
        <w:rPr>
          <w:lang w:val="fr-FR"/>
        </w:rPr>
        <w:t xml:space="preserve"> n</w:t>
      </w:r>
      <w:r w:rsidR="00341801">
        <w:rPr>
          <w:lang w:val="fr-FR"/>
        </w:rPr>
        <w:t>’</w:t>
      </w:r>
      <w:r w:rsidR="00E941A9" w:rsidRPr="009D4442">
        <w:rPr>
          <w:lang w:val="fr-FR"/>
        </w:rPr>
        <w:t xml:space="preserve">était plus appropriée et que le Manuel devrait désormais </w:t>
      </w:r>
      <w:r w:rsidR="00E941A9">
        <w:rPr>
          <w:lang w:val="fr-FR"/>
        </w:rPr>
        <w:t>s</w:t>
      </w:r>
      <w:r w:rsidR="00341801">
        <w:rPr>
          <w:lang w:val="fr-FR"/>
        </w:rPr>
        <w:t>’</w:t>
      </w:r>
      <w:r w:rsidR="00E941A9" w:rsidRPr="009D4442">
        <w:rPr>
          <w:lang w:val="fr-FR"/>
        </w:rPr>
        <w:t>intitul</w:t>
      </w:r>
      <w:r w:rsidR="00E941A9">
        <w:rPr>
          <w:lang w:val="fr-FR"/>
        </w:rPr>
        <w:t>er</w:t>
      </w:r>
      <w:r w:rsidR="00E941A9" w:rsidRPr="009D4442">
        <w:rPr>
          <w:lang w:val="fr-FR"/>
        </w:rPr>
        <w:t xml:space="preserve"> </w:t>
      </w:r>
      <w:r w:rsidR="003D56BB">
        <w:rPr>
          <w:lang w:val="fr-FR"/>
        </w:rPr>
        <w:t>« </w:t>
      </w:r>
      <w:r w:rsidR="00E941A9" w:rsidRPr="009D4442">
        <w:rPr>
          <w:lang w:val="fr-FR"/>
        </w:rPr>
        <w:t>Manuel d</w:t>
      </w:r>
      <w:r w:rsidR="00341801">
        <w:rPr>
          <w:lang w:val="fr-FR"/>
        </w:rPr>
        <w:t>’</w:t>
      </w:r>
      <w:r w:rsidR="00E941A9" w:rsidRPr="009D4442">
        <w:rPr>
          <w:lang w:val="fr-FR"/>
        </w:rPr>
        <w:t>épreuves et de critères</w:t>
      </w:r>
      <w:r w:rsidR="00420B8D">
        <w:rPr>
          <w:lang w:val="fr-FR"/>
        </w:rPr>
        <w:t> »</w:t>
      </w:r>
      <w:r w:rsidR="00E941A9" w:rsidRPr="005D1B31">
        <w:rPr>
          <w:lang w:val="fr-FR"/>
        </w:rPr>
        <w:t>.</w:t>
      </w:r>
      <w:r w:rsidR="00E941A9">
        <w:rPr>
          <w:lang w:val="fr-FR"/>
        </w:rPr>
        <w:t xml:space="preserve"> </w:t>
      </w:r>
      <w:r w:rsidR="00E941A9" w:rsidRPr="009D4442">
        <w:rPr>
          <w:lang w:val="fr-FR"/>
        </w:rPr>
        <w:t xml:space="preserve">Le secrétariat a été prié de </w:t>
      </w:r>
      <w:r w:rsidR="00E941A9">
        <w:rPr>
          <w:lang w:val="fr-FR"/>
        </w:rPr>
        <w:t>faire le</w:t>
      </w:r>
      <w:r w:rsidR="00E941A9" w:rsidRPr="009D4442">
        <w:rPr>
          <w:lang w:val="fr-FR"/>
        </w:rPr>
        <w:t xml:space="preserve"> nécessaire pour </w:t>
      </w:r>
      <w:r w:rsidR="00E941A9">
        <w:rPr>
          <w:lang w:val="fr-FR"/>
        </w:rPr>
        <w:t>qu</w:t>
      </w:r>
      <w:r w:rsidR="00341801">
        <w:rPr>
          <w:lang w:val="fr-FR"/>
        </w:rPr>
        <w:t>’</w:t>
      </w:r>
      <w:r w:rsidR="00E941A9">
        <w:rPr>
          <w:lang w:val="fr-FR"/>
        </w:rPr>
        <w:t xml:space="preserve">il soit </w:t>
      </w:r>
      <w:r w:rsidR="00E941A9" w:rsidRPr="009D4442">
        <w:rPr>
          <w:lang w:val="fr-FR"/>
        </w:rPr>
        <w:t>ten</w:t>
      </w:r>
      <w:r w:rsidR="00E941A9">
        <w:rPr>
          <w:lang w:val="fr-FR"/>
        </w:rPr>
        <w:t>u</w:t>
      </w:r>
      <w:r w:rsidR="00E941A9" w:rsidRPr="009D4442">
        <w:rPr>
          <w:lang w:val="fr-FR"/>
        </w:rPr>
        <w:t xml:space="preserve"> compte de cette modification dans la septième édition révisée du Manuel</w:t>
      </w:r>
      <w:r w:rsidR="00E941A9">
        <w:rPr>
          <w:lang w:val="fr-FR"/>
        </w:rPr>
        <w:t>,</w:t>
      </w:r>
      <w:r w:rsidR="00E941A9" w:rsidRPr="009D4442">
        <w:rPr>
          <w:lang w:val="fr-FR"/>
        </w:rPr>
        <w:t xml:space="preserve"> </w:t>
      </w:r>
      <w:r w:rsidR="00E941A9">
        <w:rPr>
          <w:lang w:val="fr-FR"/>
        </w:rPr>
        <w:t>à paraître</w:t>
      </w:r>
      <w:r w:rsidR="00E941A9" w:rsidRPr="009D4442">
        <w:rPr>
          <w:lang w:val="fr-FR"/>
        </w:rPr>
        <w:t xml:space="preserve"> en 2019.</w:t>
      </w:r>
    </w:p>
    <w:p w14:paraId="5517EEA1" w14:textId="77777777" w:rsidR="00E941A9" w:rsidRPr="005D1B31" w:rsidRDefault="00E941A9" w:rsidP="00420B8D">
      <w:pPr>
        <w:pStyle w:val="HChG"/>
        <w:rPr>
          <w:bCs/>
        </w:rPr>
      </w:pPr>
      <w:r w:rsidRPr="005D1B31">
        <w:rPr>
          <w:lang w:val="fr-FR"/>
        </w:rPr>
        <w:tab/>
        <w:t>X.</w:t>
      </w:r>
      <w:r w:rsidRPr="005D1B31">
        <w:rPr>
          <w:lang w:val="fr-FR"/>
        </w:rPr>
        <w:tab/>
        <w:t>Adoption du rapport (point 9 de l</w:t>
      </w:r>
      <w:r w:rsidR="00341801">
        <w:rPr>
          <w:lang w:val="fr-FR"/>
        </w:rPr>
        <w:t>’</w:t>
      </w:r>
      <w:r w:rsidRPr="005D1B31">
        <w:rPr>
          <w:lang w:val="fr-FR"/>
        </w:rPr>
        <w:t>ordre du jour)</w:t>
      </w:r>
    </w:p>
    <w:p w14:paraId="122A7E31" w14:textId="77777777" w:rsidR="00E941A9" w:rsidRPr="005D1B31" w:rsidRDefault="0056094D" w:rsidP="0056094D">
      <w:pPr>
        <w:pStyle w:val="ParNoG"/>
        <w:numPr>
          <w:ilvl w:val="0"/>
          <w:numId w:val="0"/>
        </w:numPr>
        <w:ind w:left="1134"/>
        <w:rPr>
          <w:lang w:val="fr-FR"/>
        </w:rPr>
      </w:pPr>
      <w:r w:rsidRPr="005D1B31">
        <w:rPr>
          <w:lang w:val="fr-FR"/>
        </w:rPr>
        <w:t>20.</w:t>
      </w:r>
      <w:r w:rsidRPr="005D1B31">
        <w:rPr>
          <w:lang w:val="fr-FR"/>
        </w:rPr>
        <w:tab/>
      </w:r>
      <w:r w:rsidR="00E941A9" w:rsidRPr="005D1B31">
        <w:rPr>
          <w:lang w:val="fr-FR"/>
        </w:rPr>
        <w:t xml:space="preserve">Le Comité a adopté le rapport sur sa </w:t>
      </w:r>
      <w:r w:rsidR="00E941A9">
        <w:rPr>
          <w:lang w:val="fr-FR"/>
        </w:rPr>
        <w:t>neuv</w:t>
      </w:r>
      <w:r w:rsidR="00E941A9" w:rsidRPr="005D1B31">
        <w:rPr>
          <w:lang w:val="fr-FR"/>
        </w:rPr>
        <w:t>ième session et ses annexes sur la base d</w:t>
      </w:r>
      <w:r w:rsidR="00341801">
        <w:rPr>
          <w:lang w:val="fr-FR"/>
        </w:rPr>
        <w:t>’</w:t>
      </w:r>
      <w:r w:rsidR="00E941A9" w:rsidRPr="005D1B31">
        <w:rPr>
          <w:lang w:val="fr-FR"/>
        </w:rPr>
        <w:t>un projet établi par le secrétariat.</w:t>
      </w:r>
    </w:p>
    <w:p w14:paraId="0337E044" w14:textId="77777777" w:rsidR="00E941A9" w:rsidRPr="005E3110" w:rsidRDefault="00E941A9" w:rsidP="005E3110">
      <w:pPr>
        <w:pStyle w:val="HChG"/>
      </w:pPr>
      <w:r w:rsidRPr="005D1B31">
        <w:rPr>
          <w:lang w:val="fr-FR"/>
        </w:rPr>
        <w:br w:type="page"/>
      </w:r>
      <w:r w:rsidRPr="005D1B31">
        <w:rPr>
          <w:lang w:val="fr-FR"/>
        </w:rPr>
        <w:lastRenderedPageBreak/>
        <w:t>Annexe I</w:t>
      </w:r>
    </w:p>
    <w:p w14:paraId="11A3489A" w14:textId="77777777" w:rsidR="00E941A9" w:rsidRPr="005D1B31" w:rsidRDefault="00E941A9" w:rsidP="005E3110">
      <w:pPr>
        <w:pStyle w:val="HChG"/>
      </w:pPr>
      <w:r w:rsidRPr="005D1B31">
        <w:rPr>
          <w:lang w:val="fr-FR"/>
        </w:rPr>
        <w:tab/>
      </w:r>
      <w:r w:rsidRPr="005D1B31">
        <w:rPr>
          <w:lang w:val="fr-FR"/>
        </w:rPr>
        <w:tab/>
      </w:r>
      <w:r w:rsidRPr="00082ED2">
        <w:rPr>
          <w:spacing w:val="3"/>
          <w:lang w:val="fr-FR"/>
        </w:rPr>
        <w:t>Amendements à la vingtième édition révisée</w:t>
      </w:r>
      <w:r w:rsidR="00082ED2" w:rsidRPr="00082ED2">
        <w:rPr>
          <w:spacing w:val="3"/>
          <w:lang w:val="fr-FR"/>
        </w:rPr>
        <w:br/>
      </w:r>
      <w:r w:rsidRPr="00082ED2">
        <w:rPr>
          <w:spacing w:val="3"/>
          <w:lang w:val="fr-FR"/>
        </w:rPr>
        <w:t xml:space="preserve">des </w:t>
      </w:r>
      <w:r w:rsidRPr="00082ED2">
        <w:rPr>
          <w:spacing w:val="3"/>
        </w:rPr>
        <w:t>Recommandations</w:t>
      </w:r>
      <w:r w:rsidRPr="00082ED2">
        <w:rPr>
          <w:spacing w:val="3"/>
          <w:lang w:val="fr-FR"/>
        </w:rPr>
        <w:t xml:space="preserve"> relatives au transport </w:t>
      </w:r>
      <w:r w:rsidR="005E3110" w:rsidRPr="00082ED2">
        <w:rPr>
          <w:spacing w:val="3"/>
          <w:lang w:val="fr-FR"/>
        </w:rPr>
        <w:br/>
      </w:r>
      <w:r w:rsidRPr="00082ED2">
        <w:rPr>
          <w:spacing w:val="-3"/>
          <w:lang w:val="fr-FR"/>
        </w:rPr>
        <w:t>des marchandises dangereuses, Règlement type</w:t>
      </w:r>
      <w:r w:rsidRPr="005D1B31">
        <w:rPr>
          <w:lang w:val="fr-FR"/>
        </w:rPr>
        <w:t xml:space="preserve"> (ST/SG/AC.10/1/Rev.</w:t>
      </w:r>
      <w:r>
        <w:rPr>
          <w:lang w:val="fr-FR"/>
        </w:rPr>
        <w:t>20</w:t>
      </w:r>
      <w:r w:rsidRPr="005D1B31">
        <w:rPr>
          <w:lang w:val="fr-FR"/>
        </w:rPr>
        <w:t>)</w:t>
      </w:r>
    </w:p>
    <w:p w14:paraId="402502C1" w14:textId="77777777" w:rsidR="00E941A9" w:rsidRPr="00082ED2" w:rsidRDefault="00E941A9" w:rsidP="00082ED2">
      <w:pPr>
        <w:pStyle w:val="H1G"/>
      </w:pPr>
      <w:r w:rsidRPr="005D1B31">
        <w:rPr>
          <w:lang w:val="fr-FR"/>
        </w:rPr>
        <w:tab/>
      </w:r>
      <w:r w:rsidRPr="005D1B31">
        <w:rPr>
          <w:lang w:val="fr-FR"/>
        </w:rPr>
        <w:tab/>
        <w:t>(</w:t>
      </w:r>
      <w:r w:rsidR="00082ED2">
        <w:rPr>
          <w:lang w:val="fr-FR"/>
        </w:rPr>
        <w:t>V</w:t>
      </w:r>
      <w:r w:rsidRPr="005D1B31">
        <w:rPr>
          <w:lang w:val="fr-FR"/>
        </w:rPr>
        <w:t>oir le document ST/SG/AC.10/4</w:t>
      </w:r>
      <w:r>
        <w:rPr>
          <w:lang w:val="fr-FR"/>
        </w:rPr>
        <w:t>6</w:t>
      </w:r>
      <w:r w:rsidRPr="005D1B31">
        <w:rPr>
          <w:lang w:val="fr-FR"/>
        </w:rPr>
        <w:t>/Add.1)</w:t>
      </w:r>
    </w:p>
    <w:p w14:paraId="66E7898B" w14:textId="77777777" w:rsidR="00E941A9" w:rsidRPr="00082ED2" w:rsidRDefault="00E941A9" w:rsidP="00082ED2">
      <w:pPr>
        <w:pStyle w:val="HChG"/>
      </w:pPr>
      <w:r w:rsidRPr="005D1B31">
        <w:rPr>
          <w:lang w:val="fr-FR"/>
        </w:rPr>
        <w:t>Annexe II</w:t>
      </w:r>
    </w:p>
    <w:p w14:paraId="5B9474C2" w14:textId="77777777" w:rsidR="00E941A9" w:rsidRPr="009D71C4" w:rsidRDefault="00E941A9" w:rsidP="00082ED2">
      <w:pPr>
        <w:pStyle w:val="HChG"/>
        <w:rPr>
          <w:spacing w:val="-3"/>
        </w:rPr>
      </w:pPr>
      <w:r w:rsidRPr="005D1B31">
        <w:rPr>
          <w:lang w:val="fr-FR"/>
        </w:rPr>
        <w:tab/>
      </w:r>
      <w:r w:rsidRPr="005D1B31">
        <w:rPr>
          <w:lang w:val="fr-FR"/>
        </w:rPr>
        <w:tab/>
      </w:r>
      <w:r w:rsidRPr="009D71C4">
        <w:rPr>
          <w:spacing w:val="3"/>
          <w:lang w:val="fr-FR"/>
        </w:rPr>
        <w:t xml:space="preserve">Amendements à la sixième édition révisée </w:t>
      </w:r>
      <w:r w:rsidRPr="009D71C4">
        <w:rPr>
          <w:spacing w:val="3"/>
          <w:lang w:val="fr-FR"/>
        </w:rPr>
        <w:br/>
        <w:t xml:space="preserve">des Recommandations relatives au transport </w:t>
      </w:r>
      <w:r w:rsidRPr="009D71C4">
        <w:rPr>
          <w:spacing w:val="3"/>
          <w:lang w:val="fr-FR"/>
        </w:rPr>
        <w:br/>
      </w:r>
      <w:r w:rsidRPr="009D71C4">
        <w:rPr>
          <w:spacing w:val="-3"/>
          <w:lang w:val="fr-FR"/>
        </w:rPr>
        <w:t>des marchandises dangereuses, Manuel d</w:t>
      </w:r>
      <w:r w:rsidR="00341801">
        <w:rPr>
          <w:spacing w:val="-3"/>
          <w:lang w:val="fr-FR"/>
        </w:rPr>
        <w:t>’</w:t>
      </w:r>
      <w:r w:rsidRPr="009D71C4">
        <w:rPr>
          <w:spacing w:val="-3"/>
          <w:lang w:val="fr-FR"/>
        </w:rPr>
        <w:t xml:space="preserve">épreuves </w:t>
      </w:r>
      <w:r w:rsidRPr="009D71C4">
        <w:rPr>
          <w:spacing w:val="-3"/>
          <w:lang w:val="fr-FR"/>
        </w:rPr>
        <w:br/>
        <w:t>et de critères (ST/SG/AC.10/11/Rev.6 et Amend.1)</w:t>
      </w:r>
    </w:p>
    <w:p w14:paraId="69501974" w14:textId="77777777" w:rsidR="00E941A9" w:rsidRPr="005D1B31" w:rsidRDefault="00E941A9" w:rsidP="009D71C4">
      <w:pPr>
        <w:pStyle w:val="H1G"/>
      </w:pPr>
      <w:r w:rsidRPr="005D1B31">
        <w:rPr>
          <w:lang w:val="fr-FR"/>
        </w:rPr>
        <w:tab/>
      </w:r>
      <w:r w:rsidRPr="005D1B31">
        <w:rPr>
          <w:lang w:val="fr-FR"/>
        </w:rPr>
        <w:tab/>
        <w:t>(</w:t>
      </w:r>
      <w:r w:rsidR="00082ED2">
        <w:rPr>
          <w:lang w:val="fr-FR"/>
        </w:rPr>
        <w:t>V</w:t>
      </w:r>
      <w:r w:rsidRPr="005D1B31">
        <w:rPr>
          <w:lang w:val="fr-FR"/>
        </w:rPr>
        <w:t xml:space="preserve">oir le </w:t>
      </w:r>
      <w:r w:rsidRPr="00082ED2">
        <w:t>document</w:t>
      </w:r>
      <w:r w:rsidRPr="005D1B31">
        <w:rPr>
          <w:lang w:val="fr-FR"/>
        </w:rPr>
        <w:t xml:space="preserve"> ST/SG/AC.10/4</w:t>
      </w:r>
      <w:r>
        <w:rPr>
          <w:lang w:val="fr-FR"/>
        </w:rPr>
        <w:t>6</w:t>
      </w:r>
      <w:r w:rsidRPr="005D1B31">
        <w:rPr>
          <w:lang w:val="fr-FR"/>
        </w:rPr>
        <w:t>/Add.2)</w:t>
      </w:r>
    </w:p>
    <w:p w14:paraId="40ED7552" w14:textId="77777777" w:rsidR="00E941A9" w:rsidRPr="009D71C4" w:rsidRDefault="00E941A9" w:rsidP="009D71C4">
      <w:pPr>
        <w:pStyle w:val="HChG"/>
      </w:pPr>
      <w:r w:rsidRPr="005D1B31">
        <w:rPr>
          <w:lang w:val="fr-FR"/>
        </w:rPr>
        <w:t>Annexe III</w:t>
      </w:r>
    </w:p>
    <w:p w14:paraId="70BAA021" w14:textId="77777777" w:rsidR="00E941A9" w:rsidRPr="005D1B31" w:rsidRDefault="00E941A9" w:rsidP="009D71C4">
      <w:pPr>
        <w:pStyle w:val="HChG"/>
      </w:pPr>
      <w:r w:rsidRPr="005D1B31">
        <w:rPr>
          <w:lang w:val="fr-FR"/>
        </w:rPr>
        <w:tab/>
      </w:r>
      <w:r w:rsidRPr="005D1B31">
        <w:rPr>
          <w:lang w:val="fr-FR"/>
        </w:rPr>
        <w:tab/>
      </w:r>
      <w:r w:rsidRPr="009D71C4">
        <w:rPr>
          <w:spacing w:val="3"/>
        </w:rPr>
        <w:t>Amendements</w:t>
      </w:r>
      <w:r w:rsidRPr="009D71C4">
        <w:rPr>
          <w:spacing w:val="3"/>
          <w:lang w:val="fr-FR"/>
        </w:rPr>
        <w:t xml:space="preserve"> à la septième édition révisée </w:t>
      </w:r>
      <w:r w:rsidRPr="009D71C4">
        <w:rPr>
          <w:spacing w:val="3"/>
          <w:lang w:val="fr-FR"/>
        </w:rPr>
        <w:br/>
      </w:r>
      <w:r w:rsidRPr="005D1B31">
        <w:rPr>
          <w:lang w:val="fr-FR"/>
        </w:rPr>
        <w:t xml:space="preserve">du Système général harmonisé de classification </w:t>
      </w:r>
      <w:r w:rsidRPr="005D1B31">
        <w:rPr>
          <w:lang w:val="fr-FR"/>
        </w:rPr>
        <w:br/>
        <w:t>et d</w:t>
      </w:r>
      <w:r w:rsidR="00341801">
        <w:rPr>
          <w:lang w:val="fr-FR"/>
        </w:rPr>
        <w:t>’</w:t>
      </w:r>
      <w:r w:rsidRPr="005D1B31">
        <w:rPr>
          <w:lang w:val="fr-FR"/>
        </w:rPr>
        <w:t>étiquetage des produits chimiques (SGH) (ST/SG/AC.10/30/Rev.</w:t>
      </w:r>
      <w:r>
        <w:rPr>
          <w:lang w:val="fr-FR"/>
        </w:rPr>
        <w:t>7</w:t>
      </w:r>
      <w:r w:rsidRPr="005D1B31">
        <w:rPr>
          <w:lang w:val="fr-FR"/>
        </w:rPr>
        <w:t>)</w:t>
      </w:r>
    </w:p>
    <w:p w14:paraId="429E0DEB" w14:textId="77777777" w:rsidR="0033700A" w:rsidRDefault="00E941A9" w:rsidP="009D71C4">
      <w:pPr>
        <w:pStyle w:val="H1G"/>
        <w:rPr>
          <w:lang w:val="fr-FR"/>
        </w:rPr>
        <w:sectPr w:rsidR="0033700A" w:rsidSect="00E660D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5D1B31">
        <w:rPr>
          <w:lang w:val="fr-FR"/>
        </w:rPr>
        <w:tab/>
      </w:r>
      <w:r w:rsidRPr="005D1B31">
        <w:rPr>
          <w:lang w:val="fr-FR"/>
        </w:rPr>
        <w:tab/>
        <w:t>(</w:t>
      </w:r>
      <w:r w:rsidR="009D71C4">
        <w:rPr>
          <w:lang w:val="fr-FR"/>
        </w:rPr>
        <w:t>V</w:t>
      </w:r>
      <w:r w:rsidRPr="005D1B31">
        <w:rPr>
          <w:lang w:val="fr-FR"/>
        </w:rPr>
        <w:t>oir le document ST/SG/AC.10/4</w:t>
      </w:r>
      <w:r>
        <w:rPr>
          <w:lang w:val="fr-FR"/>
        </w:rPr>
        <w:t>6</w:t>
      </w:r>
      <w:r w:rsidRPr="005D1B31">
        <w:rPr>
          <w:lang w:val="fr-FR"/>
        </w:rPr>
        <w:t>/Add.3)</w:t>
      </w:r>
    </w:p>
    <w:p w14:paraId="4488DAFE" w14:textId="77777777" w:rsidR="00F122C7" w:rsidRPr="00F122C7" w:rsidRDefault="00F122C7" w:rsidP="00F122C7">
      <w:pPr>
        <w:pStyle w:val="HChG"/>
      </w:pPr>
      <w:r w:rsidRPr="005D1B31">
        <w:rPr>
          <w:lang w:val="fr-FR"/>
        </w:rPr>
        <w:lastRenderedPageBreak/>
        <w:t>Annexe IV</w:t>
      </w:r>
    </w:p>
    <w:p w14:paraId="51462E52" w14:textId="77777777" w:rsidR="00F122C7" w:rsidRPr="005D1B31" w:rsidRDefault="00F122C7" w:rsidP="00F122C7">
      <w:pPr>
        <w:pStyle w:val="HChG"/>
      </w:pPr>
      <w:r w:rsidRPr="005D1B31">
        <w:rPr>
          <w:lang w:val="fr-FR"/>
        </w:rPr>
        <w:tab/>
      </w:r>
      <w:r w:rsidRPr="005D1B31">
        <w:rPr>
          <w:lang w:val="fr-FR"/>
        </w:rPr>
        <w:tab/>
        <w:t>Projet de résolution 201</w:t>
      </w:r>
      <w:r>
        <w:rPr>
          <w:lang w:val="fr-FR"/>
        </w:rPr>
        <w:t>9</w:t>
      </w:r>
      <w:r w:rsidRPr="005D1B31">
        <w:rPr>
          <w:lang w:val="fr-FR"/>
        </w:rPr>
        <w:t>/… du Conseil économique et social</w:t>
      </w:r>
    </w:p>
    <w:p w14:paraId="0C6BD6C9" w14:textId="77777777" w:rsidR="00F122C7" w:rsidRPr="005D1B31" w:rsidRDefault="00F122C7" w:rsidP="00F122C7">
      <w:pPr>
        <w:pStyle w:val="HChG"/>
        <w:rPr>
          <w:lang w:val="fr-FR"/>
        </w:rPr>
      </w:pPr>
      <w:r w:rsidRPr="005D1B31">
        <w:rPr>
          <w:lang w:val="fr-FR"/>
        </w:rPr>
        <w:tab/>
      </w:r>
      <w:r w:rsidRPr="005D1B31">
        <w:rPr>
          <w:lang w:val="fr-FR"/>
        </w:rPr>
        <w:tab/>
      </w:r>
      <w:r w:rsidRPr="004B04A9">
        <w:rPr>
          <w:b w:val="0"/>
          <w:sz w:val="20"/>
          <w:lang w:val="fr-FR"/>
        </w:rPr>
        <w:t>« </w:t>
      </w:r>
      <w:r w:rsidRPr="005D1B31">
        <w:rPr>
          <w:lang w:val="fr-FR"/>
        </w:rPr>
        <w:t xml:space="preserve">Résolution </w:t>
      </w:r>
      <w:r w:rsidRPr="005D1B31">
        <w:rPr>
          <w:lang w:val="fr-FR"/>
        </w:rPr>
        <w:br/>
        <w:t>201</w:t>
      </w:r>
      <w:r>
        <w:rPr>
          <w:lang w:val="fr-FR"/>
        </w:rPr>
        <w:t>9</w:t>
      </w:r>
      <w:r w:rsidRPr="005D1B31">
        <w:rPr>
          <w:lang w:val="fr-FR"/>
        </w:rPr>
        <w:t>/…</w:t>
      </w:r>
    </w:p>
    <w:p w14:paraId="201B8C14" w14:textId="77777777" w:rsidR="00F122C7" w:rsidRPr="005D1B31" w:rsidRDefault="00F122C7" w:rsidP="006619BA">
      <w:pPr>
        <w:pStyle w:val="H1G"/>
      </w:pPr>
      <w:r w:rsidRPr="005D1B31">
        <w:rPr>
          <w:lang w:val="fr-FR"/>
        </w:rPr>
        <w:tab/>
      </w:r>
      <w:r w:rsidRPr="005D1B31">
        <w:rPr>
          <w:lang w:val="fr-FR"/>
        </w:rPr>
        <w:tab/>
      </w:r>
      <w:r w:rsidRPr="006619BA">
        <w:t>Travaux</w:t>
      </w:r>
      <w:r w:rsidRPr="005D1B31">
        <w:rPr>
          <w:lang w:val="fr-FR"/>
        </w:rPr>
        <w:t xml:space="preserve"> du Comité d</w:t>
      </w:r>
      <w:r w:rsidR="00341801">
        <w:rPr>
          <w:lang w:val="fr-FR"/>
        </w:rPr>
        <w:t>’</w:t>
      </w:r>
      <w:r w:rsidRPr="005D1B31">
        <w:rPr>
          <w:lang w:val="fr-FR"/>
        </w:rPr>
        <w:t>experts du transport des marchandises dangereuses et du Système général harmonisé de classification</w:t>
      </w:r>
      <w:r w:rsidR="006619BA">
        <w:rPr>
          <w:lang w:val="fr-FR"/>
        </w:rPr>
        <w:br/>
      </w:r>
      <w:r w:rsidRPr="005D1B31">
        <w:rPr>
          <w:lang w:val="fr-FR"/>
        </w:rPr>
        <w:t>et d</w:t>
      </w:r>
      <w:r w:rsidR="00341801">
        <w:rPr>
          <w:lang w:val="fr-FR"/>
        </w:rPr>
        <w:t>’</w:t>
      </w:r>
      <w:r w:rsidRPr="005D1B31">
        <w:rPr>
          <w:lang w:val="fr-FR"/>
        </w:rPr>
        <w:t>étiquetage des produits chimiques</w:t>
      </w:r>
    </w:p>
    <w:p w14:paraId="5BD99170" w14:textId="77777777" w:rsidR="00F122C7" w:rsidRPr="005D1B31" w:rsidRDefault="00F122C7" w:rsidP="00F122C7">
      <w:pPr>
        <w:pStyle w:val="SingleTxtG"/>
        <w:ind w:firstLine="567"/>
        <w:rPr>
          <w:i/>
        </w:rPr>
      </w:pPr>
      <w:r w:rsidRPr="005D1B31">
        <w:rPr>
          <w:i/>
          <w:lang w:val="fr-FR"/>
        </w:rPr>
        <w:t>Le Conseil économique et social</w:t>
      </w:r>
      <w:r w:rsidRPr="006619BA">
        <w:rPr>
          <w:lang w:val="fr-FR"/>
        </w:rPr>
        <w:t>,</w:t>
      </w:r>
    </w:p>
    <w:p w14:paraId="44AD5C0A" w14:textId="77777777" w:rsidR="00F122C7" w:rsidRPr="005D1B31" w:rsidRDefault="00F122C7" w:rsidP="00F122C7">
      <w:pPr>
        <w:pStyle w:val="SingleTxtG"/>
        <w:ind w:firstLine="567"/>
      </w:pPr>
      <w:r w:rsidRPr="005D1B31">
        <w:rPr>
          <w:i/>
          <w:lang w:val="fr-FR"/>
        </w:rPr>
        <w:t>Rappelant</w:t>
      </w:r>
      <w:r w:rsidRPr="005D1B31">
        <w:rPr>
          <w:lang w:val="fr-FR"/>
        </w:rPr>
        <w:t xml:space="preserve"> ses résolutions 1999/65 du 26 octobre 1999 et 2017/13 du 8 juin 201</w:t>
      </w:r>
      <w:r>
        <w:rPr>
          <w:lang w:val="fr-FR"/>
        </w:rPr>
        <w:t>7</w:t>
      </w:r>
      <w:r w:rsidRPr="005D1B31">
        <w:rPr>
          <w:lang w:val="fr-FR"/>
        </w:rPr>
        <w:t>,</w:t>
      </w:r>
    </w:p>
    <w:p w14:paraId="49B0CA1E" w14:textId="77777777" w:rsidR="00F122C7" w:rsidRPr="005D1B31" w:rsidRDefault="00F122C7" w:rsidP="00F122C7">
      <w:pPr>
        <w:pStyle w:val="SingleTxtG"/>
        <w:ind w:firstLine="567"/>
      </w:pPr>
      <w:r w:rsidRPr="005D1B31">
        <w:rPr>
          <w:i/>
          <w:lang w:val="fr-FR"/>
        </w:rPr>
        <w:t xml:space="preserve">Ayant examiné </w:t>
      </w:r>
      <w:r w:rsidRPr="005D1B31">
        <w:rPr>
          <w:lang w:val="fr-FR"/>
        </w:rPr>
        <w:t>le rapport du Secrétaire général sur les travaux du Comité d</w:t>
      </w:r>
      <w:r w:rsidR="00341801">
        <w:rPr>
          <w:lang w:val="fr-FR"/>
        </w:rPr>
        <w:t>’</w:t>
      </w:r>
      <w:r w:rsidRPr="005D1B31">
        <w:rPr>
          <w:lang w:val="fr-FR"/>
        </w:rPr>
        <w:t>experts du transport des marchandises dangereuses et du Système général harmonisé de classification et d</w:t>
      </w:r>
      <w:r w:rsidR="00341801">
        <w:rPr>
          <w:lang w:val="fr-FR"/>
        </w:rPr>
        <w:t>’</w:t>
      </w:r>
      <w:r w:rsidRPr="005D1B31">
        <w:rPr>
          <w:lang w:val="fr-FR"/>
        </w:rPr>
        <w:t>étiquetage des produits chimiques pendant l</w:t>
      </w:r>
      <w:r w:rsidR="00341801">
        <w:rPr>
          <w:lang w:val="fr-FR"/>
        </w:rPr>
        <w:t>’</w:t>
      </w:r>
      <w:r w:rsidRPr="005D1B31">
        <w:rPr>
          <w:lang w:val="fr-FR"/>
        </w:rPr>
        <w:t>exercice biennal 2017</w:t>
      </w:r>
      <w:r>
        <w:rPr>
          <w:lang w:val="fr-FR"/>
        </w:rPr>
        <w:t>-</w:t>
      </w:r>
      <w:r w:rsidRPr="005D1B31">
        <w:rPr>
          <w:lang w:val="fr-FR"/>
        </w:rPr>
        <w:t>2018</w:t>
      </w:r>
      <w:r w:rsidRPr="005D1B31">
        <w:rPr>
          <w:rStyle w:val="FootnoteReference"/>
        </w:rPr>
        <w:footnoteReference w:id="10"/>
      </w:r>
      <w:r w:rsidRPr="005D1B31">
        <w:rPr>
          <w:lang w:val="fr-FR"/>
        </w:rPr>
        <w:t>,</w:t>
      </w:r>
      <w:bookmarkStart w:id="3" w:name="_Ref417989705"/>
      <w:bookmarkEnd w:id="3"/>
    </w:p>
    <w:p w14:paraId="1E46BC9D" w14:textId="77777777" w:rsidR="00F122C7" w:rsidRPr="005D1B31" w:rsidRDefault="00F122C7" w:rsidP="00A3170D">
      <w:pPr>
        <w:pStyle w:val="H23G"/>
      </w:pPr>
      <w:r w:rsidRPr="005D1B31">
        <w:rPr>
          <w:lang w:val="fr-FR"/>
        </w:rPr>
        <w:tab/>
      </w:r>
      <w:r w:rsidRPr="005D1B31">
        <w:rPr>
          <w:lang w:val="fr-FR"/>
        </w:rPr>
        <w:tab/>
        <w:t>A.</w:t>
      </w:r>
      <w:r w:rsidR="00A3170D">
        <w:rPr>
          <w:lang w:val="fr-FR"/>
        </w:rPr>
        <w:tab/>
      </w:r>
      <w:r w:rsidRPr="00A3170D">
        <w:t>Travaux</w:t>
      </w:r>
      <w:r w:rsidRPr="005D1B31">
        <w:rPr>
          <w:lang w:val="fr-FR"/>
        </w:rPr>
        <w:t xml:space="preserve"> du Comité relatifs au transport des marchandises dangereuses</w:t>
      </w:r>
    </w:p>
    <w:p w14:paraId="1ABE931A" w14:textId="77777777" w:rsidR="00F122C7" w:rsidRPr="005D1B31" w:rsidRDefault="00F122C7" w:rsidP="00F122C7">
      <w:pPr>
        <w:pStyle w:val="SingleTxtG"/>
        <w:ind w:firstLine="567"/>
      </w:pPr>
      <w:r w:rsidRPr="005D1B31">
        <w:rPr>
          <w:i/>
          <w:lang w:val="fr-FR"/>
        </w:rPr>
        <w:t>Reconnaissant</w:t>
      </w:r>
      <w:r w:rsidRPr="005D1B31">
        <w:rPr>
          <w:lang w:val="fr-FR"/>
        </w:rPr>
        <w:t xml:space="preserve"> l</w:t>
      </w:r>
      <w:r w:rsidR="00341801">
        <w:rPr>
          <w:lang w:val="fr-FR"/>
        </w:rPr>
        <w:t>’</w:t>
      </w:r>
      <w:r w:rsidRPr="005D1B31">
        <w:rPr>
          <w:lang w:val="fr-FR"/>
        </w:rPr>
        <w:t>importance des travaux du Comité en vue d</w:t>
      </w:r>
      <w:r w:rsidR="00341801">
        <w:rPr>
          <w:lang w:val="fr-FR"/>
        </w:rPr>
        <w:t>’</w:t>
      </w:r>
      <w:r w:rsidRPr="005D1B31">
        <w:rPr>
          <w:lang w:val="fr-FR"/>
        </w:rPr>
        <w:t>harmoniser les codes et réglementations relatifs au transport des marchandises dangereuses,</w:t>
      </w:r>
    </w:p>
    <w:p w14:paraId="1C1E0B8A" w14:textId="77777777" w:rsidR="00F122C7" w:rsidRPr="005D1B31" w:rsidRDefault="00F122C7" w:rsidP="00F122C7">
      <w:pPr>
        <w:pStyle w:val="SingleTxtG"/>
        <w:ind w:firstLine="567"/>
      </w:pPr>
      <w:r w:rsidRPr="005D1B31">
        <w:rPr>
          <w:i/>
          <w:lang w:val="fr-FR"/>
        </w:rPr>
        <w:t>Ayant à l</w:t>
      </w:r>
      <w:r w:rsidR="00341801">
        <w:rPr>
          <w:i/>
          <w:lang w:val="fr-FR"/>
        </w:rPr>
        <w:t>’</w:t>
      </w:r>
      <w:r w:rsidRPr="005D1B31">
        <w:rPr>
          <w:i/>
          <w:lang w:val="fr-FR"/>
        </w:rPr>
        <w:t xml:space="preserve">esprit </w:t>
      </w:r>
      <w:r w:rsidRPr="005D1B31">
        <w:rPr>
          <w:lang w:val="fr-FR"/>
        </w:rPr>
        <w:t>la nécessité de maintenir les normes de sécurité à tout moment et de faciliter le commerce, ainsi que l</w:t>
      </w:r>
      <w:r w:rsidR="00341801">
        <w:rPr>
          <w:lang w:val="fr-FR"/>
        </w:rPr>
        <w:t>’</w:t>
      </w:r>
      <w:r w:rsidRPr="005D1B31">
        <w:rPr>
          <w:lang w:val="fr-FR"/>
        </w:rPr>
        <w:t>importance de ces questions pour les différentes organisations responsables des réglementations modales, tout en répondant aux préoccupations croissantes en ce qui concerne la protection de la vie, des biens et de l</w:t>
      </w:r>
      <w:r w:rsidR="00341801">
        <w:rPr>
          <w:lang w:val="fr-FR"/>
        </w:rPr>
        <w:t>’</w:t>
      </w:r>
      <w:r w:rsidRPr="005D1B31">
        <w:rPr>
          <w:lang w:val="fr-FR"/>
        </w:rPr>
        <w:t>environnement en favorisant la sécurité et la sûreté du transport des marchandises dangereuses,</w:t>
      </w:r>
    </w:p>
    <w:p w14:paraId="47AD5E5C" w14:textId="77777777" w:rsidR="00F122C7" w:rsidRPr="005D1B31" w:rsidRDefault="00F122C7" w:rsidP="00F122C7">
      <w:pPr>
        <w:pStyle w:val="SingleTxtG"/>
        <w:ind w:firstLine="567"/>
      </w:pPr>
      <w:r w:rsidRPr="005D1B31">
        <w:rPr>
          <w:i/>
          <w:lang w:val="fr-FR"/>
        </w:rPr>
        <w:t>Notant</w:t>
      </w:r>
      <w:r w:rsidRPr="005D1B31">
        <w:rPr>
          <w:lang w:val="fr-FR"/>
        </w:rPr>
        <w:t xml:space="preserve"> le volume croissant de marchandises dangereuses introduites dans le commerce mondial et les progrès rapides de la technologie et de l</w:t>
      </w:r>
      <w:r w:rsidR="00341801">
        <w:rPr>
          <w:lang w:val="fr-FR"/>
        </w:rPr>
        <w:t>’</w:t>
      </w:r>
      <w:r w:rsidRPr="005D1B31">
        <w:rPr>
          <w:lang w:val="fr-FR"/>
        </w:rPr>
        <w:t>innovation,</w:t>
      </w:r>
    </w:p>
    <w:p w14:paraId="6109D639" w14:textId="77777777" w:rsidR="00F122C7" w:rsidRPr="005D1B31" w:rsidRDefault="00F122C7" w:rsidP="00F122C7">
      <w:pPr>
        <w:pStyle w:val="SingleTxtG"/>
        <w:ind w:firstLine="567"/>
      </w:pPr>
      <w:r w:rsidRPr="005D1B31">
        <w:rPr>
          <w:i/>
          <w:lang w:val="fr-FR"/>
        </w:rPr>
        <w:t>Rappelant</w:t>
      </w:r>
      <w:r w:rsidRPr="005D1B31">
        <w:rPr>
          <w:lang w:val="fr-FR"/>
        </w:rPr>
        <w:t xml:space="preserve"> que les principaux instruments internationaux régissant le transport des marchandises dangereuses par les divers modes de transport ainsi que de nombreuses réglementations nationales sont maintenant mieux harmonisés avec le Règlement type annexé aux recommandations du Comité relatives au transport des marchandises dangereuses, mais que des travaux supplémentaires sont nécessaires pour harmoniser ces instruments afin d</w:t>
      </w:r>
      <w:r w:rsidR="00341801">
        <w:rPr>
          <w:lang w:val="fr-FR"/>
        </w:rPr>
        <w:t>’</w:t>
      </w:r>
      <w:r w:rsidRPr="005D1B31">
        <w:rPr>
          <w:lang w:val="fr-FR"/>
        </w:rPr>
        <w:t xml:space="preserve">améliorer la sécurité et faciliter les échanges, et </w:t>
      </w:r>
      <w:r w:rsidRPr="005D1B31">
        <w:rPr>
          <w:i/>
          <w:lang w:val="fr-FR"/>
        </w:rPr>
        <w:t xml:space="preserve">rappelant aussi </w:t>
      </w:r>
      <w:r w:rsidRPr="005D1B31">
        <w:rPr>
          <w:lang w:val="fr-FR"/>
        </w:rPr>
        <w:t>que l</w:t>
      </w:r>
      <w:r w:rsidR="00341801">
        <w:rPr>
          <w:lang w:val="fr-FR"/>
        </w:rPr>
        <w:t>’</w:t>
      </w:r>
      <w:r w:rsidRPr="005D1B31">
        <w:rPr>
          <w:lang w:val="fr-FR"/>
        </w:rPr>
        <w:t>inégalité des progrès de l</w:t>
      </w:r>
      <w:r w:rsidR="00341801">
        <w:rPr>
          <w:lang w:val="fr-FR"/>
        </w:rPr>
        <w:t>’</w:t>
      </w:r>
      <w:r w:rsidRPr="005D1B31">
        <w:rPr>
          <w:lang w:val="fr-FR"/>
        </w:rPr>
        <w:t>actualisation de la législation nationale du transport intérieur de certains pays du monde continue de faire sérieusement obstacle au transport multimodal international,</w:t>
      </w:r>
    </w:p>
    <w:p w14:paraId="516C2AA3" w14:textId="77777777" w:rsidR="00F122C7" w:rsidRPr="005D1B31" w:rsidRDefault="00F122C7" w:rsidP="00F122C7">
      <w:pPr>
        <w:pStyle w:val="SingleTxtG"/>
        <w:ind w:firstLine="567"/>
      </w:pPr>
      <w:r w:rsidRPr="005D1B31">
        <w:rPr>
          <w:lang w:val="fr-FR"/>
        </w:rPr>
        <w:t>1.</w:t>
      </w:r>
      <w:r w:rsidRPr="005D1B31">
        <w:rPr>
          <w:lang w:val="fr-FR"/>
        </w:rPr>
        <w:tab/>
      </w:r>
      <w:r w:rsidRPr="005D1B31">
        <w:rPr>
          <w:i/>
          <w:lang w:val="fr-FR"/>
        </w:rPr>
        <w:t>Exprime sa gratitude</w:t>
      </w:r>
      <w:r w:rsidRPr="005D1B31">
        <w:rPr>
          <w:lang w:val="fr-FR"/>
        </w:rPr>
        <w:t xml:space="preserve"> pour le travail accompli par le Comité d</w:t>
      </w:r>
      <w:r w:rsidR="00341801">
        <w:rPr>
          <w:lang w:val="fr-FR"/>
        </w:rPr>
        <w:t>’</w:t>
      </w:r>
      <w:r w:rsidRPr="005D1B31">
        <w:rPr>
          <w:lang w:val="fr-FR"/>
        </w:rPr>
        <w:t>experts du transport des marchandises dangereuses et du Système général harmonisé de classification et d</w:t>
      </w:r>
      <w:r w:rsidR="00341801">
        <w:rPr>
          <w:lang w:val="fr-FR"/>
        </w:rPr>
        <w:t>’</w:t>
      </w:r>
      <w:r w:rsidRPr="005D1B31">
        <w:rPr>
          <w:lang w:val="fr-FR"/>
        </w:rPr>
        <w:t>étiquetage des produits chimiques sur les questions relatives au transport des marchandises dangereuses, notamment la sécurité de leur transport ;</w:t>
      </w:r>
    </w:p>
    <w:p w14:paraId="3DAC9891" w14:textId="77777777" w:rsidR="00F122C7" w:rsidRPr="005D1B31" w:rsidRDefault="00F122C7" w:rsidP="00F122C7">
      <w:pPr>
        <w:pStyle w:val="SingleTxtG"/>
        <w:keepNext/>
        <w:ind w:firstLine="567"/>
      </w:pPr>
      <w:r w:rsidRPr="005D1B31">
        <w:rPr>
          <w:lang w:val="fr-FR"/>
        </w:rPr>
        <w:t>2.</w:t>
      </w:r>
      <w:r w:rsidRPr="005D1B31">
        <w:rPr>
          <w:lang w:val="fr-FR"/>
        </w:rPr>
        <w:tab/>
      </w:r>
      <w:r w:rsidRPr="005D1B31">
        <w:rPr>
          <w:i/>
          <w:lang w:val="fr-FR"/>
        </w:rPr>
        <w:t>Prie</w:t>
      </w:r>
      <w:r w:rsidRPr="005D1B31">
        <w:rPr>
          <w:lang w:val="fr-FR"/>
        </w:rPr>
        <w:t xml:space="preserve"> le Secrétaire général de :</w:t>
      </w:r>
    </w:p>
    <w:p w14:paraId="2165B4FD" w14:textId="77777777" w:rsidR="00F122C7" w:rsidRPr="005D1B31" w:rsidRDefault="00F122C7" w:rsidP="00F122C7">
      <w:pPr>
        <w:pStyle w:val="SingleTxtG"/>
        <w:ind w:firstLine="567"/>
      </w:pPr>
      <w:r w:rsidRPr="005D1B31">
        <w:rPr>
          <w:lang w:val="fr-FR"/>
        </w:rPr>
        <w:t>a)</w:t>
      </w:r>
      <w:r w:rsidRPr="005D1B31">
        <w:rPr>
          <w:lang w:val="fr-FR"/>
        </w:rPr>
        <w:tab/>
        <w:t>Diffuser les recommandations nouvelles et les recommandations amendées relatives au transport des marchandises dangereuses</w:t>
      </w:r>
      <w:r w:rsidRPr="00726CCF">
        <w:rPr>
          <w:rStyle w:val="FootnoteReference"/>
          <w:szCs w:val="18"/>
        </w:rPr>
        <w:footnoteReference w:id="11"/>
      </w:r>
      <w:r w:rsidRPr="005D1B31">
        <w:rPr>
          <w:lang w:val="fr-FR"/>
        </w:rPr>
        <w:t xml:space="preserve"> auprès des gouvernements des États Membres, des institutions spécialisées, de l</w:t>
      </w:r>
      <w:r w:rsidR="00341801">
        <w:rPr>
          <w:lang w:val="fr-FR"/>
        </w:rPr>
        <w:t>’</w:t>
      </w:r>
      <w:r w:rsidRPr="005D1B31">
        <w:rPr>
          <w:lang w:val="fr-FR"/>
        </w:rPr>
        <w:t>Agence internationale de l</w:t>
      </w:r>
      <w:r w:rsidR="00341801">
        <w:rPr>
          <w:lang w:val="fr-FR"/>
        </w:rPr>
        <w:t>’</w:t>
      </w:r>
      <w:r w:rsidRPr="005D1B31">
        <w:rPr>
          <w:lang w:val="fr-FR"/>
        </w:rPr>
        <w:t>énergie atomique et des autres organisations internationales intéressées ;</w:t>
      </w:r>
    </w:p>
    <w:p w14:paraId="55DD1E3B" w14:textId="77777777" w:rsidR="00F122C7" w:rsidRPr="005D1B31" w:rsidRDefault="00F122C7" w:rsidP="00F122C7">
      <w:pPr>
        <w:pStyle w:val="SingleTxtG"/>
        <w:ind w:firstLine="567"/>
      </w:pPr>
      <w:r w:rsidRPr="005D1B31">
        <w:rPr>
          <w:lang w:val="fr-FR"/>
        </w:rPr>
        <w:lastRenderedPageBreak/>
        <w:t>b)</w:t>
      </w:r>
      <w:r w:rsidRPr="005D1B31">
        <w:rPr>
          <w:lang w:val="fr-FR"/>
        </w:rPr>
        <w:tab/>
        <w:t xml:space="preserve">Publier la </w:t>
      </w:r>
      <w:r w:rsidRPr="00C4293B">
        <w:rPr>
          <w:lang w:val="fr-FR"/>
        </w:rPr>
        <w:t>vingt et unième</w:t>
      </w:r>
      <w:r>
        <w:rPr>
          <w:lang w:val="fr-FR"/>
        </w:rPr>
        <w:t xml:space="preserve"> </w:t>
      </w:r>
      <w:r w:rsidRPr="005D1B31">
        <w:rPr>
          <w:lang w:val="fr-FR"/>
        </w:rPr>
        <w:t xml:space="preserve">édition révisée des </w:t>
      </w:r>
      <w:r w:rsidRPr="005D1B31">
        <w:rPr>
          <w:i/>
          <w:lang w:val="fr-FR"/>
        </w:rPr>
        <w:t>Recommandations relatives au transport des marchandises dangereuses, Règlement type</w:t>
      </w:r>
      <w:r w:rsidRPr="005D1B31">
        <w:rPr>
          <w:lang w:val="fr-FR"/>
        </w:rPr>
        <w:t>, et la s</w:t>
      </w:r>
      <w:r>
        <w:rPr>
          <w:lang w:val="fr-FR"/>
        </w:rPr>
        <w:t>ept</w:t>
      </w:r>
      <w:r w:rsidRPr="005D1B31">
        <w:rPr>
          <w:lang w:val="fr-FR"/>
        </w:rPr>
        <w:t>ième édition révisée d</w:t>
      </w:r>
      <w:r>
        <w:rPr>
          <w:lang w:val="fr-FR"/>
        </w:rPr>
        <w:t>u</w:t>
      </w:r>
      <w:r w:rsidRPr="005D1B31">
        <w:rPr>
          <w:i/>
          <w:lang w:val="fr-FR"/>
        </w:rPr>
        <w:t xml:space="preserve"> Manuel d</w:t>
      </w:r>
      <w:r w:rsidR="00341801">
        <w:rPr>
          <w:i/>
          <w:lang w:val="fr-FR"/>
        </w:rPr>
        <w:t>’</w:t>
      </w:r>
      <w:r w:rsidRPr="005D1B31">
        <w:rPr>
          <w:i/>
          <w:lang w:val="fr-FR"/>
        </w:rPr>
        <w:t>épreuves et de critères</w:t>
      </w:r>
      <w:r w:rsidRPr="005D1B31">
        <w:rPr>
          <w:lang w:val="fr-FR"/>
        </w:rPr>
        <w:t>, dans toutes les langues officielles de l</w:t>
      </w:r>
      <w:r w:rsidR="00341801">
        <w:rPr>
          <w:lang w:val="fr-FR"/>
        </w:rPr>
        <w:t>’</w:t>
      </w:r>
      <w:r w:rsidRPr="005D1B31">
        <w:rPr>
          <w:lang w:val="fr-FR"/>
        </w:rPr>
        <w:t>Organisation des Nations Unies, de la manière la plus efficiente possible, au plus tard à la fin de 201</w:t>
      </w:r>
      <w:r>
        <w:rPr>
          <w:lang w:val="fr-FR"/>
        </w:rPr>
        <w:t>9</w:t>
      </w:r>
      <w:r w:rsidRPr="005D1B31">
        <w:rPr>
          <w:lang w:val="fr-FR"/>
        </w:rPr>
        <w:t> ;</w:t>
      </w:r>
    </w:p>
    <w:p w14:paraId="1EDDB2D9" w14:textId="77777777" w:rsidR="00F122C7" w:rsidRPr="005D1B31" w:rsidRDefault="00F122C7" w:rsidP="00F122C7">
      <w:pPr>
        <w:pStyle w:val="SingleTxtG"/>
        <w:ind w:firstLine="567"/>
      </w:pPr>
      <w:r w:rsidRPr="005D1B31">
        <w:rPr>
          <w:lang w:val="fr-FR"/>
        </w:rPr>
        <w:t>c)</w:t>
      </w:r>
      <w:r w:rsidRPr="005D1B31">
        <w:rPr>
          <w:lang w:val="fr-FR"/>
        </w:rPr>
        <w:tab/>
        <w:t>Rendre ces publications accessibles sous forme d</w:t>
      </w:r>
      <w:r w:rsidR="00341801">
        <w:rPr>
          <w:lang w:val="fr-FR"/>
        </w:rPr>
        <w:t>’</w:t>
      </w:r>
      <w:r w:rsidRPr="005D1B31">
        <w:rPr>
          <w:lang w:val="fr-FR"/>
        </w:rPr>
        <w:t>ouvrages imprimés et sous forme électronique et sur le site Web de la Commission économique pour l</w:t>
      </w:r>
      <w:r w:rsidR="00341801">
        <w:rPr>
          <w:lang w:val="fr-FR"/>
        </w:rPr>
        <w:t>’</w:t>
      </w:r>
      <w:r w:rsidRPr="005D1B31">
        <w:rPr>
          <w:lang w:val="fr-FR"/>
        </w:rPr>
        <w:t>Europe, qui assure les services de secrétariat auprès du Comité ;</w:t>
      </w:r>
    </w:p>
    <w:p w14:paraId="3A22FA83" w14:textId="77777777" w:rsidR="00F122C7" w:rsidRPr="005D1B31" w:rsidRDefault="00F122C7" w:rsidP="00F122C7">
      <w:pPr>
        <w:pStyle w:val="SingleTxtG"/>
        <w:ind w:firstLine="567"/>
      </w:pPr>
      <w:r w:rsidRPr="005D1B31">
        <w:rPr>
          <w:lang w:val="fr-FR"/>
        </w:rPr>
        <w:t>3.</w:t>
      </w:r>
      <w:r w:rsidRPr="005D1B31">
        <w:rPr>
          <w:lang w:val="fr-FR"/>
        </w:rPr>
        <w:tab/>
      </w:r>
      <w:r w:rsidRPr="005D1B31">
        <w:rPr>
          <w:i/>
          <w:lang w:val="fr-FR"/>
        </w:rPr>
        <w:t>Invite</w:t>
      </w:r>
      <w:r w:rsidRPr="005D1B31">
        <w:rPr>
          <w:lang w:val="fr-FR"/>
        </w:rPr>
        <w:t xml:space="preserve"> tous les gouvernements, les commissions régionales, les institutions spécialisées, l</w:t>
      </w:r>
      <w:r w:rsidR="00341801">
        <w:rPr>
          <w:lang w:val="fr-FR"/>
        </w:rPr>
        <w:t>’</w:t>
      </w:r>
      <w:r w:rsidRPr="005D1B31">
        <w:rPr>
          <w:lang w:val="fr-FR"/>
        </w:rPr>
        <w:t>Agence internationale de l</w:t>
      </w:r>
      <w:r w:rsidR="00341801">
        <w:rPr>
          <w:lang w:val="fr-FR"/>
        </w:rPr>
        <w:t>’</w:t>
      </w:r>
      <w:r w:rsidRPr="005D1B31">
        <w:rPr>
          <w:lang w:val="fr-FR"/>
        </w:rPr>
        <w:t>énergie atomique et les autres organisations internationales concernées à communiquer au secrétariat du Comité leur avis sur les travaux dudit Comité, ainsi que toute observation qu</w:t>
      </w:r>
      <w:r w:rsidR="00341801">
        <w:rPr>
          <w:lang w:val="fr-FR"/>
        </w:rPr>
        <w:t>’</w:t>
      </w:r>
      <w:r w:rsidRPr="005D1B31">
        <w:rPr>
          <w:lang w:val="fr-FR"/>
        </w:rPr>
        <w:t xml:space="preserve">ils souhaiteraient faire sur les </w:t>
      </w:r>
      <w:r w:rsidRPr="005D1B31">
        <w:rPr>
          <w:i/>
          <w:lang w:val="fr-FR"/>
        </w:rPr>
        <w:t>Recommandations relatives au transport des marchandises dangereuses </w:t>
      </w:r>
      <w:r w:rsidRPr="005D1B31">
        <w:rPr>
          <w:lang w:val="fr-FR"/>
        </w:rPr>
        <w:t>;</w:t>
      </w:r>
    </w:p>
    <w:p w14:paraId="6AF13899" w14:textId="77777777" w:rsidR="00F122C7" w:rsidRPr="005D1B31" w:rsidRDefault="00F122C7" w:rsidP="00F122C7">
      <w:pPr>
        <w:pStyle w:val="SingleTxtG"/>
        <w:ind w:firstLine="567"/>
      </w:pPr>
      <w:r w:rsidRPr="005D1B31">
        <w:rPr>
          <w:lang w:val="fr-FR"/>
        </w:rPr>
        <w:t>4.</w:t>
      </w:r>
      <w:r w:rsidRPr="005D1B31">
        <w:rPr>
          <w:lang w:val="fr-FR"/>
        </w:rPr>
        <w:tab/>
      </w:r>
      <w:r w:rsidRPr="005D1B31">
        <w:rPr>
          <w:i/>
          <w:lang w:val="fr-FR"/>
        </w:rPr>
        <w:t>Invite</w:t>
      </w:r>
      <w:r w:rsidRPr="005D1B31">
        <w:rPr>
          <w:lang w:val="fr-FR"/>
        </w:rPr>
        <w:t xml:space="preserve"> tous les gouvernements, commissions régionales, institutions spécialisées et organisations internationales intéressés à prendre en compte les recommandations du Comité lors de l</w:t>
      </w:r>
      <w:r w:rsidR="00341801">
        <w:rPr>
          <w:lang w:val="fr-FR"/>
        </w:rPr>
        <w:t>’</w:t>
      </w:r>
      <w:r w:rsidRPr="005D1B31">
        <w:rPr>
          <w:lang w:val="fr-FR"/>
        </w:rPr>
        <w:t>élaboration ou de la mise à jour de codes ou réglementations dans ce domaine ;</w:t>
      </w:r>
    </w:p>
    <w:p w14:paraId="43152A96" w14:textId="77777777" w:rsidR="00F122C7" w:rsidRPr="005D1B31" w:rsidRDefault="00F122C7" w:rsidP="00F122C7">
      <w:pPr>
        <w:pStyle w:val="SingleTxtG"/>
        <w:ind w:firstLine="567"/>
      </w:pPr>
      <w:r w:rsidRPr="005D1B31">
        <w:rPr>
          <w:lang w:val="fr-FR"/>
        </w:rPr>
        <w:t>5.</w:t>
      </w:r>
      <w:r w:rsidRPr="005D1B31">
        <w:rPr>
          <w:lang w:val="fr-FR"/>
        </w:rPr>
        <w:tab/>
      </w:r>
      <w:r w:rsidRPr="005D1B31">
        <w:rPr>
          <w:i/>
          <w:lang w:val="fr-FR"/>
        </w:rPr>
        <w:t>Demande</w:t>
      </w:r>
      <w:r w:rsidRPr="005D1B31">
        <w:rPr>
          <w:lang w:val="fr-FR"/>
        </w:rPr>
        <w:t xml:space="preserve"> au Comité d</w:t>
      </w:r>
      <w:r w:rsidR="00341801">
        <w:rPr>
          <w:lang w:val="fr-FR"/>
        </w:rPr>
        <w:t>’</w:t>
      </w:r>
      <w:r w:rsidRPr="005D1B31">
        <w:rPr>
          <w:lang w:val="fr-FR"/>
        </w:rPr>
        <w:t>étudier, en consultation avec l</w:t>
      </w:r>
      <w:r w:rsidR="00341801">
        <w:rPr>
          <w:lang w:val="fr-FR"/>
        </w:rPr>
        <w:t>’</w:t>
      </w:r>
      <w:r w:rsidRPr="005D1B31">
        <w:rPr>
          <w:lang w:val="fr-FR"/>
        </w:rPr>
        <w:t>Organisation maritime internationale, l</w:t>
      </w:r>
      <w:r w:rsidR="00341801">
        <w:rPr>
          <w:lang w:val="fr-FR"/>
        </w:rPr>
        <w:t>’</w:t>
      </w:r>
      <w:r w:rsidRPr="005D1B31">
        <w:rPr>
          <w:lang w:val="fr-FR"/>
        </w:rPr>
        <w:t>Organisation de l</w:t>
      </w:r>
      <w:r w:rsidR="00341801">
        <w:rPr>
          <w:lang w:val="fr-FR"/>
        </w:rPr>
        <w:t>’</w:t>
      </w:r>
      <w:r w:rsidRPr="005D1B31">
        <w:rPr>
          <w:lang w:val="fr-FR"/>
        </w:rPr>
        <w:t>aviation civile internationale, les commissions régionales et les organisations intergouvernementales intéressées, les possibilités d</w:t>
      </w:r>
      <w:r w:rsidR="00341801">
        <w:rPr>
          <w:lang w:val="fr-FR"/>
        </w:rPr>
        <w:t>’</w:t>
      </w:r>
      <w:r w:rsidRPr="005D1B31">
        <w:rPr>
          <w:lang w:val="fr-FR"/>
        </w:rPr>
        <w:t>améliorer la mise en œuvre du Règlement type pour le transport des marchandises dangereuses dans tous les pays en vue de garantir un niveau de sécurité également élevé et d</w:t>
      </w:r>
      <w:r w:rsidR="00341801">
        <w:rPr>
          <w:lang w:val="fr-FR"/>
        </w:rPr>
        <w:t>’</w:t>
      </w:r>
      <w:r w:rsidRPr="005D1B31">
        <w:rPr>
          <w:lang w:val="fr-FR"/>
        </w:rPr>
        <w:t>éliminer les entraves techniques au commerce international, y compris au moyen d</w:t>
      </w:r>
      <w:r w:rsidR="00341801">
        <w:rPr>
          <w:lang w:val="fr-FR"/>
        </w:rPr>
        <w:t>’</w:t>
      </w:r>
      <w:r w:rsidRPr="005D1B31">
        <w:rPr>
          <w:lang w:val="fr-FR"/>
        </w:rPr>
        <w:t>une harmonisation plus poussée des conventions ou accords internationaux régissant le transport international des marchandises dangereuses ;</w:t>
      </w:r>
    </w:p>
    <w:p w14:paraId="1E0F90A4" w14:textId="77777777" w:rsidR="00F122C7" w:rsidRPr="005D1B31" w:rsidRDefault="00F122C7" w:rsidP="00F122C7">
      <w:pPr>
        <w:pStyle w:val="SingleTxtG"/>
        <w:ind w:firstLine="567"/>
      </w:pPr>
      <w:r w:rsidRPr="005D1B31">
        <w:rPr>
          <w:lang w:val="fr-FR"/>
        </w:rPr>
        <w:t>6.</w:t>
      </w:r>
      <w:r w:rsidRPr="005D1B31">
        <w:rPr>
          <w:lang w:val="fr-FR"/>
        </w:rPr>
        <w:tab/>
      </w:r>
      <w:r w:rsidRPr="005D1B31">
        <w:rPr>
          <w:i/>
          <w:lang w:val="fr-FR"/>
        </w:rPr>
        <w:t>Invite</w:t>
      </w:r>
      <w:r w:rsidRPr="005D1B31">
        <w:rPr>
          <w:lang w:val="fr-FR"/>
        </w:rPr>
        <w:t xml:space="preserve"> tous les gouvernements, ainsi que les commissions régionales et les organisations concernées, l</w:t>
      </w:r>
      <w:r w:rsidR="00341801">
        <w:rPr>
          <w:lang w:val="fr-FR"/>
        </w:rPr>
        <w:t>’</w:t>
      </w:r>
      <w:r w:rsidRPr="005D1B31">
        <w:rPr>
          <w:lang w:val="fr-FR"/>
        </w:rPr>
        <w:t>Organisation maritime internationale et l</w:t>
      </w:r>
      <w:r w:rsidR="00341801">
        <w:rPr>
          <w:lang w:val="fr-FR"/>
        </w:rPr>
        <w:t>’</w:t>
      </w:r>
      <w:r w:rsidRPr="005D1B31">
        <w:rPr>
          <w:lang w:val="fr-FR"/>
        </w:rPr>
        <w:t>Organisation de l</w:t>
      </w:r>
      <w:r w:rsidR="00341801">
        <w:rPr>
          <w:lang w:val="fr-FR"/>
        </w:rPr>
        <w:t>’</w:t>
      </w:r>
      <w:r w:rsidRPr="005D1B31">
        <w:rPr>
          <w:lang w:val="fr-FR"/>
        </w:rPr>
        <w:t>aviation civile internationale à communiquer au Comité des informations concernant les différences entre les dispositions des instruments juridiques nationaux, régionaux ou internationaux et celles du Règlement type, afin de permettre au Comité de mettre au point des directives en matière de coopération afin d</w:t>
      </w:r>
      <w:r w:rsidR="00341801">
        <w:rPr>
          <w:lang w:val="fr-FR"/>
        </w:rPr>
        <w:t>’</w:t>
      </w:r>
      <w:r w:rsidRPr="005D1B31">
        <w:rPr>
          <w:lang w:val="fr-FR"/>
        </w:rPr>
        <w:t>améliorer la cohérence entre ces dispositions et réduire les obstacles inutiles ; à recenser les différences de fond nationales, régionales et internationales, en vue de réduire au maximum ces différences de traitement modal et de garantir que, lorsque des différences sont nécessaires, elles ne font pas obstacle au transport sûr et efficace des marchandises dangereuses ; et à entreprendre un examen d</w:t>
      </w:r>
      <w:r w:rsidR="00341801">
        <w:rPr>
          <w:lang w:val="fr-FR"/>
        </w:rPr>
        <w:t>’</w:t>
      </w:r>
      <w:r w:rsidRPr="005D1B31">
        <w:rPr>
          <w:lang w:val="fr-FR"/>
        </w:rPr>
        <w:t>ordre rédactionnel du Règlement type et des différents instruments modaux, afin d</w:t>
      </w:r>
      <w:r w:rsidR="00341801">
        <w:rPr>
          <w:lang w:val="fr-FR"/>
        </w:rPr>
        <w:t>’</w:t>
      </w:r>
      <w:r w:rsidRPr="005D1B31">
        <w:rPr>
          <w:lang w:val="fr-FR"/>
        </w:rPr>
        <w:t>en améliorer la clarté ainsi que la facilité d</w:t>
      </w:r>
      <w:r w:rsidR="00341801">
        <w:rPr>
          <w:lang w:val="fr-FR"/>
        </w:rPr>
        <w:t>’</w:t>
      </w:r>
      <w:r w:rsidRPr="005D1B31">
        <w:rPr>
          <w:lang w:val="fr-FR"/>
        </w:rPr>
        <w:t>utilisation et de traduction.</w:t>
      </w:r>
    </w:p>
    <w:p w14:paraId="562C9661" w14:textId="77777777" w:rsidR="00F122C7" w:rsidRPr="005D1B31" w:rsidRDefault="00F122C7" w:rsidP="00515922">
      <w:pPr>
        <w:pStyle w:val="H23G"/>
      </w:pPr>
      <w:r w:rsidRPr="005D1B31">
        <w:rPr>
          <w:lang w:val="fr-FR"/>
        </w:rPr>
        <w:tab/>
      </w:r>
      <w:r w:rsidRPr="005D1B31">
        <w:rPr>
          <w:lang w:val="fr-FR"/>
        </w:rPr>
        <w:tab/>
        <w:t>B.</w:t>
      </w:r>
      <w:r w:rsidR="00A3170D">
        <w:rPr>
          <w:lang w:val="fr-FR"/>
        </w:rPr>
        <w:tab/>
      </w:r>
      <w:r w:rsidRPr="005D1B31">
        <w:rPr>
          <w:lang w:val="fr-FR"/>
        </w:rPr>
        <w:t>Travaux du Comité concernant le Système général harmonisé de classification</w:t>
      </w:r>
      <w:r w:rsidR="00515922">
        <w:rPr>
          <w:lang w:val="fr-FR"/>
        </w:rPr>
        <w:br/>
      </w:r>
      <w:r w:rsidRPr="005D1B31">
        <w:rPr>
          <w:lang w:val="fr-FR"/>
        </w:rPr>
        <w:t>et d</w:t>
      </w:r>
      <w:r w:rsidR="00341801">
        <w:rPr>
          <w:lang w:val="fr-FR"/>
        </w:rPr>
        <w:t>’</w:t>
      </w:r>
      <w:r w:rsidRPr="005D1B31">
        <w:rPr>
          <w:lang w:val="fr-FR"/>
        </w:rPr>
        <w:t>étiquetage des produits chimiques</w:t>
      </w:r>
    </w:p>
    <w:p w14:paraId="0791E6ED" w14:textId="77777777" w:rsidR="00F122C7" w:rsidRPr="005D1B31" w:rsidRDefault="00F122C7" w:rsidP="00F122C7">
      <w:pPr>
        <w:pStyle w:val="SingleTxtG"/>
        <w:ind w:firstLine="567"/>
      </w:pPr>
      <w:r w:rsidRPr="005D1B31">
        <w:rPr>
          <w:i/>
          <w:lang w:val="fr-FR"/>
        </w:rPr>
        <w:t>Gardant à l</w:t>
      </w:r>
      <w:r w:rsidR="00341801">
        <w:rPr>
          <w:i/>
          <w:lang w:val="fr-FR"/>
        </w:rPr>
        <w:t>’</w:t>
      </w:r>
      <w:r w:rsidRPr="005D1B31">
        <w:rPr>
          <w:i/>
          <w:lang w:val="fr-FR"/>
        </w:rPr>
        <w:t xml:space="preserve">esprit </w:t>
      </w:r>
      <w:r w:rsidRPr="005D1B31">
        <w:rPr>
          <w:lang w:val="fr-FR"/>
        </w:rPr>
        <w:t>que, à l</w:t>
      </w:r>
      <w:r w:rsidR="00341801">
        <w:rPr>
          <w:lang w:val="fr-FR"/>
        </w:rPr>
        <w:t>’</w:t>
      </w:r>
      <w:r w:rsidRPr="005D1B31">
        <w:rPr>
          <w:lang w:val="fr-FR"/>
        </w:rPr>
        <w:t>alinéa c) du paragraphe 23 du Plan de mise en œuvre du Sommet mondial pour le développement durable (Plan de mise en œuvre de Johannesburg)</w:t>
      </w:r>
      <w:r w:rsidRPr="00CE7EA3">
        <w:rPr>
          <w:rStyle w:val="FootnoteReference"/>
          <w:szCs w:val="18"/>
        </w:rPr>
        <w:footnoteReference w:id="12"/>
      </w:r>
      <w:r w:rsidRPr="005D1B31">
        <w:rPr>
          <w:lang w:val="fr-FR"/>
        </w:rPr>
        <w:t>, les pays ont été encouragés à mettre en application dès que possible le Système général harmonisé de classification et d</w:t>
      </w:r>
      <w:r w:rsidR="00341801">
        <w:rPr>
          <w:lang w:val="fr-FR"/>
        </w:rPr>
        <w:t>’</w:t>
      </w:r>
      <w:r w:rsidRPr="005D1B31">
        <w:rPr>
          <w:lang w:val="fr-FR"/>
        </w:rPr>
        <w:t>étiquetage des produits chimiques, afin que celui-ci soit pleinement opérationnel d</w:t>
      </w:r>
      <w:r w:rsidR="00341801">
        <w:rPr>
          <w:lang w:val="fr-FR"/>
        </w:rPr>
        <w:t>’</w:t>
      </w:r>
      <w:r w:rsidRPr="005D1B31">
        <w:rPr>
          <w:lang w:val="fr-FR"/>
        </w:rPr>
        <w:t>ici à 2008,</w:t>
      </w:r>
    </w:p>
    <w:p w14:paraId="0354C3DB" w14:textId="77777777" w:rsidR="00F122C7" w:rsidRPr="005D1B31" w:rsidRDefault="00F122C7" w:rsidP="00F122C7">
      <w:pPr>
        <w:pStyle w:val="SingleTxtG"/>
        <w:ind w:firstLine="567"/>
      </w:pPr>
      <w:r w:rsidRPr="005D1B31">
        <w:rPr>
          <w:i/>
          <w:lang w:val="fr-FR"/>
        </w:rPr>
        <w:t>Gardant également à l</w:t>
      </w:r>
      <w:r w:rsidR="00341801">
        <w:rPr>
          <w:i/>
          <w:lang w:val="fr-FR"/>
        </w:rPr>
        <w:t>’</w:t>
      </w:r>
      <w:r w:rsidRPr="005D1B31">
        <w:rPr>
          <w:i/>
          <w:lang w:val="fr-FR"/>
        </w:rPr>
        <w:t xml:space="preserve">esprit </w:t>
      </w:r>
      <w:r w:rsidRPr="005D1B31">
        <w:rPr>
          <w:lang w:val="fr-FR"/>
        </w:rPr>
        <w:t>que l</w:t>
      </w:r>
      <w:r w:rsidR="00341801">
        <w:rPr>
          <w:lang w:val="fr-FR"/>
        </w:rPr>
        <w:t>’</w:t>
      </w:r>
      <w:r w:rsidRPr="005D1B31">
        <w:rPr>
          <w:lang w:val="fr-FR"/>
        </w:rPr>
        <w:t xml:space="preserve">Assemblée générale, dans sa résolution 57/253 du 20 décembre 2002, a approuvé le Plan de mise en œuvre de Johannesburg et a demandé au Conseil économique et social de mettre en application les dispositions de ce plan </w:t>
      </w:r>
      <w:r w:rsidRPr="005D1B31">
        <w:rPr>
          <w:lang w:val="fr-FR"/>
        </w:rPr>
        <w:lastRenderedPageBreak/>
        <w:t>relevant de son mandat et, en particulier, de favoriser la mise en œuvre du programme Action 21</w:t>
      </w:r>
      <w:r w:rsidRPr="007116CA">
        <w:rPr>
          <w:rStyle w:val="FootnoteReference"/>
          <w:szCs w:val="18"/>
        </w:rPr>
        <w:footnoteReference w:id="13"/>
      </w:r>
      <w:r w:rsidR="00626457">
        <w:rPr>
          <w:lang w:val="fr-FR"/>
        </w:rPr>
        <w:t xml:space="preserve"> </w:t>
      </w:r>
      <w:r w:rsidRPr="005D1B31">
        <w:rPr>
          <w:lang w:val="fr-FR"/>
        </w:rPr>
        <w:t>par un renforcement de la coordination à l</w:t>
      </w:r>
      <w:r w:rsidR="00341801">
        <w:rPr>
          <w:lang w:val="fr-FR"/>
        </w:rPr>
        <w:t>’</w:t>
      </w:r>
      <w:r w:rsidRPr="005D1B31">
        <w:rPr>
          <w:lang w:val="fr-FR"/>
        </w:rPr>
        <w:t>échelle du système,</w:t>
      </w:r>
    </w:p>
    <w:p w14:paraId="65EA4D0C" w14:textId="77777777" w:rsidR="00F122C7" w:rsidRPr="005D1B31" w:rsidRDefault="00F122C7" w:rsidP="00F122C7">
      <w:pPr>
        <w:pStyle w:val="SingleTxtG"/>
        <w:keepNext/>
        <w:ind w:firstLine="567"/>
      </w:pPr>
      <w:r w:rsidRPr="005D1B31">
        <w:rPr>
          <w:i/>
          <w:lang w:val="fr-FR"/>
        </w:rPr>
        <w:t xml:space="preserve">Notant avec satisfaction </w:t>
      </w:r>
      <w:r w:rsidRPr="005D1B31">
        <w:rPr>
          <w:lang w:val="fr-FR"/>
        </w:rPr>
        <w:t>que :</w:t>
      </w:r>
    </w:p>
    <w:p w14:paraId="689AB0CF" w14:textId="77777777" w:rsidR="00F122C7" w:rsidRPr="005D1B31" w:rsidRDefault="00F122C7" w:rsidP="00F122C7">
      <w:pPr>
        <w:pStyle w:val="SingleTxtG"/>
        <w:ind w:firstLine="567"/>
      </w:pPr>
      <w:r w:rsidRPr="005D1B31">
        <w:rPr>
          <w:lang w:val="fr-FR"/>
        </w:rPr>
        <w:t>a)</w:t>
      </w:r>
      <w:r w:rsidRPr="005D1B31">
        <w:rPr>
          <w:lang w:val="fr-FR"/>
        </w:rPr>
        <w:tab/>
        <w:t>La Commission économique pour l</w:t>
      </w:r>
      <w:r w:rsidR="00341801">
        <w:rPr>
          <w:lang w:val="fr-FR"/>
        </w:rPr>
        <w:t>’</w:t>
      </w:r>
      <w:r w:rsidRPr="005D1B31">
        <w:rPr>
          <w:lang w:val="fr-FR"/>
        </w:rPr>
        <w:t>Europe et tous les programmes et institutions spécialisées des Nations Unies s</w:t>
      </w:r>
      <w:r w:rsidR="00341801">
        <w:rPr>
          <w:lang w:val="fr-FR"/>
        </w:rPr>
        <w:t>’</w:t>
      </w:r>
      <w:r w:rsidRPr="005D1B31">
        <w:rPr>
          <w:lang w:val="fr-FR"/>
        </w:rPr>
        <w:t>occupant de sécurité chimique dans le domaine des transports ou de l</w:t>
      </w:r>
      <w:r w:rsidR="00341801">
        <w:rPr>
          <w:lang w:val="fr-FR"/>
        </w:rPr>
        <w:t>’</w:t>
      </w:r>
      <w:r w:rsidRPr="005D1B31">
        <w:rPr>
          <w:lang w:val="fr-FR"/>
        </w:rPr>
        <w:t>environnement, en particulier le Programme des Nations Unies pour l</w:t>
      </w:r>
      <w:r w:rsidR="00341801">
        <w:rPr>
          <w:lang w:val="fr-FR"/>
        </w:rPr>
        <w:t>’</w:t>
      </w:r>
      <w:r w:rsidRPr="005D1B31">
        <w:rPr>
          <w:lang w:val="fr-FR"/>
        </w:rPr>
        <w:t>environnement, l</w:t>
      </w:r>
      <w:r w:rsidR="00341801">
        <w:rPr>
          <w:lang w:val="fr-FR"/>
        </w:rPr>
        <w:t>’</w:t>
      </w:r>
      <w:r w:rsidRPr="005D1B31">
        <w:rPr>
          <w:lang w:val="fr-FR"/>
        </w:rPr>
        <w:t>Organisation maritime internationale et l</w:t>
      </w:r>
      <w:r w:rsidR="00341801">
        <w:rPr>
          <w:lang w:val="fr-FR"/>
        </w:rPr>
        <w:t>’</w:t>
      </w:r>
      <w:r w:rsidRPr="005D1B31">
        <w:rPr>
          <w:lang w:val="fr-FR"/>
        </w:rPr>
        <w:t>Organisation de l</w:t>
      </w:r>
      <w:r w:rsidR="00341801">
        <w:rPr>
          <w:lang w:val="fr-FR"/>
        </w:rPr>
        <w:t>’</w:t>
      </w:r>
      <w:r w:rsidRPr="005D1B31">
        <w:rPr>
          <w:lang w:val="fr-FR"/>
        </w:rPr>
        <w:t>aviation civile internationale, ont déjà pris des mesures pour modifier ou actualiser leurs instruments juridiques en vue de mettre en application le Système général harmonisé ou envisageaient de les modifier dès que possible ;</w:t>
      </w:r>
    </w:p>
    <w:p w14:paraId="117DD1D0" w14:textId="77777777" w:rsidR="00F122C7" w:rsidRPr="005D1B31" w:rsidRDefault="00F122C7" w:rsidP="00F122C7">
      <w:pPr>
        <w:pStyle w:val="SingleTxtG"/>
        <w:ind w:firstLine="567"/>
      </w:pPr>
      <w:r w:rsidRPr="005D1B31">
        <w:rPr>
          <w:lang w:val="fr-FR"/>
        </w:rPr>
        <w:t>b)</w:t>
      </w:r>
      <w:r w:rsidRPr="005D1B31">
        <w:rPr>
          <w:lang w:val="fr-FR"/>
        </w:rPr>
        <w:tab/>
        <w:t>L</w:t>
      </w:r>
      <w:r w:rsidR="00341801">
        <w:rPr>
          <w:lang w:val="fr-FR"/>
        </w:rPr>
        <w:t>’</w:t>
      </w:r>
      <w:r w:rsidRPr="005D1B31">
        <w:rPr>
          <w:lang w:val="fr-FR"/>
        </w:rPr>
        <w:t>Organisation internationale du Travail, l</w:t>
      </w:r>
      <w:r w:rsidR="00341801">
        <w:rPr>
          <w:lang w:val="fr-FR"/>
        </w:rPr>
        <w:t>’</w:t>
      </w:r>
      <w:r w:rsidRPr="005D1B31">
        <w:rPr>
          <w:lang w:val="fr-FR"/>
        </w:rPr>
        <w:t>Organisation des Nations Unies pour l</w:t>
      </w:r>
      <w:r w:rsidR="00341801">
        <w:rPr>
          <w:lang w:val="fr-FR"/>
        </w:rPr>
        <w:t>’</w:t>
      </w:r>
      <w:r w:rsidRPr="005D1B31">
        <w:rPr>
          <w:lang w:val="fr-FR"/>
        </w:rPr>
        <w:t>alimentation et l</w:t>
      </w:r>
      <w:r w:rsidR="00341801">
        <w:rPr>
          <w:lang w:val="fr-FR"/>
        </w:rPr>
        <w:t>’</w:t>
      </w:r>
      <w:r w:rsidRPr="005D1B31">
        <w:rPr>
          <w:lang w:val="fr-FR"/>
        </w:rPr>
        <w:t>agriculture et l</w:t>
      </w:r>
      <w:r w:rsidR="00341801">
        <w:rPr>
          <w:lang w:val="fr-FR"/>
        </w:rPr>
        <w:t>’</w:t>
      </w:r>
      <w:r w:rsidRPr="005D1B31">
        <w:rPr>
          <w:lang w:val="fr-FR"/>
        </w:rPr>
        <w:t>Organisation mondiale de la Santé prennent également des mesures pour adapter leurs recommandations, codes et règles en matière de sécurité chimique au Système général harmonisé, en particulier dans les domaines de l</w:t>
      </w:r>
      <w:r w:rsidR="00341801">
        <w:rPr>
          <w:lang w:val="fr-FR"/>
        </w:rPr>
        <w:t>’</w:t>
      </w:r>
      <w:r w:rsidRPr="005D1B31">
        <w:rPr>
          <w:lang w:val="fr-FR"/>
        </w:rPr>
        <w:t>hygiène et la sécurité du travail, de la gestion des pesticides et de la prévention et du traitement des intoxications ;</w:t>
      </w:r>
    </w:p>
    <w:p w14:paraId="22E6DF86" w14:textId="77777777" w:rsidR="00F122C7" w:rsidRPr="005D1B31" w:rsidRDefault="00F122C7" w:rsidP="00F122C7">
      <w:pPr>
        <w:pStyle w:val="SingleTxtG"/>
        <w:ind w:firstLine="567"/>
      </w:pPr>
      <w:r w:rsidRPr="005D1B31">
        <w:rPr>
          <w:lang w:val="fr-FR"/>
        </w:rPr>
        <w:t>c)</w:t>
      </w:r>
      <w:r w:rsidRPr="005D1B31">
        <w:rPr>
          <w:lang w:val="fr-FR"/>
        </w:rPr>
        <w:tab/>
        <w:t>Des législations ou des normes nationales mettant en œuvre le Système général harmonisé</w:t>
      </w:r>
      <w:r>
        <w:rPr>
          <w:lang w:val="fr-FR"/>
        </w:rPr>
        <w:t xml:space="preserve">, </w:t>
      </w:r>
      <w:r w:rsidRPr="005D1B31">
        <w:rPr>
          <w:lang w:val="fr-FR"/>
        </w:rPr>
        <w:t>ou autorisant son application</w:t>
      </w:r>
      <w:r>
        <w:rPr>
          <w:lang w:val="fr-FR"/>
        </w:rPr>
        <w:t xml:space="preserve">, </w:t>
      </w:r>
      <w:r w:rsidRPr="005D1B31">
        <w:rPr>
          <w:lang w:val="fr-FR"/>
        </w:rPr>
        <w:t>dans un ou plusieurs secteurs autres que le transport ont déjà été publiées dans les pays suivants : Afrique du Sud (2009), Argentine</w:t>
      </w:r>
      <w:r w:rsidR="00970FED">
        <w:rPr>
          <w:lang w:val="fr-FR"/>
        </w:rPr>
        <w:t> </w:t>
      </w:r>
      <w:r w:rsidRPr="005D1B31">
        <w:rPr>
          <w:lang w:val="fr-FR"/>
        </w:rPr>
        <w:t xml:space="preserve">(2015), Australie (2012), Brésil (2009), Canada (2015), Chine (2010), </w:t>
      </w:r>
      <w:r>
        <w:rPr>
          <w:lang w:val="fr-FR"/>
        </w:rPr>
        <w:t xml:space="preserve">Colombie (2018), </w:t>
      </w:r>
      <w:r w:rsidRPr="005D1B31">
        <w:rPr>
          <w:lang w:val="fr-FR"/>
        </w:rPr>
        <w:t>Costa Rica (2017),</w:t>
      </w:r>
      <w:r>
        <w:rPr>
          <w:lang w:val="fr-FR"/>
        </w:rPr>
        <w:t xml:space="preserve"> </w:t>
      </w:r>
      <w:r w:rsidRPr="005D1B31">
        <w:rPr>
          <w:lang w:val="fr-FR"/>
        </w:rPr>
        <w:t>Équateur (2009), États-Unis d</w:t>
      </w:r>
      <w:r w:rsidR="00341801">
        <w:rPr>
          <w:lang w:val="fr-FR"/>
        </w:rPr>
        <w:t>’</w:t>
      </w:r>
      <w:r w:rsidRPr="005D1B31">
        <w:rPr>
          <w:lang w:val="fr-FR"/>
        </w:rPr>
        <w:t>Amérique (2012), Fédération de</w:t>
      </w:r>
      <w:r w:rsidR="00970FED">
        <w:rPr>
          <w:lang w:val="fr-FR"/>
        </w:rPr>
        <w:t> </w:t>
      </w:r>
      <w:r w:rsidRPr="005D1B31">
        <w:rPr>
          <w:lang w:val="fr-FR"/>
        </w:rPr>
        <w:t>Russie (2010), Japon (2006), Maurice (2004), Mexique (2011), Nouvelle-Zélande (2001), République de Corée (2006), Serbie (2010), Singapour (2008), Suisse (2009), Thaïlande (2012), Uruguay (2009), Viet Nam (2009) et Zambie (2013), ainsi que dans les 28 États membres de l</w:t>
      </w:r>
      <w:r w:rsidR="00341801">
        <w:rPr>
          <w:lang w:val="fr-FR"/>
        </w:rPr>
        <w:t>’</w:t>
      </w:r>
      <w:r w:rsidRPr="005D1B31">
        <w:rPr>
          <w:lang w:val="fr-FR"/>
        </w:rPr>
        <w:t>Union européenne et les 3 États membres de l</w:t>
      </w:r>
      <w:r w:rsidR="00341801">
        <w:rPr>
          <w:lang w:val="fr-FR"/>
        </w:rPr>
        <w:t>’</w:t>
      </w:r>
      <w:r w:rsidRPr="005D1B31">
        <w:rPr>
          <w:lang w:val="fr-FR"/>
        </w:rPr>
        <w:t>Espace économique européen (2008)</w:t>
      </w:r>
      <w:r>
        <w:rPr>
          <w:lang w:val="fr-FR"/>
        </w:rPr>
        <w:t xml:space="preserve">, et </w:t>
      </w:r>
      <w:r w:rsidRPr="004F5109">
        <w:rPr>
          <w:lang w:val="fr-FR"/>
        </w:rPr>
        <w:t>les États membres de l</w:t>
      </w:r>
      <w:r w:rsidR="00341801">
        <w:rPr>
          <w:lang w:val="fr-FR"/>
        </w:rPr>
        <w:t>’</w:t>
      </w:r>
      <w:r w:rsidRPr="004F5109">
        <w:rPr>
          <w:lang w:val="fr-FR"/>
        </w:rPr>
        <w:t>Union économique eurasiatique (</w:t>
      </w:r>
      <w:r w:rsidRPr="004E5424">
        <w:rPr>
          <w:lang w:val="fr-FR"/>
        </w:rPr>
        <w:t>Arménie, Bélarus, Fédération de Russie, Kazakhstan et Kirghizistan</w:t>
      </w:r>
      <w:r w:rsidRPr="004F5109">
        <w:rPr>
          <w:lang w:val="fr-FR"/>
        </w:rPr>
        <w:t>) (2017)</w:t>
      </w:r>
      <w:r w:rsidRPr="005D1B31">
        <w:rPr>
          <w:lang w:val="fr-FR"/>
        </w:rPr>
        <w:t> ;</w:t>
      </w:r>
    </w:p>
    <w:p w14:paraId="0E19CBAF" w14:textId="77777777" w:rsidR="00F122C7" w:rsidRPr="005D1B31" w:rsidRDefault="00F122C7" w:rsidP="00F122C7">
      <w:pPr>
        <w:pStyle w:val="SingleTxtG"/>
        <w:ind w:firstLine="567"/>
      </w:pPr>
      <w:r w:rsidRPr="005D1B31">
        <w:rPr>
          <w:lang w:val="fr-FR"/>
        </w:rPr>
        <w:t>d)</w:t>
      </w:r>
      <w:r w:rsidRPr="005D1B31">
        <w:rPr>
          <w:lang w:val="fr-FR"/>
        </w:rPr>
        <w:tab/>
        <w:t>Des travaux d</w:t>
      </w:r>
      <w:r w:rsidR="00341801">
        <w:rPr>
          <w:lang w:val="fr-FR"/>
        </w:rPr>
        <w:t>’</w:t>
      </w:r>
      <w:r w:rsidRPr="005D1B31">
        <w:rPr>
          <w:lang w:val="fr-FR"/>
        </w:rPr>
        <w:t>élaboration ou de révision des lois, normes ou directives nationales applicables aux produits chimiques aux fins de la mise en œuvre du Système général harmonisé se poursuivent dans d</w:t>
      </w:r>
      <w:r w:rsidR="00341801">
        <w:rPr>
          <w:lang w:val="fr-FR"/>
        </w:rPr>
        <w:t>’</w:t>
      </w:r>
      <w:r w:rsidRPr="005D1B31">
        <w:rPr>
          <w:lang w:val="fr-FR"/>
        </w:rPr>
        <w:t>autres pays, tandis que dans d</w:t>
      </w:r>
      <w:r w:rsidR="00341801">
        <w:rPr>
          <w:lang w:val="fr-FR"/>
        </w:rPr>
        <w:t>’</w:t>
      </w:r>
      <w:r w:rsidRPr="005D1B31">
        <w:rPr>
          <w:lang w:val="fr-FR"/>
        </w:rPr>
        <w:t>autres encore des activités relatives à l</w:t>
      </w:r>
      <w:r w:rsidR="00341801">
        <w:rPr>
          <w:lang w:val="fr-FR"/>
        </w:rPr>
        <w:t>’</w:t>
      </w:r>
      <w:r w:rsidRPr="005D1B31">
        <w:rPr>
          <w:lang w:val="fr-FR"/>
        </w:rPr>
        <w:t>élaboration de plans d</w:t>
      </w:r>
      <w:r w:rsidR="00341801">
        <w:rPr>
          <w:lang w:val="fr-FR"/>
        </w:rPr>
        <w:t>’</w:t>
      </w:r>
      <w:r w:rsidRPr="005D1B31">
        <w:rPr>
          <w:lang w:val="fr-FR"/>
        </w:rPr>
        <w:t>application sectoriels ou de stratégies nationales de mise en œuvre sont en cours ou devraient commencer sous peu ;</w:t>
      </w:r>
    </w:p>
    <w:p w14:paraId="0EA7AE4D" w14:textId="77777777" w:rsidR="00F122C7" w:rsidRPr="005D1B31" w:rsidRDefault="00F122C7" w:rsidP="00F122C7">
      <w:pPr>
        <w:pStyle w:val="SingleTxtG"/>
        <w:ind w:firstLine="567"/>
      </w:pPr>
      <w:r w:rsidRPr="005D1B31">
        <w:rPr>
          <w:lang w:val="fr-FR"/>
        </w:rPr>
        <w:t>e)</w:t>
      </w:r>
      <w:r w:rsidRPr="005D1B31">
        <w:rPr>
          <w:lang w:val="fr-FR"/>
        </w:rPr>
        <w:tab/>
        <w:t>Plusieurs programmes, institutions spécialisées et organisations régionales des Nations Unies, en particulier l</w:t>
      </w:r>
      <w:r w:rsidR="00341801">
        <w:rPr>
          <w:lang w:val="fr-FR"/>
        </w:rPr>
        <w:t>’</w:t>
      </w:r>
      <w:r w:rsidRPr="005D1B31">
        <w:rPr>
          <w:lang w:val="fr-FR"/>
        </w:rPr>
        <w:t>Institut des Nations Unies pour la formation et la recherche, l</w:t>
      </w:r>
      <w:r w:rsidR="00341801">
        <w:rPr>
          <w:lang w:val="fr-FR"/>
        </w:rPr>
        <w:t>’</w:t>
      </w:r>
      <w:r w:rsidRPr="005D1B31">
        <w:rPr>
          <w:lang w:val="fr-FR"/>
        </w:rPr>
        <w:t>Organisation internationale du Travail, l</w:t>
      </w:r>
      <w:r w:rsidR="00341801">
        <w:rPr>
          <w:lang w:val="fr-FR"/>
        </w:rPr>
        <w:t>’</w:t>
      </w:r>
      <w:r w:rsidRPr="005D1B31">
        <w:rPr>
          <w:lang w:val="fr-FR"/>
        </w:rPr>
        <w:t>Organisation mondiale de la Santé, la Commission économique pour l</w:t>
      </w:r>
      <w:r w:rsidR="00341801">
        <w:rPr>
          <w:lang w:val="fr-FR"/>
        </w:rPr>
        <w:t>’</w:t>
      </w:r>
      <w:r w:rsidRPr="005D1B31">
        <w:rPr>
          <w:lang w:val="fr-FR"/>
        </w:rPr>
        <w:t>Europe, la Coopération économique Asie-Pacifique, l</w:t>
      </w:r>
      <w:r w:rsidR="00341801">
        <w:rPr>
          <w:lang w:val="fr-FR"/>
        </w:rPr>
        <w:t>’</w:t>
      </w:r>
      <w:r w:rsidRPr="005D1B31">
        <w:rPr>
          <w:lang w:val="fr-FR"/>
        </w:rPr>
        <w:t>Organisation de coopération et de développement économiques et l</w:t>
      </w:r>
      <w:r w:rsidR="00341801">
        <w:rPr>
          <w:lang w:val="fr-FR"/>
        </w:rPr>
        <w:t>’</w:t>
      </w:r>
      <w:r w:rsidRPr="005D1B31">
        <w:rPr>
          <w:lang w:val="fr-FR"/>
        </w:rPr>
        <w:t>Union européenne, les gouvernements et les organisations non gouvernementales représentant l</w:t>
      </w:r>
      <w:r w:rsidR="00341801">
        <w:rPr>
          <w:lang w:val="fr-FR"/>
        </w:rPr>
        <w:t>’</w:t>
      </w:r>
      <w:r w:rsidRPr="005D1B31">
        <w:rPr>
          <w:lang w:val="fr-FR"/>
        </w:rPr>
        <w:t>industrie chimique, ont organisé ou appuyé de nombreux ateliers, séminaires et autres activités de renforcement des capacités aux niveaux international, régional, sous-régional et national en vue de sensibiliser les administrations, le secteur de la santé et les milieux industriels et de préparer ou d</w:t>
      </w:r>
      <w:r w:rsidR="00341801">
        <w:rPr>
          <w:lang w:val="fr-FR"/>
        </w:rPr>
        <w:t>’</w:t>
      </w:r>
      <w:r w:rsidRPr="005D1B31">
        <w:rPr>
          <w:lang w:val="fr-FR"/>
        </w:rPr>
        <w:t>appuyer la mise en œuvre du Système général harmonisé</w:t>
      </w:r>
      <w:r w:rsidR="00205511">
        <w:rPr>
          <w:lang w:val="fr-FR"/>
        </w:rPr>
        <w:t>,</w:t>
      </w:r>
    </w:p>
    <w:p w14:paraId="51D67C84" w14:textId="77777777" w:rsidR="00F122C7" w:rsidRPr="005D1B31" w:rsidRDefault="00F122C7" w:rsidP="00F122C7">
      <w:pPr>
        <w:pStyle w:val="SingleTxtG"/>
        <w:ind w:firstLine="567"/>
      </w:pPr>
      <w:r w:rsidRPr="005D1B31">
        <w:rPr>
          <w:i/>
          <w:lang w:val="fr-FR"/>
        </w:rPr>
        <w:t>Conscient</w:t>
      </w:r>
      <w:r w:rsidRPr="005D1B31">
        <w:rPr>
          <w:lang w:val="fr-FR"/>
        </w:rPr>
        <w:t xml:space="preserve"> que la mise en œuvre effective nécessitera la poursuite de la coopération entre le Sous-Comité d</w:t>
      </w:r>
      <w:r w:rsidR="00341801">
        <w:rPr>
          <w:lang w:val="fr-FR"/>
        </w:rPr>
        <w:t>’</w:t>
      </w:r>
      <w:r w:rsidRPr="005D1B31">
        <w:rPr>
          <w:lang w:val="fr-FR"/>
        </w:rPr>
        <w:t>experts du Système général harmonisé de classification et d</w:t>
      </w:r>
      <w:r w:rsidR="00341801">
        <w:rPr>
          <w:lang w:val="fr-FR"/>
        </w:rPr>
        <w:t>’</w:t>
      </w:r>
      <w:r w:rsidRPr="005D1B31">
        <w:rPr>
          <w:lang w:val="fr-FR"/>
        </w:rPr>
        <w:t>étiquetage des produits chimiques et les organismes internationaux concernés, la poursuite des activités des gouvernements des États Membres, une collaboration avec les milieux industriels et autres acteurs, et un appui important aux activités de renforcement des capacités dans les pays en transition et les pays en développement,</w:t>
      </w:r>
    </w:p>
    <w:p w14:paraId="2C73A4CD" w14:textId="77777777" w:rsidR="00F122C7" w:rsidRPr="005D1B31" w:rsidRDefault="00F122C7" w:rsidP="00F122C7">
      <w:pPr>
        <w:pStyle w:val="SingleTxtG"/>
        <w:ind w:firstLine="567"/>
      </w:pPr>
      <w:r w:rsidRPr="005D1B31">
        <w:rPr>
          <w:i/>
          <w:lang w:val="fr-FR"/>
        </w:rPr>
        <w:t>Rappelant</w:t>
      </w:r>
      <w:r w:rsidRPr="005D1B31">
        <w:rPr>
          <w:lang w:val="fr-FR"/>
        </w:rPr>
        <w:t xml:space="preserve"> le rôle particulièrement important que peuvent jouer, dans le renforcement des capacités à tous les niveaux, </w:t>
      </w:r>
      <w:r w:rsidRPr="00197081">
        <w:rPr>
          <w:lang w:val="fr-FR"/>
        </w:rPr>
        <w:t>le Partenariat mondial pour le renforcement des capacités en vue de l</w:t>
      </w:r>
      <w:r w:rsidR="00341801">
        <w:rPr>
          <w:lang w:val="fr-FR"/>
        </w:rPr>
        <w:t>’</w:t>
      </w:r>
      <w:r w:rsidRPr="00197081">
        <w:rPr>
          <w:lang w:val="fr-FR"/>
        </w:rPr>
        <w:t xml:space="preserve">application du Système général harmonisé de classification et </w:t>
      </w:r>
      <w:r w:rsidRPr="00197081">
        <w:rPr>
          <w:lang w:val="fr-FR"/>
        </w:rPr>
        <w:lastRenderedPageBreak/>
        <w:t>d</w:t>
      </w:r>
      <w:r w:rsidR="00341801">
        <w:rPr>
          <w:lang w:val="fr-FR"/>
        </w:rPr>
        <w:t>’</w:t>
      </w:r>
      <w:r w:rsidRPr="00197081">
        <w:rPr>
          <w:lang w:val="fr-FR"/>
        </w:rPr>
        <w:t xml:space="preserve">étiquetage des produits chimiques </w:t>
      </w:r>
      <w:r>
        <w:rPr>
          <w:lang w:val="fr-FR"/>
        </w:rPr>
        <w:t xml:space="preserve">de </w:t>
      </w:r>
      <w:r w:rsidRPr="005D1B31">
        <w:rPr>
          <w:lang w:val="fr-FR"/>
        </w:rPr>
        <w:t>l</w:t>
      </w:r>
      <w:r w:rsidR="00341801">
        <w:rPr>
          <w:lang w:val="fr-FR"/>
        </w:rPr>
        <w:t>’</w:t>
      </w:r>
      <w:r w:rsidRPr="005D1B31">
        <w:rPr>
          <w:lang w:val="fr-FR"/>
        </w:rPr>
        <w:t>Institut des Nations Unies pour la formation et la recherche, l</w:t>
      </w:r>
      <w:r w:rsidR="00341801">
        <w:rPr>
          <w:lang w:val="fr-FR"/>
        </w:rPr>
        <w:t>’</w:t>
      </w:r>
      <w:r w:rsidRPr="005D1B31">
        <w:rPr>
          <w:lang w:val="fr-FR"/>
        </w:rPr>
        <w:t>Organisation internationale du Travail et l</w:t>
      </w:r>
      <w:r w:rsidR="00341801">
        <w:rPr>
          <w:lang w:val="fr-FR"/>
        </w:rPr>
        <w:t>’</w:t>
      </w:r>
      <w:r w:rsidRPr="005D1B31">
        <w:rPr>
          <w:lang w:val="fr-FR"/>
        </w:rPr>
        <w:t>Organisation de coopération et de développement économiques,</w:t>
      </w:r>
    </w:p>
    <w:p w14:paraId="6B8625EF" w14:textId="77777777" w:rsidR="00F122C7" w:rsidRPr="005D1B31" w:rsidRDefault="00F122C7" w:rsidP="00F122C7">
      <w:pPr>
        <w:pStyle w:val="SingleTxtG"/>
        <w:ind w:firstLine="567"/>
      </w:pPr>
      <w:r w:rsidRPr="005D1B31">
        <w:rPr>
          <w:lang w:val="fr-FR"/>
        </w:rPr>
        <w:t>1.</w:t>
      </w:r>
      <w:r w:rsidRPr="005D1B31">
        <w:rPr>
          <w:lang w:val="fr-FR"/>
        </w:rPr>
        <w:tab/>
      </w:r>
      <w:r w:rsidRPr="005D1B31">
        <w:rPr>
          <w:i/>
          <w:lang w:val="fr-FR"/>
        </w:rPr>
        <w:t>Félicite</w:t>
      </w:r>
      <w:r w:rsidRPr="005D1B31">
        <w:rPr>
          <w:lang w:val="fr-FR"/>
        </w:rPr>
        <w:t xml:space="preserve"> le Secrétaire général pour avoir fait publier la s</w:t>
      </w:r>
      <w:r>
        <w:rPr>
          <w:lang w:val="fr-FR"/>
        </w:rPr>
        <w:t>ept</w:t>
      </w:r>
      <w:r w:rsidRPr="005D1B31">
        <w:rPr>
          <w:lang w:val="fr-FR"/>
        </w:rPr>
        <w:t xml:space="preserve">ième édition révisée du </w:t>
      </w:r>
      <w:r w:rsidRPr="005D1B31">
        <w:rPr>
          <w:i/>
          <w:lang w:val="fr-FR"/>
        </w:rPr>
        <w:t>Système général harmonisé de classification et d</w:t>
      </w:r>
      <w:r w:rsidR="00341801">
        <w:rPr>
          <w:i/>
          <w:lang w:val="fr-FR"/>
        </w:rPr>
        <w:t>’</w:t>
      </w:r>
      <w:r w:rsidRPr="005D1B31">
        <w:rPr>
          <w:i/>
          <w:lang w:val="fr-FR"/>
        </w:rPr>
        <w:t>étiquetage des produits chimiques</w:t>
      </w:r>
      <w:r w:rsidRPr="00FF7741">
        <w:rPr>
          <w:rStyle w:val="FootnoteReference"/>
          <w:szCs w:val="18"/>
        </w:rPr>
        <w:footnoteReference w:id="14"/>
      </w:r>
      <w:r w:rsidR="00951528">
        <w:rPr>
          <w:lang w:val="fr-FR"/>
        </w:rPr>
        <w:t xml:space="preserve"> </w:t>
      </w:r>
      <w:r w:rsidRPr="005D1B31">
        <w:rPr>
          <w:lang w:val="fr-FR"/>
        </w:rPr>
        <w:t>dans les six langues officielles de l</w:t>
      </w:r>
      <w:r w:rsidR="00341801">
        <w:rPr>
          <w:lang w:val="fr-FR"/>
        </w:rPr>
        <w:t>’</w:t>
      </w:r>
      <w:r w:rsidRPr="005D1B31">
        <w:rPr>
          <w:lang w:val="fr-FR"/>
        </w:rPr>
        <w:t>Organisation des Nations Unies, sous forme électronique et sous forme de livre, et pour sa mise en ligne, concomitamment avec d</w:t>
      </w:r>
      <w:r w:rsidR="00341801">
        <w:rPr>
          <w:lang w:val="fr-FR"/>
        </w:rPr>
        <w:t>’</w:t>
      </w:r>
      <w:r w:rsidRPr="005D1B31">
        <w:rPr>
          <w:lang w:val="fr-FR"/>
        </w:rPr>
        <w:t>autres informations connexes, sur le site Web de la Commission économique pour l</w:t>
      </w:r>
      <w:r w:rsidR="00341801">
        <w:rPr>
          <w:lang w:val="fr-FR"/>
        </w:rPr>
        <w:t>’</w:t>
      </w:r>
      <w:r w:rsidRPr="005D1B31">
        <w:rPr>
          <w:lang w:val="fr-FR"/>
        </w:rPr>
        <w:t>Europe, qui assure les services de secrétariat auprès du Comité ;</w:t>
      </w:r>
    </w:p>
    <w:p w14:paraId="146A3D62" w14:textId="77777777" w:rsidR="00F122C7" w:rsidRPr="005D1B31" w:rsidRDefault="00F122C7" w:rsidP="00F122C7">
      <w:pPr>
        <w:pStyle w:val="SingleTxtG"/>
        <w:ind w:firstLine="567"/>
      </w:pPr>
      <w:r w:rsidRPr="005D1B31">
        <w:rPr>
          <w:lang w:val="fr-FR"/>
        </w:rPr>
        <w:t>2.</w:t>
      </w:r>
      <w:r w:rsidRPr="005D1B31">
        <w:rPr>
          <w:lang w:val="fr-FR"/>
        </w:rPr>
        <w:tab/>
      </w:r>
      <w:r w:rsidRPr="005D1B31">
        <w:rPr>
          <w:i/>
          <w:lang w:val="fr-FR"/>
        </w:rPr>
        <w:t xml:space="preserve">Exprime sa profonde reconnaissance </w:t>
      </w:r>
      <w:r w:rsidRPr="005D1B31">
        <w:rPr>
          <w:lang w:val="fr-FR"/>
        </w:rPr>
        <w:t>au Comité, à la Commission</w:t>
      </w:r>
      <w:r>
        <w:rPr>
          <w:lang w:val="fr-FR"/>
        </w:rPr>
        <w:t xml:space="preserve"> et</w:t>
      </w:r>
      <w:r w:rsidRPr="005D1B31">
        <w:rPr>
          <w:lang w:val="fr-FR"/>
        </w:rPr>
        <w:t xml:space="preserve"> aux programmes</w:t>
      </w:r>
      <w:r>
        <w:rPr>
          <w:lang w:val="fr-FR"/>
        </w:rPr>
        <w:t>,</w:t>
      </w:r>
      <w:r w:rsidRPr="005D1B31">
        <w:rPr>
          <w:lang w:val="fr-FR"/>
        </w:rPr>
        <w:t xml:space="preserve"> institutions spécialisées et autres organis</w:t>
      </w:r>
      <w:r>
        <w:rPr>
          <w:lang w:val="fr-FR"/>
        </w:rPr>
        <w:t>me</w:t>
      </w:r>
      <w:r w:rsidRPr="005D1B31">
        <w:rPr>
          <w:lang w:val="fr-FR"/>
        </w:rPr>
        <w:t xml:space="preserve">s </w:t>
      </w:r>
      <w:r w:rsidRPr="00832554">
        <w:rPr>
          <w:lang w:val="fr-FR"/>
        </w:rPr>
        <w:t>des Nations Unies</w:t>
      </w:r>
      <w:r>
        <w:rPr>
          <w:lang w:val="fr-FR"/>
        </w:rPr>
        <w:t xml:space="preserve"> </w:t>
      </w:r>
      <w:r w:rsidRPr="005D1B31">
        <w:rPr>
          <w:lang w:val="fr-FR"/>
        </w:rPr>
        <w:t>concernés pour leur coopération fructueuse et leur détermination à mettre en œuvre le</w:t>
      </w:r>
      <w:r w:rsidR="004858BB">
        <w:rPr>
          <w:lang w:val="fr-FR"/>
        </w:rPr>
        <w:t xml:space="preserve"> </w:t>
      </w:r>
      <w:r w:rsidRPr="005D1B31">
        <w:rPr>
          <w:lang w:val="fr-FR"/>
        </w:rPr>
        <w:t>Système général harmonisé ;</w:t>
      </w:r>
    </w:p>
    <w:p w14:paraId="4AC1A04F" w14:textId="77777777" w:rsidR="00F122C7" w:rsidRPr="005D1B31" w:rsidRDefault="00F122C7" w:rsidP="00F122C7">
      <w:pPr>
        <w:pStyle w:val="SingleTxtG"/>
        <w:keepNext/>
        <w:ind w:firstLine="567"/>
      </w:pPr>
      <w:r w:rsidRPr="005D1B31">
        <w:rPr>
          <w:lang w:val="fr-FR"/>
        </w:rPr>
        <w:t>3.</w:t>
      </w:r>
      <w:r w:rsidRPr="005D1B31">
        <w:rPr>
          <w:lang w:val="fr-FR"/>
        </w:rPr>
        <w:tab/>
      </w:r>
      <w:r w:rsidRPr="005D1B31">
        <w:rPr>
          <w:i/>
          <w:lang w:val="fr-FR"/>
        </w:rPr>
        <w:t>Prie</w:t>
      </w:r>
      <w:r w:rsidRPr="005D1B31">
        <w:rPr>
          <w:lang w:val="fr-FR"/>
        </w:rPr>
        <w:t xml:space="preserve"> le Secrétaire général de :</w:t>
      </w:r>
    </w:p>
    <w:p w14:paraId="012FCA06" w14:textId="77777777" w:rsidR="00F122C7" w:rsidRPr="005D1B31" w:rsidRDefault="00F122C7" w:rsidP="00F122C7">
      <w:pPr>
        <w:pStyle w:val="SingleTxtG"/>
        <w:ind w:firstLine="567"/>
      </w:pPr>
      <w:r w:rsidRPr="005D1B31">
        <w:rPr>
          <w:lang w:val="fr-FR"/>
        </w:rPr>
        <w:t>a)</w:t>
      </w:r>
      <w:r w:rsidRPr="005D1B31">
        <w:rPr>
          <w:lang w:val="fr-FR"/>
        </w:rPr>
        <w:tab/>
        <w:t>Diffuser les amendements</w:t>
      </w:r>
      <w:r w:rsidRPr="00341801">
        <w:rPr>
          <w:rStyle w:val="FootnoteReference"/>
          <w:szCs w:val="18"/>
        </w:rPr>
        <w:footnoteReference w:id="15"/>
      </w:r>
      <w:r w:rsidR="00F543A3">
        <w:rPr>
          <w:lang w:val="fr-FR"/>
        </w:rPr>
        <w:t xml:space="preserve"> </w:t>
      </w:r>
      <w:r w:rsidRPr="005D1B31">
        <w:rPr>
          <w:lang w:val="fr-FR"/>
        </w:rPr>
        <w:t xml:space="preserve">à la </w:t>
      </w:r>
      <w:r w:rsidR="00257604">
        <w:rPr>
          <w:lang w:val="fr-FR"/>
        </w:rPr>
        <w:t>septième</w:t>
      </w:r>
      <w:r w:rsidRPr="005D1B31">
        <w:rPr>
          <w:lang w:val="fr-FR"/>
        </w:rPr>
        <w:t xml:space="preserve"> édition révisée du </w:t>
      </w:r>
      <w:r w:rsidRPr="005D1B31">
        <w:rPr>
          <w:i/>
          <w:lang w:val="fr-FR"/>
        </w:rPr>
        <w:t>Système général</w:t>
      </w:r>
      <w:r w:rsidRPr="00F507D9">
        <w:rPr>
          <w:i/>
          <w:lang w:val="fr-FR"/>
        </w:rPr>
        <w:t xml:space="preserve"> </w:t>
      </w:r>
      <w:r w:rsidRPr="00832554">
        <w:rPr>
          <w:i/>
          <w:lang w:val="fr-FR"/>
        </w:rPr>
        <w:t>harmonisé</w:t>
      </w:r>
      <w:r w:rsidRPr="005D1B31">
        <w:rPr>
          <w:i/>
          <w:lang w:val="fr-FR"/>
        </w:rPr>
        <w:t xml:space="preserve"> </w:t>
      </w:r>
      <w:r w:rsidRPr="005D1B31">
        <w:rPr>
          <w:lang w:val="fr-FR"/>
        </w:rPr>
        <w:t>auprès des gouvernements des États Membres, des institutions spécialisées et des autres organisations internationales concernées ;</w:t>
      </w:r>
    </w:p>
    <w:p w14:paraId="2165FB0F" w14:textId="77777777" w:rsidR="00F122C7" w:rsidRPr="005D1B31" w:rsidRDefault="00F122C7" w:rsidP="00F122C7">
      <w:pPr>
        <w:pStyle w:val="SingleTxtG"/>
        <w:ind w:firstLine="567"/>
      </w:pPr>
      <w:r w:rsidRPr="005D1B31">
        <w:rPr>
          <w:lang w:val="fr-FR"/>
        </w:rPr>
        <w:t>b)</w:t>
      </w:r>
      <w:r w:rsidRPr="005D1B31">
        <w:rPr>
          <w:lang w:val="fr-FR"/>
        </w:rPr>
        <w:tab/>
        <w:t xml:space="preserve">Publier la </w:t>
      </w:r>
      <w:r>
        <w:rPr>
          <w:lang w:val="fr-FR"/>
        </w:rPr>
        <w:t>hui</w:t>
      </w:r>
      <w:r w:rsidRPr="005D1B31">
        <w:rPr>
          <w:lang w:val="fr-FR"/>
        </w:rPr>
        <w:t xml:space="preserve">tième édition révisée du </w:t>
      </w:r>
      <w:r w:rsidRPr="005D1B31">
        <w:rPr>
          <w:i/>
          <w:lang w:val="fr-FR"/>
        </w:rPr>
        <w:t xml:space="preserve">Système général harmonisé </w:t>
      </w:r>
      <w:r w:rsidRPr="005D1B31">
        <w:rPr>
          <w:lang w:val="fr-FR"/>
        </w:rPr>
        <w:t>dans toutes les langues officielles de l</w:t>
      </w:r>
      <w:r w:rsidR="00341801">
        <w:rPr>
          <w:lang w:val="fr-FR"/>
        </w:rPr>
        <w:t>’</w:t>
      </w:r>
      <w:r w:rsidRPr="005D1B31">
        <w:rPr>
          <w:lang w:val="fr-FR"/>
        </w:rPr>
        <w:t>ONU de la manière la plus efficiente, à la fin 201</w:t>
      </w:r>
      <w:r>
        <w:rPr>
          <w:lang w:val="fr-FR"/>
        </w:rPr>
        <w:t>9</w:t>
      </w:r>
      <w:r w:rsidRPr="005D1B31">
        <w:rPr>
          <w:lang w:val="fr-FR"/>
        </w:rPr>
        <w:t xml:space="preserve"> au plus tard, et de la rendre accessible sous forme d</w:t>
      </w:r>
      <w:r w:rsidR="00341801">
        <w:rPr>
          <w:lang w:val="fr-FR"/>
        </w:rPr>
        <w:t>’</w:t>
      </w:r>
      <w:r w:rsidRPr="005D1B31">
        <w:rPr>
          <w:lang w:val="fr-FR"/>
        </w:rPr>
        <w:t>ouvrage imprimé et sous forme électronique et sur le site Web de la Commission ;</w:t>
      </w:r>
    </w:p>
    <w:p w14:paraId="605D2EBD" w14:textId="77777777" w:rsidR="00F122C7" w:rsidRPr="005D1B31" w:rsidRDefault="00F122C7" w:rsidP="00F122C7">
      <w:pPr>
        <w:pStyle w:val="SingleTxtG"/>
        <w:ind w:firstLine="567"/>
      </w:pPr>
      <w:r w:rsidRPr="005D1B31">
        <w:rPr>
          <w:lang w:val="fr-FR"/>
        </w:rPr>
        <w:t>c)</w:t>
      </w:r>
      <w:r w:rsidRPr="005D1B31">
        <w:rPr>
          <w:lang w:val="fr-FR"/>
        </w:rPr>
        <w:tab/>
        <w:t>Continuer à diffuser, sur le site Web de la Commission, des informations sur la mise en œuvre du Système général harmonisé ;</w:t>
      </w:r>
    </w:p>
    <w:p w14:paraId="71D6E827" w14:textId="77777777" w:rsidR="00F122C7" w:rsidRPr="005D1B31" w:rsidRDefault="00F122C7" w:rsidP="00F122C7">
      <w:pPr>
        <w:pStyle w:val="SingleTxtG"/>
        <w:ind w:firstLine="567"/>
      </w:pPr>
      <w:r w:rsidRPr="005D1B31">
        <w:rPr>
          <w:lang w:val="fr-FR"/>
        </w:rPr>
        <w:t>4.</w:t>
      </w:r>
      <w:r w:rsidRPr="005D1B31">
        <w:rPr>
          <w:lang w:val="fr-FR"/>
        </w:rPr>
        <w:tab/>
      </w:r>
      <w:r w:rsidRPr="005D1B31">
        <w:rPr>
          <w:i/>
          <w:lang w:val="fr-FR"/>
        </w:rPr>
        <w:t>Invite</w:t>
      </w:r>
      <w:r w:rsidRPr="005D1B31">
        <w:rPr>
          <w:lang w:val="fr-FR"/>
        </w:rPr>
        <w:t xml:space="preserve"> les gouvernements qui ne l</w:t>
      </w:r>
      <w:r w:rsidR="00341801">
        <w:rPr>
          <w:lang w:val="fr-FR"/>
        </w:rPr>
        <w:t>’</w:t>
      </w:r>
      <w:r w:rsidRPr="005D1B31">
        <w:rPr>
          <w:lang w:val="fr-FR"/>
        </w:rPr>
        <w:t>ont pas encore fait à prendre les mesures nécessaires, au moyen de procédures ou de dispositions législatives nationales, pour mettre en œuvre dès que possible le Système général harmonisé ;</w:t>
      </w:r>
    </w:p>
    <w:p w14:paraId="5C952072" w14:textId="77777777" w:rsidR="00F122C7" w:rsidRPr="005D1B31" w:rsidRDefault="00F122C7" w:rsidP="00F122C7">
      <w:pPr>
        <w:pStyle w:val="SingleTxtG"/>
        <w:ind w:firstLine="567"/>
      </w:pPr>
      <w:r w:rsidRPr="005D1B31">
        <w:rPr>
          <w:lang w:val="fr-FR"/>
        </w:rPr>
        <w:t>5.</w:t>
      </w:r>
      <w:r w:rsidRPr="005D1B31">
        <w:rPr>
          <w:lang w:val="fr-FR"/>
        </w:rPr>
        <w:tab/>
      </w:r>
      <w:r w:rsidRPr="005D1B31">
        <w:rPr>
          <w:i/>
          <w:lang w:val="fr-FR"/>
        </w:rPr>
        <w:t xml:space="preserve">Réitère également son invite </w:t>
      </w:r>
      <w:r w:rsidRPr="005D1B31">
        <w:rPr>
          <w:lang w:val="fr-FR"/>
        </w:rPr>
        <w:t>aux commissions régionales, aux programmes des Nations Unies, aux institutions spécialisées et aux autres organisations concernées à promouvoir la mise en œuvre du Système général harmonisé et, le cas échéant, à modifier leurs instruments juridiques internationaux respectifs régissant la sécurité des transports, la sécurité du travail, la protection des consommateurs ou la protection de l</w:t>
      </w:r>
      <w:r w:rsidR="00341801">
        <w:rPr>
          <w:lang w:val="fr-FR"/>
        </w:rPr>
        <w:t>’</w:t>
      </w:r>
      <w:r w:rsidRPr="005D1B31">
        <w:rPr>
          <w:lang w:val="fr-FR"/>
        </w:rPr>
        <w:t>environnement pour mettre en application le Système général harmonisé dans le cadre de ces instruments ;</w:t>
      </w:r>
    </w:p>
    <w:p w14:paraId="600A8E0D" w14:textId="77777777" w:rsidR="00F122C7" w:rsidRPr="005D1B31" w:rsidRDefault="00F122C7" w:rsidP="00F122C7">
      <w:pPr>
        <w:pStyle w:val="SingleTxtG"/>
        <w:ind w:firstLine="567"/>
      </w:pPr>
      <w:r w:rsidRPr="005D1B31">
        <w:rPr>
          <w:lang w:val="fr-FR"/>
        </w:rPr>
        <w:t>6.</w:t>
      </w:r>
      <w:r w:rsidRPr="005D1B31">
        <w:rPr>
          <w:lang w:val="fr-FR"/>
        </w:rPr>
        <w:tab/>
      </w:r>
      <w:r w:rsidRPr="005D1B31">
        <w:rPr>
          <w:i/>
          <w:lang w:val="fr-FR"/>
        </w:rPr>
        <w:t>Invite</w:t>
      </w:r>
      <w:r w:rsidRPr="005D1B31">
        <w:rPr>
          <w:lang w:val="fr-FR"/>
        </w:rPr>
        <w:t xml:space="preserve"> les gouvernements, les commissions régionales, les programmes des Nations Unies, les institutions spécialisées et les autres organismes concernés à faire savoir en retour au Sous-Comité d</w:t>
      </w:r>
      <w:r w:rsidR="00341801">
        <w:rPr>
          <w:lang w:val="fr-FR"/>
        </w:rPr>
        <w:t>’</w:t>
      </w:r>
      <w:r w:rsidRPr="005D1B31">
        <w:rPr>
          <w:lang w:val="fr-FR"/>
        </w:rPr>
        <w:t xml:space="preserve">experts du Système général harmonisé </w:t>
      </w:r>
      <w:r w:rsidRPr="00BA112F">
        <w:rPr>
          <w:lang w:val="fr-FR"/>
        </w:rPr>
        <w:t>de classification et d</w:t>
      </w:r>
      <w:r w:rsidR="00341801">
        <w:rPr>
          <w:lang w:val="fr-FR"/>
        </w:rPr>
        <w:t>’</w:t>
      </w:r>
      <w:r w:rsidRPr="00BA112F">
        <w:rPr>
          <w:lang w:val="fr-FR"/>
        </w:rPr>
        <w:t xml:space="preserve">étiquetage des produits chimiques </w:t>
      </w:r>
      <w:r w:rsidRPr="005D1B31">
        <w:rPr>
          <w:lang w:val="fr-FR"/>
        </w:rPr>
        <w:t>les mesures qu</w:t>
      </w:r>
      <w:r w:rsidR="00341801">
        <w:rPr>
          <w:lang w:val="fr-FR"/>
        </w:rPr>
        <w:t>’</w:t>
      </w:r>
      <w:r w:rsidRPr="005D1B31">
        <w:rPr>
          <w:lang w:val="fr-FR"/>
        </w:rPr>
        <w:t>ils auront prises pour mettre en œuvre le Système dans tous les secteurs pertinents, au moyen d</w:t>
      </w:r>
      <w:r w:rsidR="00341801">
        <w:rPr>
          <w:lang w:val="fr-FR"/>
        </w:rPr>
        <w:t>’</w:t>
      </w:r>
      <w:r w:rsidRPr="005D1B31">
        <w:rPr>
          <w:lang w:val="fr-FR"/>
        </w:rPr>
        <w:t>instruments juridiques, recommandations, codes et directives internationaux, régionaux ou nationaux, y compris, le cas échéant, des informations sur les périodes transitoires applicables à sa mise en œuvre ;</w:t>
      </w:r>
    </w:p>
    <w:p w14:paraId="0FF8845C" w14:textId="77777777" w:rsidR="00F122C7" w:rsidRPr="005D1B31" w:rsidRDefault="00F122C7" w:rsidP="00F122C7">
      <w:pPr>
        <w:pStyle w:val="SingleTxtG"/>
        <w:ind w:firstLine="567"/>
        <w:rPr>
          <w:spacing w:val="1"/>
        </w:rPr>
      </w:pPr>
      <w:r w:rsidRPr="005D1B31">
        <w:rPr>
          <w:spacing w:val="1"/>
          <w:lang w:val="fr-FR"/>
        </w:rPr>
        <w:t>7.</w:t>
      </w:r>
      <w:r w:rsidRPr="005D1B31">
        <w:rPr>
          <w:spacing w:val="1"/>
          <w:lang w:val="fr-FR"/>
        </w:rPr>
        <w:tab/>
      </w:r>
      <w:r w:rsidRPr="005D1B31">
        <w:rPr>
          <w:i/>
          <w:spacing w:val="1"/>
          <w:lang w:val="fr-FR"/>
        </w:rPr>
        <w:t>Encourage</w:t>
      </w:r>
      <w:r w:rsidRPr="005D1B31">
        <w:rPr>
          <w:spacing w:val="1"/>
          <w:lang w:val="fr-FR"/>
        </w:rPr>
        <w:t xml:space="preserve"> les gouvernements, les commissions régionales, les programmes des Nations Unies, les institutions spécialisées et les autres organisations internationales et organisations non gouvernementales concernées, notamment celles qui représentent les milieux industriels, à renforcer leur appui à la mise en œuvre du Système général harmonisé en apportant des contributions financières et/ou une assistance technique aux activités de renforcement des capacités dans les pays en développement et les pays à économie en transition.</w:t>
      </w:r>
    </w:p>
    <w:p w14:paraId="4BFA65A8" w14:textId="77777777" w:rsidR="00F122C7" w:rsidRPr="005D1B31" w:rsidRDefault="00F122C7" w:rsidP="001B215B">
      <w:pPr>
        <w:pStyle w:val="H23G"/>
      </w:pPr>
      <w:r w:rsidRPr="005D1B31">
        <w:rPr>
          <w:lang w:val="fr-FR"/>
        </w:rPr>
        <w:tab/>
      </w:r>
      <w:r w:rsidRPr="005D1B31">
        <w:rPr>
          <w:lang w:val="fr-FR"/>
        </w:rPr>
        <w:tab/>
        <w:t>C.</w:t>
      </w:r>
      <w:r w:rsidR="001B215B">
        <w:rPr>
          <w:lang w:val="fr-FR"/>
        </w:rPr>
        <w:tab/>
      </w:r>
      <w:r w:rsidRPr="005D1B31">
        <w:rPr>
          <w:lang w:val="fr-FR"/>
        </w:rPr>
        <w:t>Programme de travail du Comité</w:t>
      </w:r>
    </w:p>
    <w:p w14:paraId="601ACCA0" w14:textId="77777777" w:rsidR="00F122C7" w:rsidRPr="005D1B31" w:rsidRDefault="00F122C7" w:rsidP="00F122C7">
      <w:pPr>
        <w:pStyle w:val="SingleTxtG"/>
        <w:ind w:firstLine="567"/>
      </w:pPr>
      <w:r w:rsidRPr="005D1B31">
        <w:rPr>
          <w:i/>
          <w:lang w:val="fr-FR"/>
        </w:rPr>
        <w:t xml:space="preserve">Prenant note </w:t>
      </w:r>
      <w:r w:rsidRPr="005D1B31">
        <w:rPr>
          <w:lang w:val="fr-FR"/>
        </w:rPr>
        <w:t>du programme de travail du Comité pour l</w:t>
      </w:r>
      <w:r w:rsidR="00341801">
        <w:rPr>
          <w:lang w:val="fr-FR"/>
        </w:rPr>
        <w:t>’</w:t>
      </w:r>
      <w:r w:rsidRPr="005D1B31">
        <w:rPr>
          <w:lang w:val="fr-FR"/>
        </w:rPr>
        <w:t>exercice biennal 2019-2020 tel qu</w:t>
      </w:r>
      <w:r w:rsidR="00341801">
        <w:rPr>
          <w:lang w:val="fr-FR"/>
        </w:rPr>
        <w:t>’</w:t>
      </w:r>
      <w:r w:rsidRPr="005D1B31">
        <w:rPr>
          <w:lang w:val="fr-FR"/>
        </w:rPr>
        <w:t>il figure aux paragraphes […] et […] du rapport du Secrétaire général</w:t>
      </w:r>
      <w:r w:rsidRPr="008E134E">
        <w:rPr>
          <w:sz w:val="18"/>
          <w:szCs w:val="18"/>
          <w:vertAlign w:val="superscript"/>
          <w:lang w:val="fr-FR"/>
        </w:rPr>
        <w:t>1</w:t>
      </w:r>
      <w:r w:rsidRPr="005D1B31">
        <w:rPr>
          <w:lang w:val="fr-FR"/>
        </w:rPr>
        <w:t>,</w:t>
      </w:r>
    </w:p>
    <w:p w14:paraId="7F28F3DB" w14:textId="77777777" w:rsidR="00F122C7" w:rsidRPr="005D1B31" w:rsidRDefault="00F122C7" w:rsidP="00F122C7">
      <w:pPr>
        <w:pStyle w:val="SingleTxtG"/>
        <w:ind w:firstLine="567"/>
      </w:pPr>
      <w:r w:rsidRPr="005D1B31">
        <w:rPr>
          <w:i/>
          <w:lang w:val="fr-FR"/>
        </w:rPr>
        <w:lastRenderedPageBreak/>
        <w:t>Notant</w:t>
      </w:r>
      <w:r w:rsidRPr="005D1B31">
        <w:rPr>
          <w:lang w:val="fr-FR"/>
        </w:rPr>
        <w:t xml:space="preserve"> la relative faiblesse de la participation d</w:t>
      </w:r>
      <w:r w:rsidR="00341801">
        <w:rPr>
          <w:lang w:val="fr-FR"/>
        </w:rPr>
        <w:t>’</w:t>
      </w:r>
      <w:r w:rsidRPr="005D1B31">
        <w:rPr>
          <w:lang w:val="fr-FR"/>
        </w:rPr>
        <w:t>experts issus de pays en développement et de pays en transition aux travaux du Comité, et la nécessité de promouvoir une plus large participation à ces travaux,</w:t>
      </w:r>
    </w:p>
    <w:p w14:paraId="612021AD" w14:textId="77777777" w:rsidR="00F122C7" w:rsidRPr="005D1B31" w:rsidRDefault="00F122C7" w:rsidP="00F122C7">
      <w:pPr>
        <w:pStyle w:val="SingleTxtG"/>
        <w:ind w:firstLine="567"/>
      </w:pPr>
      <w:r w:rsidRPr="005D1B31">
        <w:rPr>
          <w:lang w:val="fr-FR"/>
        </w:rPr>
        <w:t>1.</w:t>
      </w:r>
      <w:r w:rsidRPr="005D1B31">
        <w:rPr>
          <w:lang w:val="fr-FR"/>
        </w:rPr>
        <w:tab/>
      </w:r>
      <w:r w:rsidRPr="005D1B31">
        <w:rPr>
          <w:i/>
          <w:lang w:val="fr-FR"/>
        </w:rPr>
        <w:t>Décide</w:t>
      </w:r>
      <w:r w:rsidRPr="005D1B31">
        <w:rPr>
          <w:lang w:val="fr-FR"/>
        </w:rPr>
        <w:t xml:space="preserve"> d</w:t>
      </w:r>
      <w:r w:rsidR="00341801">
        <w:rPr>
          <w:lang w:val="fr-FR"/>
        </w:rPr>
        <w:t>’</w:t>
      </w:r>
      <w:r w:rsidRPr="005D1B31">
        <w:rPr>
          <w:lang w:val="fr-FR"/>
        </w:rPr>
        <w:t>approuver le programme de travail du Comité</w:t>
      </w:r>
      <w:r w:rsidRPr="00341801">
        <w:rPr>
          <w:sz w:val="18"/>
          <w:szCs w:val="18"/>
          <w:vertAlign w:val="superscript"/>
          <w:lang w:val="fr-FR"/>
        </w:rPr>
        <w:t>1</w:t>
      </w:r>
      <w:r w:rsidRPr="005D1B31">
        <w:rPr>
          <w:lang w:val="fr-FR"/>
        </w:rPr>
        <w:t> ;</w:t>
      </w:r>
    </w:p>
    <w:p w14:paraId="28B8D346" w14:textId="77777777" w:rsidR="00F122C7" w:rsidRPr="005D1B31" w:rsidRDefault="00F122C7" w:rsidP="00F122C7">
      <w:pPr>
        <w:pStyle w:val="SingleTxtG"/>
        <w:ind w:firstLine="567"/>
      </w:pPr>
      <w:r w:rsidRPr="005D1B31">
        <w:rPr>
          <w:lang w:val="fr-FR"/>
        </w:rPr>
        <w:t>2.</w:t>
      </w:r>
      <w:r w:rsidRPr="005D1B31">
        <w:rPr>
          <w:lang w:val="fr-FR"/>
        </w:rPr>
        <w:tab/>
      </w:r>
      <w:r w:rsidRPr="005D1B31">
        <w:rPr>
          <w:i/>
          <w:lang w:val="fr-FR"/>
        </w:rPr>
        <w:t>Souligne</w:t>
      </w:r>
      <w:r w:rsidRPr="005D1B31">
        <w:rPr>
          <w:lang w:val="fr-FR"/>
        </w:rPr>
        <w:t xml:space="preserve"> l</w:t>
      </w:r>
      <w:r w:rsidR="00341801">
        <w:rPr>
          <w:lang w:val="fr-FR"/>
        </w:rPr>
        <w:t>’</w:t>
      </w:r>
      <w:r w:rsidRPr="005D1B31">
        <w:rPr>
          <w:lang w:val="fr-FR"/>
        </w:rPr>
        <w:t>importance de la participation d</w:t>
      </w:r>
      <w:r w:rsidR="00341801">
        <w:rPr>
          <w:lang w:val="fr-FR"/>
        </w:rPr>
        <w:t>’</w:t>
      </w:r>
      <w:r w:rsidRPr="005D1B31">
        <w:rPr>
          <w:lang w:val="fr-FR"/>
        </w:rPr>
        <w:t xml:space="preserve">experts de pays en développement et de pays en transition aux travaux du Comité, </w:t>
      </w:r>
      <w:r w:rsidRPr="005D1B31">
        <w:rPr>
          <w:i/>
          <w:lang w:val="fr-FR"/>
        </w:rPr>
        <w:t>sollicite</w:t>
      </w:r>
      <w:r w:rsidRPr="005D1B31">
        <w:rPr>
          <w:lang w:val="fr-FR"/>
        </w:rPr>
        <w:t xml:space="preserve"> à cet égard des contributions volontaires pour faciliter leur participation, y compris sous la forme d</w:t>
      </w:r>
      <w:r w:rsidR="00341801">
        <w:rPr>
          <w:lang w:val="fr-FR"/>
        </w:rPr>
        <w:t>’</w:t>
      </w:r>
      <w:r w:rsidRPr="005D1B31">
        <w:rPr>
          <w:lang w:val="fr-FR"/>
        </w:rPr>
        <w:t xml:space="preserve">un appui aux frais de voyage et de subsistance journalière, et </w:t>
      </w:r>
      <w:r w:rsidRPr="005D1B31">
        <w:rPr>
          <w:i/>
          <w:lang w:val="fr-FR"/>
        </w:rPr>
        <w:t>invite</w:t>
      </w:r>
      <w:r w:rsidRPr="005D1B31">
        <w:rPr>
          <w:lang w:val="fr-FR"/>
        </w:rPr>
        <w:t xml:space="preserve"> les États Membres et les organisations internationales qui seraient en mesure de le faire à apporter leur contribution ;</w:t>
      </w:r>
    </w:p>
    <w:p w14:paraId="558DEDB5" w14:textId="77777777" w:rsidR="00E56893" w:rsidRDefault="00F122C7" w:rsidP="004B4FF5">
      <w:pPr>
        <w:pStyle w:val="SingleTxtG"/>
        <w:ind w:firstLine="567"/>
        <w:rPr>
          <w:lang w:val="fr-FR"/>
        </w:rPr>
      </w:pPr>
      <w:r w:rsidRPr="005D1B31">
        <w:rPr>
          <w:lang w:val="fr-FR"/>
        </w:rPr>
        <w:t>3.</w:t>
      </w:r>
      <w:r w:rsidRPr="005D1B31">
        <w:rPr>
          <w:lang w:val="fr-FR"/>
        </w:rPr>
        <w:tab/>
      </w:r>
      <w:r w:rsidRPr="005D1B31">
        <w:rPr>
          <w:i/>
          <w:lang w:val="fr-FR"/>
        </w:rPr>
        <w:t>Prie</w:t>
      </w:r>
      <w:r w:rsidRPr="005D1B31">
        <w:rPr>
          <w:lang w:val="fr-FR"/>
        </w:rPr>
        <w:t xml:space="preserve"> le Secrétaire général de présenter au Conseil économique et social, en</w:t>
      </w:r>
      <w:r w:rsidR="00341801">
        <w:rPr>
          <w:lang w:val="fr-FR"/>
        </w:rPr>
        <w:t xml:space="preserve"> </w:t>
      </w:r>
      <w:r w:rsidRPr="005D1B31">
        <w:rPr>
          <w:lang w:val="fr-FR"/>
        </w:rPr>
        <w:t>20</w:t>
      </w:r>
      <w:r>
        <w:rPr>
          <w:lang w:val="fr-FR"/>
        </w:rPr>
        <w:t>21</w:t>
      </w:r>
      <w:r w:rsidRPr="005D1B31">
        <w:rPr>
          <w:lang w:val="fr-FR"/>
        </w:rPr>
        <w:t>, un rapport sur la mise en œuvre de la présente résolution, des recommandations relatives au transport des marchandises dangereuses et du Système général harmonisé de classification et d</w:t>
      </w:r>
      <w:r w:rsidR="00341801">
        <w:rPr>
          <w:lang w:val="fr-FR"/>
        </w:rPr>
        <w:t>’</w:t>
      </w:r>
      <w:r w:rsidRPr="005D1B31">
        <w:rPr>
          <w:lang w:val="fr-FR"/>
        </w:rPr>
        <w:t>étiquetage des produits chimiques</w:t>
      </w:r>
      <w:r w:rsidR="004B04A9">
        <w:rPr>
          <w:lang w:val="fr-FR"/>
        </w:rPr>
        <w:t> ».</w:t>
      </w:r>
    </w:p>
    <w:p w14:paraId="40E52B52" w14:textId="77777777" w:rsidR="00341801" w:rsidRPr="00341801" w:rsidRDefault="00341801" w:rsidP="00341801">
      <w:pPr>
        <w:pStyle w:val="SingleTxtG"/>
        <w:spacing w:before="240" w:after="0"/>
        <w:jc w:val="center"/>
        <w:rPr>
          <w:u w:val="single"/>
        </w:rPr>
      </w:pPr>
      <w:r>
        <w:rPr>
          <w:u w:val="single"/>
        </w:rPr>
        <w:tab/>
      </w:r>
      <w:r>
        <w:rPr>
          <w:u w:val="single"/>
        </w:rPr>
        <w:tab/>
      </w:r>
      <w:r>
        <w:rPr>
          <w:u w:val="single"/>
        </w:rPr>
        <w:tab/>
      </w:r>
    </w:p>
    <w:sectPr w:rsidR="00341801" w:rsidRPr="00341801" w:rsidSect="004570D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EF35" w14:textId="77777777" w:rsidR="00341801" w:rsidRDefault="00341801" w:rsidP="00F95C08">
      <w:pPr>
        <w:spacing w:line="240" w:lineRule="auto"/>
      </w:pPr>
    </w:p>
  </w:endnote>
  <w:endnote w:type="continuationSeparator" w:id="0">
    <w:p w14:paraId="1589F086" w14:textId="77777777" w:rsidR="00341801" w:rsidRPr="00AC3823" w:rsidRDefault="00341801" w:rsidP="00AC3823">
      <w:pPr>
        <w:pStyle w:val="Footer"/>
      </w:pPr>
    </w:p>
  </w:endnote>
  <w:endnote w:type="continuationNotice" w:id="1">
    <w:p w14:paraId="23B5C1DE" w14:textId="77777777" w:rsidR="00341801" w:rsidRDefault="003418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D9DD" w14:textId="77777777" w:rsidR="00341801" w:rsidRPr="00E660DF" w:rsidRDefault="00341801" w:rsidP="00E660DF">
    <w:pPr>
      <w:pStyle w:val="Footer"/>
      <w:tabs>
        <w:tab w:val="right" w:pos="9638"/>
      </w:tabs>
    </w:pPr>
    <w:r w:rsidRPr="00E660DF">
      <w:rPr>
        <w:b/>
        <w:sz w:val="18"/>
      </w:rPr>
      <w:fldChar w:fldCharType="begin"/>
    </w:r>
    <w:r w:rsidRPr="00E660DF">
      <w:rPr>
        <w:b/>
        <w:sz w:val="18"/>
      </w:rPr>
      <w:instrText xml:space="preserve"> PAGE  \* MERGEFORMAT </w:instrText>
    </w:r>
    <w:r w:rsidRPr="00E660DF">
      <w:rPr>
        <w:b/>
        <w:sz w:val="18"/>
      </w:rPr>
      <w:fldChar w:fldCharType="separate"/>
    </w:r>
    <w:r w:rsidRPr="00E660DF">
      <w:rPr>
        <w:b/>
        <w:noProof/>
        <w:sz w:val="18"/>
      </w:rPr>
      <w:t>2</w:t>
    </w:r>
    <w:r w:rsidRPr="00E660DF">
      <w:rPr>
        <w:b/>
        <w:sz w:val="18"/>
      </w:rPr>
      <w:fldChar w:fldCharType="end"/>
    </w:r>
    <w:r>
      <w:rPr>
        <w:b/>
        <w:sz w:val="18"/>
      </w:rPr>
      <w:tab/>
    </w:r>
    <w:r>
      <w:t>GE.18-22471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1D99" w14:textId="77777777" w:rsidR="00341801" w:rsidRPr="00E660DF" w:rsidRDefault="00341801" w:rsidP="00E660DF">
    <w:pPr>
      <w:pStyle w:val="Footer"/>
      <w:tabs>
        <w:tab w:val="right" w:pos="9638"/>
      </w:tabs>
      <w:rPr>
        <w:b/>
        <w:sz w:val="18"/>
      </w:rPr>
    </w:pPr>
    <w:r>
      <w:t>GE.18-22471</w:t>
    </w:r>
    <w:r>
      <w:tab/>
    </w:r>
    <w:r w:rsidRPr="00E660DF">
      <w:rPr>
        <w:b/>
        <w:sz w:val="18"/>
      </w:rPr>
      <w:fldChar w:fldCharType="begin"/>
    </w:r>
    <w:r w:rsidRPr="00E660DF">
      <w:rPr>
        <w:b/>
        <w:sz w:val="18"/>
      </w:rPr>
      <w:instrText xml:space="preserve"> PAGE  \* MERGEFORMAT </w:instrText>
    </w:r>
    <w:r w:rsidRPr="00E660DF">
      <w:rPr>
        <w:b/>
        <w:sz w:val="18"/>
      </w:rPr>
      <w:fldChar w:fldCharType="separate"/>
    </w:r>
    <w:r w:rsidRPr="00E660DF">
      <w:rPr>
        <w:b/>
        <w:noProof/>
        <w:sz w:val="18"/>
      </w:rPr>
      <w:t>3</w:t>
    </w:r>
    <w:r w:rsidRPr="00E660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13F5" w14:textId="77777777" w:rsidR="00341801" w:rsidRPr="00E660DF" w:rsidRDefault="00341801" w:rsidP="00E660DF">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60C16DDF" wp14:editId="77A0E55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18-22471  (F)    030419    040419</w:t>
    </w:r>
    <w:r>
      <w:rPr>
        <w:sz w:val="20"/>
      </w:rPr>
      <w:br/>
    </w:r>
    <w:r w:rsidRPr="00E660DF">
      <w:rPr>
        <w:rFonts w:ascii="C39T30Lfz" w:hAnsi="C39T30Lfz"/>
        <w:sz w:val="56"/>
      </w:rPr>
      <w:t></w:t>
    </w:r>
    <w:r w:rsidRPr="00E660DF">
      <w:rPr>
        <w:rFonts w:ascii="C39T30Lfz" w:hAnsi="C39T30Lfz"/>
        <w:sz w:val="56"/>
      </w:rPr>
      <w:t></w:t>
    </w:r>
    <w:r w:rsidRPr="00E660DF">
      <w:rPr>
        <w:rFonts w:ascii="C39T30Lfz" w:hAnsi="C39T30Lfz"/>
        <w:sz w:val="56"/>
      </w:rPr>
      <w:t></w:t>
    </w:r>
    <w:r w:rsidRPr="00E660DF">
      <w:rPr>
        <w:rFonts w:ascii="C39T30Lfz" w:hAnsi="C39T30Lfz"/>
        <w:sz w:val="56"/>
      </w:rPr>
      <w:t></w:t>
    </w:r>
    <w:r w:rsidRPr="00E660DF">
      <w:rPr>
        <w:rFonts w:ascii="C39T30Lfz" w:hAnsi="C39T30Lfz"/>
        <w:sz w:val="56"/>
      </w:rPr>
      <w:t></w:t>
    </w:r>
    <w:r w:rsidRPr="00E660DF">
      <w:rPr>
        <w:rFonts w:ascii="C39T30Lfz" w:hAnsi="C39T30Lfz"/>
        <w:sz w:val="56"/>
      </w:rPr>
      <w:t></w:t>
    </w:r>
    <w:r w:rsidRPr="00E660DF">
      <w:rPr>
        <w:rFonts w:ascii="C39T30Lfz" w:hAnsi="C39T30Lfz"/>
        <w:sz w:val="56"/>
      </w:rPr>
      <w:t></w:t>
    </w:r>
    <w:r w:rsidRPr="00E660DF">
      <w:rPr>
        <w:rFonts w:ascii="C39T30Lfz" w:hAnsi="C39T30Lfz"/>
        <w:sz w:val="56"/>
      </w:rPr>
      <w:t></w:t>
    </w:r>
    <w:r w:rsidRPr="00E660DF">
      <w:rPr>
        <w:rFonts w:ascii="C39T30Lfz" w:hAnsi="C39T30Lfz"/>
        <w:sz w:val="56"/>
      </w:rPr>
      <w:t></w:t>
    </w:r>
    <w:r>
      <w:rPr>
        <w:noProof/>
        <w:sz w:val="20"/>
      </w:rPr>
      <w:drawing>
        <wp:anchor distT="0" distB="0" distL="114300" distR="114300" simplePos="0" relativeHeight="251663360" behindDoc="0" locked="0" layoutInCell="1" allowOverlap="1" wp14:anchorId="728B4FEF" wp14:editId="6586847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ST/SG/AC.10/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4490" w14:textId="77777777" w:rsidR="00341801" w:rsidRPr="00AC3823" w:rsidRDefault="00341801" w:rsidP="00AC3823">
      <w:pPr>
        <w:pStyle w:val="Footer"/>
        <w:tabs>
          <w:tab w:val="right" w:pos="2155"/>
        </w:tabs>
        <w:spacing w:after="80" w:line="240" w:lineRule="atLeast"/>
        <w:ind w:left="680"/>
        <w:rPr>
          <w:u w:val="single"/>
        </w:rPr>
      </w:pPr>
      <w:r>
        <w:rPr>
          <w:u w:val="single"/>
        </w:rPr>
        <w:tab/>
      </w:r>
    </w:p>
  </w:footnote>
  <w:footnote w:type="continuationSeparator" w:id="0">
    <w:p w14:paraId="13050C10" w14:textId="77777777" w:rsidR="00341801" w:rsidRPr="00AC3823" w:rsidRDefault="00341801" w:rsidP="00AC3823">
      <w:pPr>
        <w:pStyle w:val="Footer"/>
        <w:tabs>
          <w:tab w:val="right" w:pos="2155"/>
        </w:tabs>
        <w:spacing w:after="80" w:line="240" w:lineRule="atLeast"/>
        <w:ind w:left="680"/>
        <w:rPr>
          <w:u w:val="single"/>
        </w:rPr>
      </w:pPr>
      <w:r>
        <w:rPr>
          <w:u w:val="single"/>
        </w:rPr>
        <w:tab/>
      </w:r>
    </w:p>
  </w:footnote>
  <w:footnote w:type="continuationNotice" w:id="1">
    <w:p w14:paraId="4C63EF4D" w14:textId="77777777" w:rsidR="00341801" w:rsidRPr="00AC3823" w:rsidRDefault="00341801">
      <w:pPr>
        <w:spacing w:line="240" w:lineRule="auto"/>
        <w:rPr>
          <w:sz w:val="2"/>
          <w:szCs w:val="2"/>
        </w:rPr>
      </w:pPr>
    </w:p>
  </w:footnote>
  <w:footnote w:id="2">
    <w:p w14:paraId="74951183" w14:textId="77777777" w:rsidR="009D7B98" w:rsidRPr="00CF3608" w:rsidRDefault="009D7B98" w:rsidP="009D7B98">
      <w:pPr>
        <w:pStyle w:val="FootnoteText"/>
      </w:pPr>
      <w:r w:rsidRPr="00846E83">
        <w:rPr>
          <w:rStyle w:val="FootnoteReference"/>
          <w:vertAlign w:val="baseline"/>
        </w:rPr>
        <w:tab/>
      </w:r>
      <w:r w:rsidRPr="00846E83">
        <w:rPr>
          <w:rStyle w:val="FootnoteReference"/>
          <w:sz w:val="20"/>
          <w:vertAlign w:val="baseline"/>
        </w:rPr>
        <w:t>*</w:t>
      </w:r>
      <w:r w:rsidRPr="00846E83">
        <w:rPr>
          <w:rStyle w:val="FootnoteReference"/>
          <w:sz w:val="20"/>
          <w:vertAlign w:val="baseline"/>
        </w:rPr>
        <w:tab/>
      </w:r>
      <w:r>
        <w:t>Pour des raisons pratiques, l’annexe I est reproduite sous forme d’additif au présent document, sous la cote ST/SG/AC.10/46/Add.1.</w:t>
      </w:r>
    </w:p>
  </w:footnote>
  <w:footnote w:id="3">
    <w:p w14:paraId="15CDBC96" w14:textId="77777777" w:rsidR="009D7B98" w:rsidRPr="00CF3608" w:rsidRDefault="009D7B98" w:rsidP="009D7B98">
      <w:pPr>
        <w:pStyle w:val="FootnoteText"/>
      </w:pPr>
      <w:r w:rsidRPr="00846E83">
        <w:rPr>
          <w:rStyle w:val="FootnoteReference"/>
          <w:vertAlign w:val="baseline"/>
        </w:rPr>
        <w:tab/>
      </w:r>
      <w:r w:rsidRPr="00846E83">
        <w:rPr>
          <w:rStyle w:val="FootnoteReference"/>
          <w:sz w:val="20"/>
          <w:vertAlign w:val="baseline"/>
        </w:rPr>
        <w:t>**</w:t>
      </w:r>
      <w:r w:rsidRPr="00846E83">
        <w:rPr>
          <w:rStyle w:val="FootnoteReference"/>
          <w:sz w:val="20"/>
          <w:vertAlign w:val="baseline"/>
        </w:rPr>
        <w:tab/>
      </w:r>
      <w:r>
        <w:t>Pour des raisons pratiques, cette annexe est reproduite sous forme d’additif au présent document, sous la cote ST/SG/AC.10/46/Add.2.</w:t>
      </w:r>
    </w:p>
  </w:footnote>
  <w:footnote w:id="4">
    <w:p w14:paraId="10C892D9" w14:textId="77777777" w:rsidR="009D7B98" w:rsidRPr="00CF3608" w:rsidRDefault="009D7B98" w:rsidP="009D7B98">
      <w:pPr>
        <w:pStyle w:val="FootnoteText"/>
      </w:pPr>
      <w:r w:rsidRPr="00846E83">
        <w:rPr>
          <w:rStyle w:val="FootnoteReference"/>
          <w:vertAlign w:val="baseline"/>
        </w:rPr>
        <w:tab/>
      </w:r>
      <w:r w:rsidRPr="00846E83">
        <w:rPr>
          <w:rStyle w:val="FootnoteReference"/>
          <w:sz w:val="20"/>
          <w:vertAlign w:val="baseline"/>
        </w:rPr>
        <w:t>***</w:t>
      </w:r>
      <w:r w:rsidRPr="00846E83">
        <w:rPr>
          <w:rStyle w:val="FootnoteReference"/>
          <w:sz w:val="20"/>
          <w:vertAlign w:val="baseline"/>
        </w:rPr>
        <w:tab/>
      </w:r>
      <w:r>
        <w:t>Pour des raisons pratiques, cette annexe est reproduite sous forme d’additif au présent document, sous la cote ST/SG/AC.10/46/Add.3.</w:t>
      </w:r>
    </w:p>
  </w:footnote>
  <w:footnote w:id="5">
    <w:p w14:paraId="79B645D4" w14:textId="77777777" w:rsidR="00341801" w:rsidRPr="003B3760" w:rsidRDefault="00341801" w:rsidP="00B26560">
      <w:pPr>
        <w:pStyle w:val="FootnoteText"/>
      </w:pPr>
      <w:r>
        <w:rPr>
          <w:lang w:val="fr-FR"/>
        </w:rPr>
        <w:tab/>
      </w:r>
      <w:r w:rsidRPr="00B26560">
        <w:rPr>
          <w:rStyle w:val="FootnoteReference"/>
        </w:rPr>
        <w:footnoteRef/>
      </w:r>
      <w:r w:rsidRPr="003B3760">
        <w:rPr>
          <w:lang w:val="fr-FR"/>
        </w:rPr>
        <w:tab/>
      </w:r>
      <w:r w:rsidRPr="00B73DF7">
        <w:rPr>
          <w:lang w:val="fr-FR"/>
        </w:rPr>
        <w:t>Voir le rapport du Comité sur les travaux de sa septième session (ST/SG/AC.10/42, par. 16)</w:t>
      </w:r>
      <w:r w:rsidRPr="003B3760">
        <w:rPr>
          <w:lang w:val="fr-FR"/>
        </w:rPr>
        <w:t>.</w:t>
      </w:r>
    </w:p>
  </w:footnote>
  <w:footnote w:id="6">
    <w:p w14:paraId="60A1BC4B" w14:textId="77777777" w:rsidR="00341801" w:rsidRPr="005D1B31" w:rsidRDefault="00341801" w:rsidP="00B26560">
      <w:pPr>
        <w:pStyle w:val="FootnoteText"/>
        <w:rPr>
          <w:lang w:val="fr-FR"/>
        </w:rPr>
      </w:pPr>
      <w:r>
        <w:tab/>
      </w:r>
      <w:r w:rsidRPr="00B26560">
        <w:rPr>
          <w:rStyle w:val="FootnoteReference"/>
        </w:rPr>
        <w:footnoteRef/>
      </w:r>
      <w:r w:rsidRPr="005D1B31">
        <w:rPr>
          <w:lang w:val="fr-FR"/>
        </w:rPr>
        <w:t xml:space="preserve"> </w:t>
      </w:r>
      <w:r w:rsidRPr="005D1B31">
        <w:rPr>
          <w:lang w:val="fr-FR"/>
        </w:rPr>
        <w:tab/>
      </w:r>
      <w:r w:rsidRPr="00B73DF7">
        <w:rPr>
          <w:lang w:val="fr-FR"/>
        </w:rPr>
        <w:t>Voir le rapport du Sous-Comité SGH sur les travaux de sa trentième session (ST/SG/AC.10/C.4/60, annexe II)</w:t>
      </w:r>
      <w:r w:rsidR="009D25BE">
        <w:rPr>
          <w:lang w:val="fr-FR"/>
        </w:rPr>
        <w:t>.</w:t>
      </w:r>
    </w:p>
  </w:footnote>
  <w:footnote w:id="7">
    <w:p w14:paraId="37C160D7" w14:textId="77777777" w:rsidR="00341801" w:rsidRPr="005D1B31" w:rsidRDefault="00341801" w:rsidP="00B26560">
      <w:pPr>
        <w:pStyle w:val="FootnoteText"/>
        <w:rPr>
          <w:lang w:val="fr-FR"/>
        </w:rPr>
      </w:pPr>
      <w:r w:rsidRPr="005D1B31">
        <w:rPr>
          <w:lang w:val="fr-FR"/>
        </w:rPr>
        <w:tab/>
      </w:r>
      <w:r w:rsidRPr="00B26560">
        <w:rPr>
          <w:rStyle w:val="FootnoteReference"/>
        </w:rPr>
        <w:footnoteRef/>
      </w:r>
      <w:r w:rsidRPr="005D1B31">
        <w:rPr>
          <w:lang w:val="fr-FR"/>
        </w:rPr>
        <w:t xml:space="preserve"> </w:t>
      </w:r>
      <w:r w:rsidRPr="005D1B31">
        <w:rPr>
          <w:lang w:val="fr-FR"/>
        </w:rPr>
        <w:tab/>
      </w:r>
      <w:r w:rsidRPr="00B73DF7">
        <w:rPr>
          <w:lang w:val="fr-FR"/>
        </w:rPr>
        <w:t>Voir le rapport du Sous-Comité SGH sur les travaux de sa trente et unième session (ST/SG/AC.10/C.4/62, annexe II).</w:t>
      </w:r>
    </w:p>
  </w:footnote>
  <w:footnote w:id="8">
    <w:p w14:paraId="10ACD88C" w14:textId="77777777" w:rsidR="00341801" w:rsidRPr="005D1B31" w:rsidRDefault="00341801" w:rsidP="00B26560">
      <w:pPr>
        <w:pStyle w:val="FootnoteText"/>
        <w:rPr>
          <w:lang w:val="fr-FR"/>
        </w:rPr>
      </w:pPr>
      <w:r w:rsidRPr="005D1B31">
        <w:rPr>
          <w:lang w:val="fr-FR"/>
        </w:rPr>
        <w:tab/>
      </w:r>
      <w:r w:rsidRPr="00B26560">
        <w:rPr>
          <w:rStyle w:val="FootnoteReference"/>
        </w:rPr>
        <w:footnoteRef/>
      </w:r>
      <w:r w:rsidRPr="005D1B31">
        <w:rPr>
          <w:lang w:val="fr-FR"/>
        </w:rPr>
        <w:t xml:space="preserve"> </w:t>
      </w:r>
      <w:r w:rsidRPr="005D1B31">
        <w:rPr>
          <w:lang w:val="fr-FR"/>
        </w:rPr>
        <w:tab/>
      </w:r>
      <w:r w:rsidRPr="00B73DF7">
        <w:rPr>
          <w:lang w:val="fr-FR"/>
        </w:rPr>
        <w:t>Voir le rapport du Sous-Comité TMD sur les travaux de sa cinquante-troisième session (ST/SG/AC.10/C.3/106, par. 162 à 176).</w:t>
      </w:r>
    </w:p>
  </w:footnote>
  <w:footnote w:id="9">
    <w:p w14:paraId="51FC2E6D" w14:textId="77777777" w:rsidR="00341801" w:rsidRPr="003B3760" w:rsidRDefault="00341801" w:rsidP="00B26560">
      <w:pPr>
        <w:pStyle w:val="FootnoteText"/>
      </w:pPr>
      <w:r w:rsidRPr="00B73DF7">
        <w:rPr>
          <w:lang w:val="fr-FR"/>
        </w:rPr>
        <w:tab/>
      </w:r>
      <w:r w:rsidRPr="00B26560">
        <w:rPr>
          <w:rStyle w:val="FootnoteReference"/>
        </w:rPr>
        <w:footnoteRef/>
      </w:r>
      <w:r>
        <w:rPr>
          <w:lang w:val="fr-FR"/>
        </w:rPr>
        <w:tab/>
      </w:r>
      <w:r w:rsidR="000630D7" w:rsidRPr="00277382">
        <w:t xml:space="preserve">Les deux sous-comités auront la possibilité de mettre en commun les séances allouées à leurs sessions respectives pour se réunir conjointement </w:t>
      </w:r>
      <w:r w:rsidR="000630D7">
        <w:t>les</w:t>
      </w:r>
      <w:r w:rsidR="000630D7" w:rsidRPr="00277382">
        <w:t xml:space="preserve"> 11 décembre 2019 et du 8 juillet 2020.</w:t>
      </w:r>
    </w:p>
  </w:footnote>
  <w:footnote w:id="10">
    <w:p w14:paraId="528DF4F2" w14:textId="77777777" w:rsidR="00341801" w:rsidRPr="003B3760" w:rsidRDefault="00341801" w:rsidP="00F122C7">
      <w:pPr>
        <w:pStyle w:val="FootnoteText"/>
      </w:pPr>
      <w:r w:rsidRPr="003B3760">
        <w:rPr>
          <w:lang w:val="fr-FR"/>
        </w:rPr>
        <w:tab/>
      </w:r>
      <w:r w:rsidRPr="00B316EF">
        <w:rPr>
          <w:rStyle w:val="FootnoteReference"/>
        </w:rPr>
        <w:footnoteRef/>
      </w:r>
      <w:r w:rsidRPr="003B3760">
        <w:rPr>
          <w:lang w:val="fr-FR"/>
        </w:rPr>
        <w:tab/>
        <w:t>[E/201</w:t>
      </w:r>
      <w:r>
        <w:rPr>
          <w:lang w:val="fr-FR"/>
        </w:rPr>
        <w:t>9</w:t>
      </w:r>
      <w:r w:rsidRPr="003B3760">
        <w:rPr>
          <w:lang w:val="fr-FR"/>
        </w:rPr>
        <w:t>/</w:t>
      </w:r>
      <w:r>
        <w:rPr>
          <w:lang w:val="fr-FR"/>
        </w:rPr>
        <w:t>…</w:t>
      </w:r>
      <w:r w:rsidRPr="003B3760">
        <w:rPr>
          <w:lang w:val="fr-FR"/>
        </w:rPr>
        <w:t>]</w:t>
      </w:r>
      <w:r>
        <w:rPr>
          <w:lang w:val="fr-FR"/>
        </w:rPr>
        <w:t>.</w:t>
      </w:r>
    </w:p>
  </w:footnote>
  <w:footnote w:id="11">
    <w:p w14:paraId="2AFAD097" w14:textId="77777777" w:rsidR="00341801" w:rsidRDefault="00341801" w:rsidP="00F122C7">
      <w:pPr>
        <w:pStyle w:val="FootnoteText"/>
      </w:pPr>
      <w:r>
        <w:tab/>
      </w:r>
      <w:r>
        <w:rPr>
          <w:rStyle w:val="FootnoteReference"/>
        </w:rPr>
        <w:footnoteRef/>
      </w:r>
      <w:r>
        <w:tab/>
      </w:r>
      <w:r w:rsidRPr="003B3760">
        <w:rPr>
          <w:lang w:val="fr-FR"/>
        </w:rPr>
        <w:t>ST/SG/AC.10/4</w:t>
      </w:r>
      <w:r>
        <w:rPr>
          <w:lang w:val="fr-FR"/>
        </w:rPr>
        <w:t>6</w:t>
      </w:r>
      <w:r w:rsidRPr="003B3760">
        <w:rPr>
          <w:lang w:val="fr-FR"/>
        </w:rPr>
        <w:t>/Add.1 et 2.</w:t>
      </w:r>
    </w:p>
  </w:footnote>
  <w:footnote w:id="12">
    <w:p w14:paraId="7321012D" w14:textId="77777777" w:rsidR="00341801" w:rsidRDefault="00341801" w:rsidP="00F122C7">
      <w:pPr>
        <w:pStyle w:val="FootnoteText"/>
      </w:pPr>
      <w:r>
        <w:tab/>
      </w:r>
      <w:r>
        <w:rPr>
          <w:rStyle w:val="FootnoteReference"/>
        </w:rPr>
        <w:footnoteRef/>
      </w:r>
      <w:r>
        <w:tab/>
      </w:r>
      <w:r w:rsidRPr="000D52AA">
        <w:rPr>
          <w:i/>
          <w:lang w:val="fr-FR"/>
        </w:rPr>
        <w:t>Rapport du Sommet mondial pour le développement durable, Johannesburg (Afrique du Sud)</w:t>
      </w:r>
      <w:r w:rsidRPr="003B3760">
        <w:rPr>
          <w:lang w:val="fr-FR"/>
        </w:rPr>
        <w:t xml:space="preserve">, </w:t>
      </w:r>
      <w:r w:rsidRPr="00184132">
        <w:rPr>
          <w:i/>
          <w:lang w:val="fr-FR"/>
        </w:rPr>
        <w:t>26 août-4 septembre 2002</w:t>
      </w:r>
      <w:r w:rsidRPr="003B3760">
        <w:rPr>
          <w:lang w:val="fr-FR"/>
        </w:rPr>
        <w:t xml:space="preserve"> (publication des Nations Unies, numéro de vente</w:t>
      </w:r>
      <w:r>
        <w:rPr>
          <w:lang w:val="fr-FR"/>
        </w:rPr>
        <w:t> :</w:t>
      </w:r>
      <w:r w:rsidRPr="003B3760">
        <w:rPr>
          <w:lang w:val="fr-FR"/>
        </w:rPr>
        <w:t xml:space="preserve"> F.03.II.A.1</w:t>
      </w:r>
      <w:r w:rsidR="00970FED">
        <w:rPr>
          <w:lang w:val="fr-FR"/>
        </w:rPr>
        <w:t xml:space="preserve"> et rectificatif</w:t>
      </w:r>
      <w:r w:rsidRPr="003B3760">
        <w:rPr>
          <w:lang w:val="fr-FR"/>
        </w:rPr>
        <w:t>), chap. I, résolution</w:t>
      </w:r>
      <w:r>
        <w:rPr>
          <w:lang w:val="fr-FR"/>
        </w:rPr>
        <w:t> </w:t>
      </w:r>
      <w:r w:rsidRPr="003B3760">
        <w:rPr>
          <w:lang w:val="fr-FR"/>
        </w:rPr>
        <w:t>2, annexe.</w:t>
      </w:r>
    </w:p>
  </w:footnote>
  <w:footnote w:id="13">
    <w:p w14:paraId="543710C2" w14:textId="77777777" w:rsidR="00341801" w:rsidRDefault="00341801" w:rsidP="00F122C7">
      <w:pPr>
        <w:pStyle w:val="FootnoteText"/>
      </w:pPr>
      <w:r>
        <w:tab/>
      </w:r>
      <w:r>
        <w:rPr>
          <w:rStyle w:val="FootnoteReference"/>
        </w:rPr>
        <w:footnoteRef/>
      </w:r>
      <w:r>
        <w:tab/>
      </w:r>
      <w:r w:rsidRPr="00911D63">
        <w:rPr>
          <w:i/>
          <w:spacing w:val="-1"/>
          <w:lang w:val="fr-FR"/>
        </w:rPr>
        <w:t>Rapport de la Conférence des Nations Unies sur l’environnement et le développement, Rio de Janeiro</w:t>
      </w:r>
      <w:r w:rsidRPr="00911D63">
        <w:rPr>
          <w:spacing w:val="-1"/>
          <w:lang w:val="fr-FR"/>
        </w:rPr>
        <w:t>,</w:t>
      </w:r>
      <w:r w:rsidRPr="003B3760">
        <w:rPr>
          <w:lang w:val="fr-FR"/>
        </w:rPr>
        <w:t xml:space="preserve"> </w:t>
      </w:r>
      <w:r w:rsidRPr="00A75F77">
        <w:rPr>
          <w:i/>
          <w:lang w:val="fr-FR"/>
        </w:rPr>
        <w:t>3</w:t>
      </w:r>
      <w:r w:rsidRPr="00A75F77">
        <w:rPr>
          <w:rFonts w:ascii="MS Mincho" w:eastAsia="MS Mincho" w:hAnsi="MS Mincho" w:cs="MS Mincho"/>
          <w:i/>
          <w:lang w:val="fr-FR"/>
        </w:rPr>
        <w:noBreakHyphen/>
      </w:r>
      <w:r w:rsidRPr="00A75F77">
        <w:rPr>
          <w:i/>
          <w:lang w:val="fr-FR"/>
        </w:rPr>
        <w:t>14 juin 1992</w:t>
      </w:r>
      <w:r w:rsidRPr="003B3760">
        <w:rPr>
          <w:lang w:val="fr-FR"/>
        </w:rPr>
        <w:t xml:space="preserve">, </w:t>
      </w:r>
      <w:r w:rsidRPr="001C44F2">
        <w:rPr>
          <w:lang w:val="fr-FR"/>
        </w:rPr>
        <w:t>vol.</w:t>
      </w:r>
      <w:r>
        <w:rPr>
          <w:lang w:val="fr-FR"/>
        </w:rPr>
        <w:t> </w:t>
      </w:r>
      <w:r w:rsidRPr="001C44F2">
        <w:rPr>
          <w:lang w:val="fr-FR"/>
        </w:rPr>
        <w:t>I,</w:t>
      </w:r>
      <w:r w:rsidRPr="001C44F2">
        <w:rPr>
          <w:i/>
          <w:lang w:val="fr-FR"/>
        </w:rPr>
        <w:t xml:space="preserve"> Résolutions adoptées par la Conférence </w:t>
      </w:r>
      <w:r w:rsidRPr="003B3760">
        <w:rPr>
          <w:lang w:val="fr-FR"/>
        </w:rPr>
        <w:t>(publication des Nations</w:t>
      </w:r>
      <w:r>
        <w:rPr>
          <w:lang w:val="fr-FR"/>
        </w:rPr>
        <w:t> </w:t>
      </w:r>
      <w:r w:rsidRPr="003B3760">
        <w:rPr>
          <w:lang w:val="fr-FR"/>
        </w:rPr>
        <w:t>Unies, numéro de vente</w:t>
      </w:r>
      <w:r>
        <w:rPr>
          <w:lang w:val="fr-FR"/>
        </w:rPr>
        <w:t> :</w:t>
      </w:r>
      <w:r w:rsidRPr="003B3760">
        <w:rPr>
          <w:lang w:val="fr-FR"/>
        </w:rPr>
        <w:t xml:space="preserve"> F.93.I.8 et rectificatif), résolution</w:t>
      </w:r>
      <w:r>
        <w:rPr>
          <w:lang w:val="fr-FR"/>
        </w:rPr>
        <w:t> </w:t>
      </w:r>
      <w:r w:rsidRPr="003B3760">
        <w:rPr>
          <w:lang w:val="fr-FR"/>
        </w:rPr>
        <w:t>1, annexe II.</w:t>
      </w:r>
    </w:p>
  </w:footnote>
  <w:footnote w:id="14">
    <w:p w14:paraId="5F8AD497" w14:textId="77777777" w:rsidR="00341801" w:rsidRPr="001B215B" w:rsidRDefault="00341801" w:rsidP="00F122C7">
      <w:pPr>
        <w:pStyle w:val="FootnoteText"/>
        <w:rPr>
          <w:lang w:val="en-GB"/>
        </w:rPr>
      </w:pPr>
      <w:r>
        <w:tab/>
      </w:r>
      <w:r>
        <w:rPr>
          <w:rStyle w:val="FootnoteReference"/>
        </w:rPr>
        <w:footnoteRef/>
      </w:r>
      <w:r w:rsidRPr="001B215B">
        <w:rPr>
          <w:lang w:val="en-GB"/>
        </w:rPr>
        <w:tab/>
        <w:t>ST/SG/AC.10/30/Rev.7.</w:t>
      </w:r>
    </w:p>
  </w:footnote>
  <w:footnote w:id="15">
    <w:p w14:paraId="6C0A9732" w14:textId="77777777" w:rsidR="00341801" w:rsidRPr="001B215B" w:rsidRDefault="00341801" w:rsidP="00F122C7">
      <w:pPr>
        <w:pStyle w:val="FootnoteText"/>
        <w:rPr>
          <w:lang w:val="en-GB"/>
        </w:rPr>
      </w:pPr>
      <w:r w:rsidRPr="001B215B">
        <w:rPr>
          <w:lang w:val="en-GB"/>
        </w:rPr>
        <w:tab/>
      </w:r>
      <w:r>
        <w:rPr>
          <w:rStyle w:val="FootnoteReference"/>
        </w:rPr>
        <w:footnoteRef/>
      </w:r>
      <w:r w:rsidRPr="001B215B">
        <w:rPr>
          <w:lang w:val="en-GB"/>
        </w:rPr>
        <w:tab/>
        <w:t>ST/SG/AC.10/46/Add.3.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AE52" w14:textId="7EF27C22" w:rsidR="00341801" w:rsidRPr="00E660DF" w:rsidRDefault="00DB534B">
    <w:pPr>
      <w:pStyle w:val="Header"/>
    </w:pPr>
    <w:r>
      <w:fldChar w:fldCharType="begin"/>
    </w:r>
    <w:r>
      <w:instrText xml:space="preserve"> TITLE  \* MERGEFORMAT </w:instrText>
    </w:r>
    <w:r>
      <w:fldChar w:fldCharType="separate"/>
    </w:r>
    <w:r>
      <w:t>ST/SG/AC.10/46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E073" w14:textId="57847E20" w:rsidR="00341801" w:rsidRPr="00E660DF" w:rsidRDefault="00DB534B" w:rsidP="00E660DF">
    <w:pPr>
      <w:pStyle w:val="Header"/>
      <w:jc w:val="right"/>
    </w:pPr>
    <w:r>
      <w:fldChar w:fldCharType="begin"/>
    </w:r>
    <w:r>
      <w:instrText xml:space="preserve"> TITLE  \* MERGEFORMAT </w:instrText>
    </w:r>
    <w:r>
      <w:fldChar w:fldCharType="separate"/>
    </w:r>
    <w:r>
      <w:t>ST/SG/AC.10/46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8E"/>
    <w:rsid w:val="00014479"/>
    <w:rsid w:val="00017F94"/>
    <w:rsid w:val="00023842"/>
    <w:rsid w:val="000305D3"/>
    <w:rsid w:val="000334F9"/>
    <w:rsid w:val="00051FD5"/>
    <w:rsid w:val="000630D7"/>
    <w:rsid w:val="0007796D"/>
    <w:rsid w:val="00082ED2"/>
    <w:rsid w:val="000B7790"/>
    <w:rsid w:val="00111F2F"/>
    <w:rsid w:val="00132EA9"/>
    <w:rsid w:val="0014365E"/>
    <w:rsid w:val="00176178"/>
    <w:rsid w:val="00176A60"/>
    <w:rsid w:val="001812A8"/>
    <w:rsid w:val="001818B5"/>
    <w:rsid w:val="00184132"/>
    <w:rsid w:val="00193F9B"/>
    <w:rsid w:val="001B215B"/>
    <w:rsid w:val="001F525A"/>
    <w:rsid w:val="00203666"/>
    <w:rsid w:val="00205511"/>
    <w:rsid w:val="00220015"/>
    <w:rsid w:val="00223272"/>
    <w:rsid w:val="0024779E"/>
    <w:rsid w:val="00257604"/>
    <w:rsid w:val="00283190"/>
    <w:rsid w:val="002832AC"/>
    <w:rsid w:val="002C12C1"/>
    <w:rsid w:val="002D7C93"/>
    <w:rsid w:val="002E1D30"/>
    <w:rsid w:val="0033700A"/>
    <w:rsid w:val="00341801"/>
    <w:rsid w:val="003D56BB"/>
    <w:rsid w:val="00420B8D"/>
    <w:rsid w:val="00441C3B"/>
    <w:rsid w:val="00446FE5"/>
    <w:rsid w:val="00452396"/>
    <w:rsid w:val="004570D7"/>
    <w:rsid w:val="00470E9A"/>
    <w:rsid w:val="004858BB"/>
    <w:rsid w:val="004A6271"/>
    <w:rsid w:val="004B04A9"/>
    <w:rsid w:val="004B0ABB"/>
    <w:rsid w:val="004B4FF5"/>
    <w:rsid w:val="004E2A41"/>
    <w:rsid w:val="004E468C"/>
    <w:rsid w:val="00515922"/>
    <w:rsid w:val="005505B7"/>
    <w:rsid w:val="00554C41"/>
    <w:rsid w:val="0056094D"/>
    <w:rsid w:val="00573BE5"/>
    <w:rsid w:val="00584DC4"/>
    <w:rsid w:val="00586ED3"/>
    <w:rsid w:val="00596AA9"/>
    <w:rsid w:val="005E3110"/>
    <w:rsid w:val="00626457"/>
    <w:rsid w:val="00645BEF"/>
    <w:rsid w:val="006619BA"/>
    <w:rsid w:val="0068456F"/>
    <w:rsid w:val="007017E0"/>
    <w:rsid w:val="007116CA"/>
    <w:rsid w:val="0071601D"/>
    <w:rsid w:val="00726CCF"/>
    <w:rsid w:val="007324DF"/>
    <w:rsid w:val="00750505"/>
    <w:rsid w:val="0077620C"/>
    <w:rsid w:val="007A2465"/>
    <w:rsid w:val="007A62E6"/>
    <w:rsid w:val="007E7C93"/>
    <w:rsid w:val="0080684C"/>
    <w:rsid w:val="00817E37"/>
    <w:rsid w:val="008313B4"/>
    <w:rsid w:val="00846E83"/>
    <w:rsid w:val="00871C75"/>
    <w:rsid w:val="008776DC"/>
    <w:rsid w:val="008B40CD"/>
    <w:rsid w:val="008C4BF2"/>
    <w:rsid w:val="009075BA"/>
    <w:rsid w:val="00911ECF"/>
    <w:rsid w:val="0092719A"/>
    <w:rsid w:val="00951528"/>
    <w:rsid w:val="009705C8"/>
    <w:rsid w:val="00970FED"/>
    <w:rsid w:val="0099458C"/>
    <w:rsid w:val="009B1AA6"/>
    <w:rsid w:val="009C1CF4"/>
    <w:rsid w:val="009D25BE"/>
    <w:rsid w:val="009D71C4"/>
    <w:rsid w:val="009D7B98"/>
    <w:rsid w:val="00A11CCE"/>
    <w:rsid w:val="00A11CF6"/>
    <w:rsid w:val="00A146A1"/>
    <w:rsid w:val="00A20F81"/>
    <w:rsid w:val="00A30353"/>
    <w:rsid w:val="00A3170D"/>
    <w:rsid w:val="00A519FE"/>
    <w:rsid w:val="00A75F77"/>
    <w:rsid w:val="00A82A8E"/>
    <w:rsid w:val="00AC3823"/>
    <w:rsid w:val="00AE323C"/>
    <w:rsid w:val="00B00181"/>
    <w:rsid w:val="00B00B0D"/>
    <w:rsid w:val="00B26560"/>
    <w:rsid w:val="00B67C40"/>
    <w:rsid w:val="00B765F7"/>
    <w:rsid w:val="00BA0CA9"/>
    <w:rsid w:val="00BC2545"/>
    <w:rsid w:val="00C02897"/>
    <w:rsid w:val="00CB7EA7"/>
    <w:rsid w:val="00CE105A"/>
    <w:rsid w:val="00CE7EA3"/>
    <w:rsid w:val="00D3439C"/>
    <w:rsid w:val="00D96359"/>
    <w:rsid w:val="00DB1831"/>
    <w:rsid w:val="00DB534B"/>
    <w:rsid w:val="00DD3BFD"/>
    <w:rsid w:val="00DF6678"/>
    <w:rsid w:val="00E53256"/>
    <w:rsid w:val="00E56893"/>
    <w:rsid w:val="00E660DF"/>
    <w:rsid w:val="00E941A9"/>
    <w:rsid w:val="00EA171E"/>
    <w:rsid w:val="00EB18D1"/>
    <w:rsid w:val="00EF2E22"/>
    <w:rsid w:val="00F01738"/>
    <w:rsid w:val="00F122C7"/>
    <w:rsid w:val="00F2170C"/>
    <w:rsid w:val="00F543A3"/>
    <w:rsid w:val="00F644F0"/>
    <w:rsid w:val="00F660DF"/>
    <w:rsid w:val="00F730C8"/>
    <w:rsid w:val="00F95C08"/>
    <w:rsid w:val="00FC1329"/>
    <w:rsid w:val="00FC6D8E"/>
    <w:rsid w:val="00FE46B1"/>
    <w:rsid w:val="00FF774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01754"/>
  <w15:docId w15:val="{4849000C-BF2F-4D6F-B204-BA42EB66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517B-2546-4654-A45B-A027C00B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4020</Words>
  <Characters>22915</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ST/SG/AC.10/46</vt:lpstr>
      <vt:lpstr>ST/SG/AC.10/46</vt:lpstr>
    </vt:vector>
  </TitlesOfParts>
  <Company>DCM</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dc:title>
  <dc:subject/>
  <dc:creator>Corinne ROBERT</dc:creator>
  <cp:keywords/>
  <cp:lastModifiedBy>Laurence Berthet</cp:lastModifiedBy>
  <cp:revision>3</cp:revision>
  <cp:lastPrinted>2019-05-02T09:20:00Z</cp:lastPrinted>
  <dcterms:created xsi:type="dcterms:W3CDTF">2019-05-02T09:19:00Z</dcterms:created>
  <dcterms:modified xsi:type="dcterms:W3CDTF">2019-05-02T09:20:00Z</dcterms:modified>
</cp:coreProperties>
</file>