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124E6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037854" w:rsidP="00037854">
            <w:pPr>
              <w:jc w:val="right"/>
            </w:pPr>
            <w:r w:rsidRPr="00037854">
              <w:rPr>
                <w:sz w:val="40"/>
              </w:rPr>
              <w:t>ECE</w:t>
            </w:r>
            <w:r>
              <w:t>/TRANS/WP.15/AC.1/2019/22/Add.1</w:t>
            </w:r>
          </w:p>
        </w:tc>
      </w:tr>
      <w:tr w:rsidR="001433FD" w:rsidRPr="00DB58B5" w:rsidTr="00124E6E">
        <w:trPr>
          <w:trHeight w:hRule="exact" w:val="2835"/>
        </w:trPr>
        <w:tc>
          <w:tcPr>
            <w:tcW w:w="1276" w:type="dxa"/>
            <w:tcBorders>
              <w:top w:val="single" w:sz="4" w:space="0" w:color="auto"/>
              <w:bottom w:val="single" w:sz="12" w:space="0" w:color="auto"/>
            </w:tcBorders>
          </w:tcPr>
          <w:p w:rsidR="001433FD" w:rsidRPr="00DB58B5" w:rsidRDefault="001433FD" w:rsidP="00124E6E">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124E6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037854" w:rsidP="00037854">
            <w:pPr>
              <w:spacing w:before="240" w:line="240" w:lineRule="exact"/>
            </w:pPr>
            <w:proofErr w:type="spellStart"/>
            <w:r>
              <w:t>Distr</w:t>
            </w:r>
            <w:proofErr w:type="spellEnd"/>
            <w:r>
              <w:t xml:space="preserve">. </w:t>
            </w:r>
            <w:proofErr w:type="gramStart"/>
            <w:r>
              <w:t>générale</w:t>
            </w:r>
            <w:proofErr w:type="gramEnd"/>
          </w:p>
          <w:p w:rsidR="00037854" w:rsidRDefault="00037854" w:rsidP="00037854">
            <w:pPr>
              <w:spacing w:line="240" w:lineRule="exact"/>
            </w:pPr>
            <w:r>
              <w:t>1</w:t>
            </w:r>
            <w:r w:rsidR="00B24576">
              <w:t>8</w:t>
            </w:r>
            <w:r>
              <w:t xml:space="preserve"> juin 2019</w:t>
            </w:r>
          </w:p>
          <w:p w:rsidR="00037854" w:rsidRDefault="00614605" w:rsidP="00037854">
            <w:pPr>
              <w:spacing w:line="240" w:lineRule="exact"/>
            </w:pPr>
            <w:r>
              <w:t>Français</w:t>
            </w:r>
          </w:p>
          <w:p w:rsidR="00037854" w:rsidRPr="00DB58B5" w:rsidRDefault="00037854" w:rsidP="00037854">
            <w:pPr>
              <w:spacing w:line="240" w:lineRule="exact"/>
            </w:pPr>
            <w:r>
              <w:t xml:space="preserve">Original : </w:t>
            </w:r>
            <w:r w:rsidR="00614605">
              <w:t xml:space="preserve">anglais et </w:t>
            </w:r>
            <w:r>
              <w:t>français</w:t>
            </w:r>
          </w:p>
        </w:tc>
      </w:tr>
    </w:tbl>
    <w:p w:rsidR="00037854" w:rsidRDefault="00037854" w:rsidP="00FD1581">
      <w:pPr>
        <w:spacing w:before="120"/>
        <w:rPr>
          <w:b/>
          <w:sz w:val="28"/>
          <w:szCs w:val="28"/>
        </w:rPr>
      </w:pPr>
      <w:r w:rsidRPr="00883605">
        <w:rPr>
          <w:b/>
          <w:sz w:val="28"/>
          <w:szCs w:val="28"/>
        </w:rPr>
        <w:t>Commission économique pour l’Europe</w:t>
      </w:r>
    </w:p>
    <w:p w:rsidR="00037854" w:rsidRPr="008A7BD0" w:rsidRDefault="00037854" w:rsidP="00FD1581">
      <w:pPr>
        <w:spacing w:before="120"/>
        <w:rPr>
          <w:sz w:val="28"/>
          <w:szCs w:val="28"/>
          <w:lang w:val="fr-CA"/>
        </w:rPr>
      </w:pPr>
      <w:r w:rsidRPr="008A7BD0">
        <w:rPr>
          <w:sz w:val="28"/>
          <w:szCs w:val="28"/>
          <w:lang w:val="fr-CA"/>
        </w:rPr>
        <w:t>Comité des transports intérieurs</w:t>
      </w:r>
    </w:p>
    <w:p w:rsidR="00037854" w:rsidRPr="008A7BD0" w:rsidRDefault="00037854" w:rsidP="00FD1581">
      <w:pPr>
        <w:spacing w:before="120"/>
        <w:rPr>
          <w:b/>
          <w:sz w:val="24"/>
          <w:szCs w:val="24"/>
          <w:lang w:val="fr-CA"/>
        </w:rPr>
      </w:pPr>
      <w:r w:rsidRPr="008A7BD0">
        <w:rPr>
          <w:b/>
          <w:bCs/>
          <w:sz w:val="24"/>
          <w:szCs w:val="24"/>
          <w:lang w:val="fr-FR"/>
        </w:rPr>
        <w:t xml:space="preserve">Groupe de travail des transports </w:t>
      </w:r>
      <w:r w:rsidRPr="008A7BD0">
        <w:rPr>
          <w:b/>
          <w:bCs/>
          <w:sz w:val="24"/>
          <w:szCs w:val="24"/>
          <w:lang w:val="fr-FR"/>
        </w:rPr>
        <w:br/>
        <w:t>de marchandises dangereuses</w:t>
      </w:r>
    </w:p>
    <w:p w:rsidR="00037854" w:rsidRPr="008A7BD0" w:rsidRDefault="00037854" w:rsidP="00FD1581">
      <w:pPr>
        <w:spacing w:before="120"/>
        <w:rPr>
          <w:b/>
          <w:lang w:val="fr-FR"/>
        </w:rPr>
      </w:pPr>
      <w:r w:rsidRPr="008A7BD0">
        <w:rPr>
          <w:b/>
          <w:lang w:val="fr-FR"/>
        </w:rPr>
        <w:t xml:space="preserve">Réunion commune de la Commission d’experts du RID </w:t>
      </w:r>
      <w:r w:rsidRPr="008A7BD0">
        <w:rPr>
          <w:b/>
          <w:lang w:val="fr-FR"/>
        </w:rPr>
        <w:br/>
        <w:t xml:space="preserve">et du Groupe de travail des transports </w:t>
      </w:r>
      <w:r w:rsidRPr="008A7BD0">
        <w:rPr>
          <w:b/>
          <w:lang w:val="fr-FR"/>
        </w:rPr>
        <w:br/>
        <w:t>de marchandises dangereuses</w:t>
      </w:r>
    </w:p>
    <w:p w:rsidR="00037854" w:rsidRPr="008A7BD0" w:rsidRDefault="00037854" w:rsidP="00FD1581">
      <w:pPr>
        <w:rPr>
          <w:lang w:val="fr-FR"/>
        </w:rPr>
      </w:pPr>
      <w:r>
        <w:t>Genève, 17-27 septembre 2019</w:t>
      </w:r>
    </w:p>
    <w:p w:rsidR="00037854" w:rsidRPr="00037854" w:rsidRDefault="00037854" w:rsidP="00FD1581">
      <w:pPr>
        <w:rPr>
          <w:b/>
          <w:bCs/>
          <w:lang w:val="fr-FR"/>
        </w:rPr>
      </w:pPr>
      <w:r w:rsidRPr="008A7BD0">
        <w:rPr>
          <w:lang w:val="en-US"/>
        </w:rPr>
        <w:t xml:space="preserve">Point </w:t>
      </w:r>
      <w:r>
        <w:rPr>
          <w:lang w:val="fr-FR"/>
        </w:rPr>
        <w:t xml:space="preserve">4 </w:t>
      </w:r>
      <w:r w:rsidRPr="008A7BD0">
        <w:rPr>
          <w:lang w:val="fr-FR"/>
        </w:rPr>
        <w:t>de l’ordre du jour provisoire</w:t>
      </w:r>
      <w:r>
        <w:rPr>
          <w:lang w:val="fr-FR"/>
        </w:rPr>
        <w:br/>
      </w:r>
      <w:r w:rsidRPr="00037854">
        <w:rPr>
          <w:b/>
          <w:bCs/>
          <w:szCs w:val="22"/>
        </w:rPr>
        <w:t xml:space="preserve">Harmonisation avec les Recommandations </w:t>
      </w:r>
      <w:proofErr w:type="gramStart"/>
      <w:r w:rsidRPr="00037854">
        <w:rPr>
          <w:b/>
          <w:bCs/>
          <w:szCs w:val="22"/>
        </w:rPr>
        <w:t>relatives</w:t>
      </w:r>
      <w:proofErr w:type="gramEnd"/>
      <w:r w:rsidRPr="00037854">
        <w:rPr>
          <w:b/>
          <w:bCs/>
          <w:szCs w:val="22"/>
        </w:rPr>
        <w:t xml:space="preserve"> au transport </w:t>
      </w:r>
      <w:r w:rsidRPr="00037854">
        <w:rPr>
          <w:b/>
          <w:bCs/>
          <w:szCs w:val="22"/>
        </w:rPr>
        <w:br/>
        <w:t>des marchandises dangereuses de l’Organisation des Nations Unies</w:t>
      </w:r>
    </w:p>
    <w:p w:rsidR="00037854" w:rsidRPr="00154472" w:rsidRDefault="00037854" w:rsidP="00037854">
      <w:pPr>
        <w:pStyle w:val="HChG"/>
        <w:rPr>
          <w:lang w:val="fr-FR"/>
        </w:rPr>
      </w:pPr>
      <w:r w:rsidRPr="00154472">
        <w:rPr>
          <w:lang w:val="fr-FR"/>
        </w:rPr>
        <w:tab/>
      </w:r>
      <w:r w:rsidRPr="00154472">
        <w:rPr>
          <w:lang w:val="fr-FR"/>
        </w:rPr>
        <w:tab/>
        <w:t xml:space="preserve">Rapport du Groupe de travail spécial de l’harmonisation des Règlements RID/ADR/ADN avec les Recommandations de l’ONU relatives au transport des marchandises dangereuses </w:t>
      </w:r>
    </w:p>
    <w:p w:rsidR="00037854" w:rsidRPr="00154472" w:rsidRDefault="00037854" w:rsidP="00037854">
      <w:pPr>
        <w:pStyle w:val="H1"/>
      </w:pPr>
      <w:r w:rsidRPr="00154472">
        <w:tab/>
      </w:r>
      <w:r w:rsidRPr="00154472">
        <w:tab/>
        <w:t>Note du secrétariat</w:t>
      </w:r>
      <w:r w:rsidR="00017C07" w:rsidRPr="00017C07">
        <w:rPr>
          <w:rStyle w:val="FootnoteReference"/>
          <w:sz w:val="20"/>
          <w:vertAlign w:val="baseline"/>
        </w:rPr>
        <w:footnoteReference w:customMarkFollows="1" w:id="2"/>
        <w:t>*</w:t>
      </w:r>
      <w:r>
        <w:rPr>
          <w:b w:val="0"/>
          <w:sz w:val="20"/>
          <w:szCs w:val="20"/>
          <w:vertAlign w:val="superscript"/>
        </w:rPr>
        <w:t xml:space="preserve">, </w:t>
      </w:r>
      <w:r w:rsidR="00017C07" w:rsidRPr="00017C07">
        <w:rPr>
          <w:rStyle w:val="FootnoteReference"/>
          <w:b w:val="0"/>
          <w:sz w:val="20"/>
          <w:szCs w:val="20"/>
          <w:vertAlign w:val="baseline"/>
        </w:rPr>
        <w:footnoteReference w:customMarkFollows="1" w:id="3"/>
        <w:t>**</w:t>
      </w:r>
    </w:p>
    <w:p w:rsidR="00037854" w:rsidRPr="00154472" w:rsidRDefault="00037854" w:rsidP="00037854">
      <w:pPr>
        <w:pStyle w:val="H23G"/>
      </w:pPr>
      <w:r w:rsidRPr="00154472">
        <w:tab/>
      </w:r>
      <w:r w:rsidRPr="00154472">
        <w:tab/>
        <w:t>Additif</w:t>
      </w:r>
    </w:p>
    <w:p w:rsidR="00037854" w:rsidRPr="00154472" w:rsidRDefault="00037854" w:rsidP="00037854">
      <w:pPr>
        <w:pStyle w:val="HChG"/>
        <w:rPr>
          <w:lang w:val="fr-FR"/>
        </w:rPr>
      </w:pPr>
      <w:r w:rsidRPr="00154472">
        <w:rPr>
          <w:lang w:val="fr-FR"/>
        </w:rPr>
        <w:tab/>
      </w:r>
      <w:r w:rsidRPr="00154472">
        <w:rPr>
          <w:lang w:val="fr-FR"/>
        </w:rPr>
        <w:tab/>
        <w:t>Projet d'amendements au RID/ADR/ADN proposé par le Groupe de travail spécial</w:t>
      </w:r>
    </w:p>
    <w:p w:rsidR="008B483E" w:rsidRDefault="008B483E">
      <w:pPr>
        <w:suppressAutoHyphens w:val="0"/>
        <w:kinsoku/>
        <w:overflowPunct/>
        <w:autoSpaceDE/>
        <w:autoSpaceDN/>
        <w:adjustRightInd/>
        <w:snapToGrid/>
        <w:spacing w:after="200" w:line="276" w:lineRule="auto"/>
      </w:pPr>
      <w:r>
        <w:br w:type="page"/>
      </w:r>
    </w:p>
    <w:p w:rsidR="00124E6E" w:rsidRPr="006B0E45" w:rsidRDefault="00124E6E" w:rsidP="00124E6E">
      <w:pPr>
        <w:pStyle w:val="H1G"/>
        <w:rPr>
          <w:lang w:val="fr-FR"/>
        </w:rPr>
      </w:pPr>
      <w:r>
        <w:rPr>
          <w:lang w:val="fr-FR"/>
        </w:rPr>
        <w:lastRenderedPageBreak/>
        <w:tab/>
      </w:r>
      <w:r>
        <w:rPr>
          <w:lang w:val="fr-FR"/>
        </w:rPr>
        <w:tab/>
      </w:r>
      <w:r w:rsidRPr="006B0E45">
        <w:rPr>
          <w:lang w:val="fr-FR"/>
        </w:rPr>
        <w:t>Chapitre 1.1</w:t>
      </w:r>
    </w:p>
    <w:p w:rsidR="00124E6E" w:rsidRDefault="00124E6E" w:rsidP="00A23C89">
      <w:pPr>
        <w:pStyle w:val="SingleTxtG"/>
        <w:tabs>
          <w:tab w:val="left" w:pos="2268"/>
        </w:tabs>
        <w:ind w:left="2259" w:hanging="1125"/>
      </w:pPr>
      <w:r>
        <w:t>1.1.3.7 b)</w:t>
      </w:r>
      <w:r>
        <w:tab/>
        <w:t>À la fin, ajouter « à l’exception des équipements tels que les enregistreurs de données et les dispositifs de suivi des cargaisons, qui sont attachés ou placés dans des colis, des suremballages ou des conteneurs ou compartiments de charge pour lesquels seules les prescriptions du 5.5.4 s’appliquent ».</w:t>
      </w:r>
    </w:p>
    <w:p w:rsidR="00124E6E" w:rsidRDefault="00124E6E" w:rsidP="00124E6E">
      <w:pPr>
        <w:pStyle w:val="H1G"/>
        <w:rPr>
          <w:lang w:val="fr-FR"/>
        </w:rPr>
      </w:pPr>
      <w:r>
        <w:rPr>
          <w:lang w:val="fr-FR"/>
        </w:rPr>
        <w:tab/>
      </w:r>
      <w:r>
        <w:rPr>
          <w:lang w:val="fr-FR"/>
        </w:rPr>
        <w:tab/>
      </w:r>
      <w:r w:rsidRPr="00640C9E">
        <w:rPr>
          <w:lang w:val="fr-FR"/>
        </w:rPr>
        <w:t>Chapitre 1.2</w:t>
      </w:r>
    </w:p>
    <w:p w:rsidR="00124E6E" w:rsidRPr="00640C9E" w:rsidRDefault="00124E6E" w:rsidP="00A23C89">
      <w:pPr>
        <w:pStyle w:val="SingleTxtG"/>
        <w:tabs>
          <w:tab w:val="left" w:pos="2268"/>
        </w:tabs>
        <w:ind w:left="2259" w:hanging="1125"/>
        <w:rPr>
          <w:szCs w:val="24"/>
        </w:rPr>
      </w:pPr>
      <w:r w:rsidRPr="00640C9E">
        <w:rPr>
          <w:szCs w:val="24"/>
          <w:lang w:val="fr-FR"/>
        </w:rPr>
        <w:t>1.2.1</w:t>
      </w:r>
      <w:r w:rsidRPr="00640C9E">
        <w:rPr>
          <w:szCs w:val="24"/>
          <w:lang w:val="fr-FR"/>
        </w:rPr>
        <w:tab/>
        <w:t xml:space="preserve">Insérer </w:t>
      </w:r>
      <w:r>
        <w:rPr>
          <w:szCs w:val="24"/>
          <w:lang w:val="fr-FR"/>
        </w:rPr>
        <w:t>la</w:t>
      </w:r>
      <w:r w:rsidRPr="00640C9E">
        <w:rPr>
          <w:szCs w:val="24"/>
          <w:lang w:val="fr-FR"/>
        </w:rPr>
        <w:t xml:space="preserve"> nouvelle définition suivante, selon l</w:t>
      </w:r>
      <w:r>
        <w:rPr>
          <w:szCs w:val="24"/>
          <w:lang w:val="fr-FR"/>
        </w:rPr>
        <w:t>’</w:t>
      </w:r>
      <w:r w:rsidRPr="00640C9E">
        <w:rPr>
          <w:szCs w:val="24"/>
          <w:lang w:val="fr-FR"/>
        </w:rPr>
        <w:t>ordre alphabétique</w:t>
      </w:r>
      <w:r>
        <w:rPr>
          <w:szCs w:val="24"/>
          <w:lang w:val="fr-FR"/>
        </w:rPr>
        <w:t> :</w:t>
      </w:r>
    </w:p>
    <w:p w:rsidR="00124E6E" w:rsidRDefault="00FE3F4F" w:rsidP="00A23C89">
      <w:pPr>
        <w:pStyle w:val="SingleTxtG"/>
        <w:tabs>
          <w:tab w:val="left" w:pos="2268"/>
        </w:tabs>
        <w:ind w:left="2259" w:hanging="1125"/>
        <w:rPr>
          <w:szCs w:val="24"/>
          <w:lang w:val="fr-FR"/>
        </w:rPr>
      </w:pPr>
      <w:r>
        <w:rPr>
          <w:i/>
          <w:iCs/>
          <w:szCs w:val="24"/>
          <w:lang w:val="fr-FR"/>
        </w:rPr>
        <w:tab/>
      </w:r>
      <w:r w:rsidR="00124E6E">
        <w:rPr>
          <w:i/>
          <w:iCs/>
          <w:szCs w:val="24"/>
          <w:lang w:val="fr-FR"/>
        </w:rPr>
        <w:t>« </w:t>
      </w:r>
      <w:bookmarkStart w:id="0" w:name="_Hlk2237740"/>
      <w:r w:rsidR="00124E6E" w:rsidRPr="00640C9E">
        <w:rPr>
          <w:i/>
          <w:iCs/>
          <w:szCs w:val="24"/>
          <w:lang w:val="fr-FR"/>
        </w:rPr>
        <w:t>Débit de dose</w:t>
      </w:r>
      <w:r w:rsidR="00124E6E" w:rsidRPr="00640C9E">
        <w:rPr>
          <w:szCs w:val="24"/>
          <w:lang w:val="fr-FR"/>
        </w:rPr>
        <w:t>, l</w:t>
      </w:r>
      <w:r w:rsidR="00124E6E">
        <w:rPr>
          <w:szCs w:val="24"/>
          <w:lang w:val="fr-FR"/>
        </w:rPr>
        <w:t>’</w:t>
      </w:r>
      <w:r w:rsidR="00124E6E" w:rsidRPr="00640C9E">
        <w:rPr>
          <w:szCs w:val="24"/>
          <w:lang w:val="fr-FR"/>
        </w:rPr>
        <w:t>équivalent de dose ambiant ou l</w:t>
      </w:r>
      <w:r w:rsidR="00124E6E">
        <w:rPr>
          <w:szCs w:val="24"/>
          <w:lang w:val="fr-FR"/>
        </w:rPr>
        <w:t>’</w:t>
      </w:r>
      <w:r w:rsidR="00124E6E" w:rsidRPr="00640C9E">
        <w:rPr>
          <w:szCs w:val="24"/>
          <w:lang w:val="fr-FR"/>
        </w:rPr>
        <w:t xml:space="preserve">équivalent de dose directionnel, </w:t>
      </w:r>
      <w:r w:rsidR="00124E6E">
        <w:rPr>
          <w:szCs w:val="24"/>
          <w:lang w:val="fr-FR"/>
        </w:rPr>
        <w:t>suivant le cas</w:t>
      </w:r>
      <w:r w:rsidR="00124E6E" w:rsidRPr="00640C9E">
        <w:rPr>
          <w:szCs w:val="24"/>
          <w:lang w:val="fr-FR"/>
        </w:rPr>
        <w:t xml:space="preserve">, par unité de temps, mesuré au point </w:t>
      </w:r>
      <w:r w:rsidR="00124E6E">
        <w:rPr>
          <w:szCs w:val="24"/>
          <w:lang w:val="fr-FR"/>
        </w:rPr>
        <w:t>d’intérêt ;</w:t>
      </w:r>
    </w:p>
    <w:bookmarkEnd w:id="0"/>
    <w:p w:rsidR="00124E6E" w:rsidRDefault="00124E6E" w:rsidP="00124E6E">
      <w:pPr>
        <w:pStyle w:val="SingleTxtG"/>
        <w:tabs>
          <w:tab w:val="left" w:pos="2268"/>
        </w:tabs>
        <w:rPr>
          <w:szCs w:val="24"/>
          <w:lang w:val="fr-FR"/>
        </w:rPr>
      </w:pPr>
    </w:p>
    <w:p w:rsidR="00124E6E" w:rsidRPr="00640C9E" w:rsidRDefault="00124E6E" w:rsidP="00A23C89">
      <w:pPr>
        <w:pStyle w:val="SingleTxtG"/>
        <w:tabs>
          <w:tab w:val="left" w:pos="2268"/>
        </w:tabs>
        <w:ind w:left="2259" w:hanging="1125"/>
        <w:rPr>
          <w:szCs w:val="24"/>
        </w:rPr>
      </w:pPr>
      <w:r>
        <w:rPr>
          <w:szCs w:val="24"/>
          <w:lang w:val="fr-FR"/>
        </w:rPr>
        <w:t>1.2.1</w:t>
      </w:r>
      <w:r>
        <w:rPr>
          <w:szCs w:val="24"/>
          <w:lang w:val="fr-FR"/>
        </w:rPr>
        <w:tab/>
        <w:t>Modifier la définition</w:t>
      </w:r>
      <w:r w:rsidRPr="00A460A7">
        <w:rPr>
          <w:szCs w:val="24"/>
          <w:lang w:val="fr-FR"/>
        </w:rPr>
        <w:t xml:space="preserve"> </w:t>
      </w:r>
      <w:r>
        <w:rPr>
          <w:szCs w:val="24"/>
          <w:lang w:val="fr-FR"/>
        </w:rPr>
        <w:t>de « </w:t>
      </w:r>
      <w:r w:rsidRPr="00AB7C1B">
        <w:rPr>
          <w:i/>
          <w:iCs/>
          <w:szCs w:val="24"/>
          <w:lang w:val="fr-FR"/>
        </w:rPr>
        <w:t>Température de décomposition auto-accélérée</w:t>
      </w:r>
      <w:r>
        <w:rPr>
          <w:szCs w:val="24"/>
          <w:lang w:val="fr-FR"/>
        </w:rPr>
        <w:t> » : pour lire comme suit :</w:t>
      </w:r>
    </w:p>
    <w:p w:rsidR="00124E6E" w:rsidRDefault="00FE3F4F" w:rsidP="00A23C89">
      <w:pPr>
        <w:pStyle w:val="SingleTxtG"/>
        <w:tabs>
          <w:tab w:val="left" w:pos="2268"/>
        </w:tabs>
        <w:ind w:left="2259" w:hanging="1125"/>
        <w:rPr>
          <w:lang w:val="fr-FR"/>
        </w:rPr>
      </w:pPr>
      <w:r>
        <w:rPr>
          <w:lang w:val="fr-FR"/>
        </w:rPr>
        <w:tab/>
      </w:r>
      <w:r w:rsidR="00124E6E">
        <w:rPr>
          <w:lang w:val="fr-FR"/>
        </w:rPr>
        <w:t>« </w:t>
      </w:r>
      <w:bookmarkStart w:id="1" w:name="_Hlk10038968"/>
      <w:r w:rsidR="00124E6E" w:rsidRPr="0069237A">
        <w:rPr>
          <w:i/>
          <w:iCs/>
          <w:lang w:val="fr-FR"/>
        </w:rPr>
        <w:t>Température de décomposition auto-accélérée</w:t>
      </w:r>
      <w:r w:rsidR="00124E6E">
        <w:rPr>
          <w:i/>
          <w:iCs/>
          <w:lang w:val="fr-FR"/>
        </w:rPr>
        <w:t xml:space="preserve"> (TDAA)</w:t>
      </w:r>
      <w:bookmarkEnd w:id="1"/>
      <w:r w:rsidR="00124E6E">
        <w:rPr>
          <w:i/>
          <w:iCs/>
          <w:lang w:val="fr-FR"/>
        </w:rPr>
        <w:t xml:space="preserve">, </w:t>
      </w:r>
      <w:r w:rsidR="00124E6E" w:rsidRPr="0069237A">
        <w:rPr>
          <w:iCs/>
          <w:lang w:val="fr-FR"/>
        </w:rPr>
        <w:t>la température la plus basse à laquelle une décomposition auto-accélérée peut se produire pour une matière dans l’emballage</w:t>
      </w:r>
      <w:r w:rsidR="00124E6E" w:rsidRPr="0069237A">
        <w:rPr>
          <w:lang w:val="fr-FR"/>
        </w:rPr>
        <w:t>, le GRV</w:t>
      </w:r>
      <w:r w:rsidR="00124E6E">
        <w:rPr>
          <w:lang w:val="fr-FR"/>
        </w:rPr>
        <w:t>, la citerne</w:t>
      </w:r>
      <w:r w:rsidR="00124E6E" w:rsidRPr="0069237A">
        <w:rPr>
          <w:lang w:val="fr-FR"/>
        </w:rPr>
        <w:t xml:space="preserve"> ou la citerne mobile </w:t>
      </w:r>
      <w:r w:rsidR="00124E6E" w:rsidRPr="0069237A">
        <w:rPr>
          <w:iCs/>
          <w:lang w:val="fr-FR"/>
        </w:rPr>
        <w:t>servant au transport</w:t>
      </w:r>
      <w:r w:rsidR="00124E6E" w:rsidRPr="0069237A">
        <w:rPr>
          <w:lang w:val="fr-FR"/>
        </w:rPr>
        <w:t xml:space="preserve">. Elle </w:t>
      </w:r>
      <w:r w:rsidR="00124E6E" w:rsidRPr="0069237A">
        <w:rPr>
          <w:iCs/>
          <w:lang w:val="fr-FR"/>
        </w:rPr>
        <w:t xml:space="preserve">s’obtient en appliquant les procédures d’épreuve </w:t>
      </w:r>
      <w:r w:rsidR="00124E6E" w:rsidRPr="0069237A">
        <w:rPr>
          <w:lang w:val="fr-FR"/>
        </w:rPr>
        <w:t xml:space="preserve">indiquées </w:t>
      </w:r>
      <w:r w:rsidR="00124E6E">
        <w:rPr>
          <w:iCs/>
          <w:lang w:val="fr-FR"/>
        </w:rPr>
        <w:t>à la section </w:t>
      </w:r>
      <w:r w:rsidR="00124E6E" w:rsidRPr="0069237A">
        <w:rPr>
          <w:iCs/>
          <w:lang w:val="fr-FR"/>
        </w:rPr>
        <w:t>28 de la deuxième partie du Manuel d’épreuves et de critères</w:t>
      </w:r>
      <w:r w:rsidR="00124E6E">
        <w:rPr>
          <w:iCs/>
          <w:lang w:val="fr-FR"/>
        </w:rPr>
        <w:t> </w:t>
      </w:r>
      <w:r w:rsidR="00124E6E">
        <w:rPr>
          <w:lang w:val="fr-FR"/>
        </w:rPr>
        <w:t>; ».</w:t>
      </w:r>
    </w:p>
    <w:p w:rsidR="00124E6E" w:rsidRPr="00640C9E" w:rsidRDefault="00124E6E" w:rsidP="00A23C89">
      <w:pPr>
        <w:pStyle w:val="SingleTxtG"/>
        <w:tabs>
          <w:tab w:val="left" w:pos="2268"/>
        </w:tabs>
        <w:ind w:left="2259" w:hanging="1125"/>
        <w:rPr>
          <w:szCs w:val="24"/>
        </w:rPr>
      </w:pPr>
      <w:r>
        <w:rPr>
          <w:szCs w:val="24"/>
          <w:lang w:val="fr-FR"/>
        </w:rPr>
        <w:t>1.2.1</w:t>
      </w:r>
      <w:r>
        <w:rPr>
          <w:szCs w:val="24"/>
          <w:lang w:val="fr-FR"/>
        </w:rPr>
        <w:tab/>
        <w:t>Supprimer la définition de « </w:t>
      </w:r>
      <w:r w:rsidRPr="00AB7C1B">
        <w:rPr>
          <w:i/>
          <w:iCs/>
          <w:szCs w:val="24"/>
          <w:lang w:val="fr-FR"/>
        </w:rPr>
        <w:t>Intensité de rayonnement</w:t>
      </w:r>
      <w:r>
        <w:rPr>
          <w:szCs w:val="24"/>
          <w:lang w:val="fr-FR"/>
        </w:rPr>
        <w:t> ».</w:t>
      </w:r>
    </w:p>
    <w:p w:rsidR="00124E6E" w:rsidRDefault="00124E6E" w:rsidP="00A23C89">
      <w:pPr>
        <w:pStyle w:val="SingleTxtG"/>
        <w:tabs>
          <w:tab w:val="left" w:pos="2268"/>
        </w:tabs>
        <w:ind w:left="2259" w:hanging="1125"/>
        <w:rPr>
          <w:lang w:val="fr-FR"/>
        </w:rPr>
      </w:pPr>
      <w:r>
        <w:rPr>
          <w:lang w:val="fr-FR"/>
        </w:rPr>
        <w:t>1.2.1</w:t>
      </w:r>
      <w:r>
        <w:rPr>
          <w:lang w:val="fr-FR"/>
        </w:rPr>
        <w:tab/>
        <w:t>Dans la définition de « </w:t>
      </w:r>
      <w:r w:rsidRPr="00AB7C1B">
        <w:rPr>
          <w:i/>
          <w:iCs/>
          <w:lang w:val="fr-FR"/>
        </w:rPr>
        <w:t>Température de polymérisation auto-accélérée (TPAA)</w:t>
      </w:r>
      <w:r>
        <w:rPr>
          <w:lang w:val="fr-FR"/>
        </w:rPr>
        <w:t xml:space="preserve"> », </w:t>
      </w:r>
      <w:r w:rsidRPr="0069237A">
        <w:rPr>
          <w:lang w:val="fr-FR"/>
        </w:rPr>
        <w:t xml:space="preserve">dans la première phrase, remplacer </w:t>
      </w:r>
      <w:r>
        <w:rPr>
          <w:lang w:val="fr-FR"/>
        </w:rPr>
        <w:t>« </w:t>
      </w:r>
      <w:r w:rsidRPr="0069237A">
        <w:rPr>
          <w:lang w:val="fr-FR"/>
        </w:rPr>
        <w:t>une matière peut commencer à polymériser</w:t>
      </w:r>
      <w:r>
        <w:rPr>
          <w:lang w:val="fr-FR"/>
        </w:rPr>
        <w:t> »</w:t>
      </w:r>
      <w:r w:rsidRPr="0069237A">
        <w:rPr>
          <w:lang w:val="fr-FR"/>
        </w:rPr>
        <w:t xml:space="preserve"> par </w:t>
      </w:r>
      <w:r>
        <w:rPr>
          <w:lang w:val="fr-FR"/>
        </w:rPr>
        <w:t>« </w:t>
      </w:r>
      <w:bookmarkStart w:id="2" w:name="_Hlk2238008"/>
      <w:r w:rsidRPr="0069237A">
        <w:rPr>
          <w:lang w:val="fr-FR"/>
        </w:rPr>
        <w:t>une polymérisation auto-accélérée peut se produire pour une matière</w:t>
      </w:r>
      <w:r>
        <w:rPr>
          <w:lang w:val="fr-FR"/>
        </w:rPr>
        <w:t> </w:t>
      </w:r>
      <w:bookmarkEnd w:id="2"/>
      <w:r>
        <w:rPr>
          <w:lang w:val="fr-FR"/>
        </w:rPr>
        <w:t>»</w:t>
      </w:r>
      <w:r w:rsidRPr="0069237A">
        <w:rPr>
          <w:lang w:val="fr-FR"/>
        </w:rPr>
        <w:t>.</w:t>
      </w:r>
    </w:p>
    <w:p w:rsidR="00124E6E" w:rsidRPr="00640C9E" w:rsidRDefault="00124E6E" w:rsidP="00A23C89">
      <w:pPr>
        <w:pStyle w:val="SingleTxtG"/>
        <w:tabs>
          <w:tab w:val="left" w:pos="2268"/>
        </w:tabs>
        <w:ind w:left="2259" w:hanging="1125"/>
        <w:rPr>
          <w:szCs w:val="24"/>
        </w:rPr>
      </w:pPr>
      <w:r>
        <w:rPr>
          <w:szCs w:val="24"/>
          <w:lang w:val="fr-FR"/>
        </w:rPr>
        <w:t>1.2.1</w:t>
      </w:r>
      <w:r w:rsidRPr="00640C9E">
        <w:rPr>
          <w:szCs w:val="24"/>
          <w:lang w:val="fr-FR"/>
        </w:rPr>
        <w:tab/>
      </w:r>
      <w:r>
        <w:rPr>
          <w:szCs w:val="24"/>
          <w:lang w:val="fr-FR"/>
        </w:rPr>
        <w:t>Dans la définition de « </w:t>
      </w:r>
      <w:r w:rsidRPr="00AB7C1B">
        <w:rPr>
          <w:i/>
          <w:iCs/>
          <w:szCs w:val="24"/>
          <w:lang w:val="fr-FR"/>
        </w:rPr>
        <w:t>Indice de transport</w:t>
      </w:r>
      <w:r>
        <w:rPr>
          <w:szCs w:val="24"/>
          <w:lang w:val="fr-FR"/>
        </w:rPr>
        <w:t xml:space="preserve"> », </w:t>
      </w:r>
      <w:r w:rsidRPr="00640C9E">
        <w:rPr>
          <w:szCs w:val="24"/>
          <w:lang w:val="fr-FR"/>
        </w:rPr>
        <w:t xml:space="preserve">dans la première phrase, ajouter </w:t>
      </w:r>
      <w:r>
        <w:rPr>
          <w:szCs w:val="24"/>
          <w:lang w:val="fr-FR"/>
        </w:rPr>
        <w:t>« </w:t>
      </w:r>
      <w:bookmarkStart w:id="3" w:name="_Hlk2238145"/>
      <w:r w:rsidRPr="00640C9E">
        <w:rPr>
          <w:szCs w:val="24"/>
          <w:lang w:val="fr-FR"/>
        </w:rPr>
        <w:t>ou SCO-III</w:t>
      </w:r>
      <w:r>
        <w:rPr>
          <w:szCs w:val="24"/>
          <w:lang w:val="fr-FR"/>
        </w:rPr>
        <w:t> </w:t>
      </w:r>
      <w:bookmarkEnd w:id="3"/>
      <w:r>
        <w:rPr>
          <w:szCs w:val="24"/>
          <w:lang w:val="fr-FR"/>
        </w:rPr>
        <w:t>»</w:t>
      </w:r>
      <w:r w:rsidRPr="00640C9E">
        <w:rPr>
          <w:szCs w:val="24"/>
          <w:lang w:val="fr-FR"/>
        </w:rPr>
        <w:t xml:space="preserve"> après </w:t>
      </w:r>
      <w:r>
        <w:rPr>
          <w:szCs w:val="24"/>
          <w:lang w:val="fr-FR"/>
        </w:rPr>
        <w:t>« </w:t>
      </w:r>
      <w:r w:rsidRPr="00640C9E">
        <w:rPr>
          <w:szCs w:val="24"/>
          <w:lang w:val="fr-FR"/>
        </w:rPr>
        <w:t>SCO-I</w:t>
      </w:r>
      <w:r>
        <w:rPr>
          <w:szCs w:val="24"/>
          <w:lang w:val="fr-FR"/>
        </w:rPr>
        <w:t> ».</w:t>
      </w:r>
    </w:p>
    <w:p w:rsidR="00124E6E" w:rsidRPr="00CD6EB5" w:rsidRDefault="00124E6E" w:rsidP="00A23C89">
      <w:pPr>
        <w:pStyle w:val="SingleTxtG"/>
        <w:tabs>
          <w:tab w:val="left" w:pos="2268"/>
        </w:tabs>
        <w:ind w:left="2259" w:hanging="1125"/>
        <w:rPr>
          <w:lang w:val="fr-FR"/>
        </w:rPr>
      </w:pPr>
      <w:r w:rsidRPr="00CD6EB5">
        <w:rPr>
          <w:lang w:val="fr-FR"/>
        </w:rPr>
        <w:t>1.2.1</w:t>
      </w:r>
      <w:r w:rsidRPr="00CD6EB5">
        <w:rPr>
          <w:lang w:val="fr-FR"/>
        </w:rPr>
        <w:tab/>
        <w:t>Dans la définition de « </w:t>
      </w:r>
      <w:r w:rsidRPr="00CD6EB5">
        <w:rPr>
          <w:i/>
          <w:lang w:val="fr-FR"/>
        </w:rPr>
        <w:t>SGH </w:t>
      </w:r>
      <w:r w:rsidRPr="00CD6EB5">
        <w:rPr>
          <w:lang w:val="fr-FR"/>
        </w:rPr>
        <w:t>», remplacer « septième » par « </w:t>
      </w:r>
      <w:r>
        <w:rPr>
          <w:lang w:val="fr-FR"/>
        </w:rPr>
        <w:t>huitième</w:t>
      </w:r>
      <w:r w:rsidRPr="00CD6EB5">
        <w:rPr>
          <w:lang w:val="fr-FR"/>
        </w:rPr>
        <w:t> » et remplacer « ST/SG/</w:t>
      </w:r>
      <w:r>
        <w:rPr>
          <w:lang w:val="fr-FR"/>
        </w:rPr>
        <w:t>A</w:t>
      </w:r>
      <w:r w:rsidRPr="00CD6EB5">
        <w:rPr>
          <w:lang w:val="fr-FR"/>
        </w:rPr>
        <w:t>C.10/30/Rev.</w:t>
      </w:r>
      <w:r>
        <w:rPr>
          <w:lang w:val="fr-FR"/>
        </w:rPr>
        <w:t>7</w:t>
      </w:r>
      <w:r w:rsidRPr="00CD6EB5">
        <w:rPr>
          <w:lang w:val="fr-FR"/>
        </w:rPr>
        <w:t> » par « ST/SG/</w:t>
      </w:r>
      <w:r>
        <w:rPr>
          <w:lang w:val="fr-FR"/>
        </w:rPr>
        <w:t>A</w:t>
      </w:r>
      <w:r w:rsidRPr="00CD6EB5">
        <w:rPr>
          <w:lang w:val="fr-FR"/>
        </w:rPr>
        <w:t>C.10/30/Rev.</w:t>
      </w:r>
      <w:r>
        <w:rPr>
          <w:lang w:val="fr-FR"/>
        </w:rPr>
        <w:t>8</w:t>
      </w:r>
      <w:r w:rsidRPr="00CD6EB5">
        <w:rPr>
          <w:lang w:val="fr-FR"/>
        </w:rPr>
        <w:t> ».</w:t>
      </w:r>
    </w:p>
    <w:p w:rsidR="00124E6E" w:rsidRPr="00CD6EB5" w:rsidRDefault="00124E6E" w:rsidP="00A23C89">
      <w:pPr>
        <w:pStyle w:val="SingleTxtG"/>
        <w:tabs>
          <w:tab w:val="left" w:pos="2268"/>
        </w:tabs>
        <w:ind w:left="2259" w:hanging="1125"/>
        <w:rPr>
          <w:lang w:val="fr-FR"/>
        </w:rPr>
      </w:pPr>
      <w:r w:rsidRPr="00CD6EB5">
        <w:rPr>
          <w:lang w:val="fr-FR"/>
        </w:rPr>
        <w:t>1.2.1</w:t>
      </w:r>
      <w:r w:rsidRPr="00CD6EB5">
        <w:rPr>
          <w:lang w:val="fr-FR"/>
        </w:rPr>
        <w:tab/>
        <w:t>Dans la définition de « </w:t>
      </w:r>
      <w:r w:rsidRPr="00CD6EB5">
        <w:rPr>
          <w:i/>
          <w:lang w:val="fr-FR"/>
        </w:rPr>
        <w:t>Manuel d’épreuves et de critères</w:t>
      </w:r>
      <w:r w:rsidRPr="00CD6EB5">
        <w:rPr>
          <w:lang w:val="fr-FR"/>
        </w:rPr>
        <w:t xml:space="preserve"> », </w:t>
      </w:r>
      <w:r>
        <w:rPr>
          <w:lang w:val="fr-FR"/>
        </w:rPr>
        <w:t xml:space="preserve">remplacer « sixième » par « septième » et </w:t>
      </w:r>
      <w:r w:rsidRPr="00CD6EB5">
        <w:rPr>
          <w:lang w:val="fr-FR"/>
        </w:rPr>
        <w:t>« ST/SG/AC.10/11/Rev.6 et Amend.1 »</w:t>
      </w:r>
      <w:r>
        <w:rPr>
          <w:lang w:val="fr-FR"/>
        </w:rPr>
        <w:t xml:space="preserve"> par « </w:t>
      </w:r>
      <w:r w:rsidRPr="00CD6EB5">
        <w:rPr>
          <w:lang w:val="fr-FR"/>
        </w:rPr>
        <w:t>ST/SG/AC.10/11/Rev.</w:t>
      </w:r>
      <w:r>
        <w:rPr>
          <w:lang w:val="fr-FR"/>
        </w:rPr>
        <w:t>7 »</w:t>
      </w:r>
      <w:r w:rsidRPr="00CD6EB5">
        <w:rPr>
          <w:lang w:val="fr-FR"/>
        </w:rPr>
        <w:t>.</w:t>
      </w:r>
      <w:r>
        <w:rPr>
          <w:lang w:val="fr-FR"/>
        </w:rPr>
        <w:t xml:space="preserve"> Supprimer « </w:t>
      </w:r>
      <w:r w:rsidRPr="00AB7C1B">
        <w:rPr>
          <w:i/>
          <w:iCs/>
          <w:lang w:val="fr-FR"/>
        </w:rPr>
        <w:t>Recommandations relatives au transport des marchandises dangereuses,</w:t>
      </w:r>
      <w:r>
        <w:rPr>
          <w:lang w:val="fr-FR"/>
        </w:rPr>
        <w:t> ».</w:t>
      </w:r>
    </w:p>
    <w:p w:rsidR="00124E6E" w:rsidRDefault="00124E6E" w:rsidP="00A23C89">
      <w:pPr>
        <w:pStyle w:val="SingleTxtG"/>
        <w:tabs>
          <w:tab w:val="left" w:pos="2268"/>
        </w:tabs>
        <w:ind w:left="2259" w:hanging="1125"/>
        <w:rPr>
          <w:lang w:val="fr-FR"/>
        </w:rPr>
      </w:pPr>
      <w:r w:rsidRPr="00362B4E">
        <w:rPr>
          <w:lang w:val="fr-FR"/>
        </w:rPr>
        <w:t>1.2.1</w:t>
      </w:r>
      <w:r w:rsidRPr="00362B4E">
        <w:rPr>
          <w:lang w:val="fr-FR"/>
        </w:rPr>
        <w:tab/>
        <w:t xml:space="preserve">Dans la définition de </w:t>
      </w:r>
      <w:r>
        <w:rPr>
          <w:lang w:val="fr-FR"/>
        </w:rPr>
        <w:t>« </w:t>
      </w:r>
      <w:r w:rsidRPr="00B76415">
        <w:rPr>
          <w:i/>
          <w:lang w:val="fr-FR"/>
        </w:rPr>
        <w:t>Règlement type de l'ONU</w:t>
      </w:r>
      <w:r>
        <w:rPr>
          <w:lang w:val="fr-FR"/>
        </w:rPr>
        <w:t> »</w:t>
      </w:r>
      <w:r w:rsidRPr="00362B4E">
        <w:rPr>
          <w:lang w:val="fr-FR"/>
        </w:rPr>
        <w:t>, remplacer « vingtième » par « vingt</w:t>
      </w:r>
      <w:r>
        <w:rPr>
          <w:lang w:val="fr-FR"/>
        </w:rPr>
        <w:t>-et-un</w:t>
      </w:r>
      <w:r w:rsidRPr="00362B4E">
        <w:rPr>
          <w:lang w:val="fr-FR"/>
        </w:rPr>
        <w:t>ième » et remplacer « (ST/SG/AC.10/1/Rev.</w:t>
      </w:r>
      <w:r>
        <w:rPr>
          <w:lang w:val="fr-FR"/>
        </w:rPr>
        <w:t>20</w:t>
      </w:r>
      <w:r w:rsidRPr="00362B4E">
        <w:rPr>
          <w:lang w:val="fr-FR"/>
        </w:rPr>
        <w:t>) » par « (ST/SG/AC.10/1/Rev.2</w:t>
      </w:r>
      <w:r>
        <w:rPr>
          <w:lang w:val="fr-FR"/>
        </w:rPr>
        <w:t>1</w:t>
      </w:r>
      <w:r w:rsidRPr="00362B4E">
        <w:rPr>
          <w:lang w:val="fr-FR"/>
        </w:rPr>
        <w:t>) ».</w:t>
      </w:r>
      <w:r>
        <w:rPr>
          <w:lang w:val="fr-FR"/>
        </w:rPr>
        <w:t xml:space="preserve"> </w:t>
      </w:r>
    </w:p>
    <w:p w:rsidR="00124E6E" w:rsidRPr="006B0E45" w:rsidRDefault="00124E6E" w:rsidP="00124E6E">
      <w:pPr>
        <w:pStyle w:val="H1G"/>
        <w:rPr>
          <w:lang w:val="fr-FR"/>
        </w:rPr>
      </w:pPr>
      <w:r w:rsidRPr="006B0E45">
        <w:rPr>
          <w:lang w:val="fr-FR"/>
        </w:rPr>
        <w:tab/>
      </w:r>
      <w:r w:rsidRPr="006B0E45">
        <w:rPr>
          <w:lang w:val="fr-FR"/>
        </w:rPr>
        <w:tab/>
        <w:t>Chapitre 1.</w:t>
      </w:r>
      <w:r>
        <w:rPr>
          <w:lang w:val="fr-FR"/>
        </w:rPr>
        <w:t>6</w:t>
      </w:r>
    </w:p>
    <w:p w:rsidR="00124E6E" w:rsidRDefault="00124E6E" w:rsidP="00A23C89">
      <w:pPr>
        <w:pStyle w:val="SingleTxtG"/>
        <w:tabs>
          <w:tab w:val="left" w:pos="2268"/>
        </w:tabs>
        <w:ind w:left="2259" w:hanging="1125"/>
        <w:rPr>
          <w:szCs w:val="24"/>
          <w:lang w:val="fr-FR"/>
        </w:rPr>
      </w:pPr>
      <w:r>
        <w:rPr>
          <w:szCs w:val="24"/>
          <w:lang w:val="fr-FR"/>
        </w:rPr>
        <w:t>1.6.6.1</w:t>
      </w:r>
      <w:r w:rsidRPr="00640C9E">
        <w:rPr>
          <w:szCs w:val="24"/>
          <w:lang w:val="fr-FR"/>
        </w:rPr>
        <w:tab/>
      </w:r>
      <w:r w:rsidRPr="00640C9E">
        <w:rPr>
          <w:szCs w:val="24"/>
          <w:lang w:val="fr-FR"/>
        </w:rPr>
        <w:tab/>
        <w:t>Modifier pour lire</w:t>
      </w:r>
      <w:r>
        <w:rPr>
          <w:szCs w:val="24"/>
          <w:lang w:val="fr-FR"/>
        </w:rPr>
        <w:t xml:space="preserve"> comme suit :</w:t>
      </w:r>
      <w:r w:rsidRPr="00640C9E">
        <w:rPr>
          <w:szCs w:val="24"/>
          <w:lang w:val="fr-FR"/>
        </w:rPr>
        <w:t xml:space="preserve"> </w:t>
      </w:r>
    </w:p>
    <w:p w:rsidR="00124E6E" w:rsidRPr="00640C9E" w:rsidRDefault="00124E6E" w:rsidP="00A23C89">
      <w:pPr>
        <w:pStyle w:val="SingleTxtG"/>
        <w:tabs>
          <w:tab w:val="left" w:pos="2268"/>
        </w:tabs>
        <w:ind w:left="2259" w:hanging="1125"/>
        <w:rPr>
          <w:szCs w:val="24"/>
        </w:rPr>
      </w:pPr>
      <w:r>
        <w:rPr>
          <w:szCs w:val="24"/>
          <w:lang w:val="fr-FR"/>
        </w:rPr>
        <w:t>«</w:t>
      </w:r>
      <w:r w:rsidR="00FE3F4F">
        <w:rPr>
          <w:szCs w:val="24"/>
          <w:lang w:val="fr-FR"/>
        </w:rPr>
        <w:t> </w:t>
      </w:r>
      <w:r w:rsidRPr="00FE3F4F">
        <w:rPr>
          <w:b/>
          <w:bCs/>
          <w:szCs w:val="24"/>
          <w:lang w:val="fr-FR"/>
        </w:rPr>
        <w:t>1.6.6.1</w:t>
      </w:r>
      <w:r>
        <w:rPr>
          <w:szCs w:val="24"/>
          <w:lang w:val="fr-FR"/>
        </w:rPr>
        <w:tab/>
      </w:r>
      <w:r w:rsidRPr="00AB7C1B">
        <w:rPr>
          <w:b/>
          <w:bCs/>
          <w:i/>
          <w:iCs/>
          <w:szCs w:val="24"/>
          <w:lang w:val="fr-FR"/>
        </w:rPr>
        <w:t>Colis dont le modèle n’a pas à être agréé par l’autorité compétente en vertu des éditions de 1985, de 1985 (telle que modifiée en 1990), de 1996, de 1996 (révisée), de 1996 (telle que modifiée en 2003), de 2005 et de 2009 du n</w:t>
      </w:r>
      <w:r w:rsidRPr="00AB7C1B">
        <w:rPr>
          <w:b/>
          <w:bCs/>
          <w:i/>
          <w:iCs/>
          <w:szCs w:val="24"/>
          <w:vertAlign w:val="superscript"/>
          <w:lang w:val="fr-FR"/>
        </w:rPr>
        <w:t>o</w:t>
      </w:r>
      <w:r w:rsidRPr="00AB7C1B">
        <w:rPr>
          <w:b/>
          <w:bCs/>
          <w:i/>
          <w:iCs/>
          <w:szCs w:val="24"/>
          <w:lang w:val="fr-FR"/>
        </w:rPr>
        <w:t xml:space="preserve"> 6 de la </w:t>
      </w:r>
      <w:r>
        <w:rPr>
          <w:b/>
          <w:bCs/>
          <w:i/>
          <w:iCs/>
          <w:szCs w:val="24"/>
          <w:lang w:val="fr-FR"/>
        </w:rPr>
        <w:t>C</w:t>
      </w:r>
      <w:r w:rsidRPr="00AB7C1B">
        <w:rPr>
          <w:b/>
          <w:bCs/>
          <w:i/>
          <w:iCs/>
          <w:szCs w:val="24"/>
          <w:lang w:val="fr-FR"/>
        </w:rPr>
        <w:t>ollection Sécurité de l’AIEA, et de l’édition 2012 du n</w:t>
      </w:r>
      <w:r w:rsidRPr="00AB7C1B">
        <w:rPr>
          <w:b/>
          <w:bCs/>
          <w:i/>
          <w:iCs/>
          <w:szCs w:val="24"/>
          <w:vertAlign w:val="superscript"/>
          <w:lang w:val="fr-FR"/>
        </w:rPr>
        <w:t>o</w:t>
      </w:r>
      <w:r w:rsidRPr="00AB7C1B">
        <w:rPr>
          <w:b/>
          <w:bCs/>
          <w:i/>
          <w:iCs/>
          <w:szCs w:val="24"/>
          <w:lang w:val="fr-FR"/>
        </w:rPr>
        <w:t> SSR</w:t>
      </w:r>
      <w:r w:rsidRPr="00AB7C1B">
        <w:rPr>
          <w:b/>
          <w:bCs/>
          <w:i/>
          <w:iCs/>
          <w:szCs w:val="24"/>
          <w:lang w:val="fr-FR"/>
        </w:rPr>
        <w:noBreakHyphen/>
        <w:t>6 de la collection Normes de sûreté de l’AIEA</w:t>
      </w:r>
    </w:p>
    <w:p w:rsidR="00124E6E" w:rsidRPr="00BE00D4" w:rsidRDefault="00FE3F4F" w:rsidP="00A23C89">
      <w:pPr>
        <w:pStyle w:val="SingleTxtG"/>
        <w:tabs>
          <w:tab w:val="left" w:pos="2268"/>
        </w:tabs>
        <w:ind w:left="2259" w:hanging="1125"/>
        <w:rPr>
          <w:szCs w:val="24"/>
        </w:rPr>
      </w:pPr>
      <w:r>
        <w:rPr>
          <w:szCs w:val="24"/>
          <w:lang w:val="fr-FR"/>
        </w:rPr>
        <w:tab/>
      </w:r>
      <w:r w:rsidR="00124E6E" w:rsidRPr="00BE00D4" w:rsidDel="005A333A">
        <w:rPr>
          <w:szCs w:val="24"/>
          <w:lang w:val="fr-FR"/>
        </w:rPr>
        <w:t xml:space="preserve"> </w:t>
      </w:r>
      <w:r w:rsidR="00124E6E" w:rsidRPr="00BE00D4">
        <w:rPr>
          <w:szCs w:val="24"/>
          <w:lang w:val="fr-FR"/>
        </w:rPr>
        <w:t xml:space="preserve">Les colis dont le modèle n’a pas à être agréé par l’autorité compétente (les colis exceptés, les colis du type IP-1, IP-2 et IP-3 et les colis du type A) doivent satisfaire intégralement aux prescriptions </w:t>
      </w:r>
      <w:r w:rsidR="00124E6E">
        <w:rPr>
          <w:szCs w:val="24"/>
          <w:lang w:val="fr-FR"/>
        </w:rPr>
        <w:t>du RID/de l’ADR/de l’ADN</w:t>
      </w:r>
      <w:r w:rsidR="00124E6E" w:rsidRPr="00BE00D4">
        <w:rPr>
          <w:szCs w:val="24"/>
          <w:lang w:val="fr-FR"/>
        </w:rPr>
        <w:t>, mais :</w:t>
      </w:r>
    </w:p>
    <w:p w:rsidR="00124E6E" w:rsidRPr="00BE00D4" w:rsidRDefault="00124E6E" w:rsidP="00A23C89">
      <w:pPr>
        <w:pStyle w:val="SingleTxtG"/>
        <w:tabs>
          <w:tab w:val="left" w:pos="2835"/>
        </w:tabs>
        <w:ind w:left="2835" w:hanging="567"/>
        <w:rPr>
          <w:szCs w:val="24"/>
        </w:rPr>
      </w:pPr>
      <w:r w:rsidRPr="00BE00D4">
        <w:rPr>
          <w:szCs w:val="24"/>
          <w:lang w:val="fr-FR"/>
        </w:rPr>
        <w:t>a)</w:t>
      </w:r>
      <w:r w:rsidRPr="00BE00D4">
        <w:rPr>
          <w:szCs w:val="24"/>
          <w:lang w:val="fr-FR"/>
        </w:rPr>
        <w:tab/>
        <w:t>Les colis qui satisfont aux prescriptions des éditions de 1985 ou de 1985 (telle que modifiée en 1990) du n</w:t>
      </w:r>
      <w:r w:rsidRPr="00BE00D4">
        <w:rPr>
          <w:szCs w:val="24"/>
          <w:vertAlign w:val="superscript"/>
          <w:lang w:val="fr-FR"/>
        </w:rPr>
        <w:t>o</w:t>
      </w:r>
      <w:r w:rsidRPr="00BE00D4">
        <w:rPr>
          <w:szCs w:val="24"/>
          <w:lang w:val="fr-FR"/>
        </w:rPr>
        <w:t xml:space="preserve"> 6 de la </w:t>
      </w:r>
      <w:r>
        <w:rPr>
          <w:szCs w:val="24"/>
          <w:lang w:val="fr-FR"/>
        </w:rPr>
        <w:t>C</w:t>
      </w:r>
      <w:r w:rsidRPr="00BE00D4">
        <w:rPr>
          <w:szCs w:val="24"/>
          <w:lang w:val="fr-FR"/>
        </w:rPr>
        <w:t>ollection Sécurité de l’AIEA</w:t>
      </w:r>
      <w:r>
        <w:rPr>
          <w:szCs w:val="24"/>
          <w:lang w:val="fr-FR"/>
        </w:rPr>
        <w:t xml:space="preserve"> </w:t>
      </w:r>
      <w:r w:rsidRPr="00BE00D4">
        <w:rPr>
          <w:szCs w:val="24"/>
          <w:lang w:val="fr-FR"/>
        </w:rPr>
        <w:t>:</w:t>
      </w:r>
    </w:p>
    <w:p w:rsidR="00124E6E" w:rsidRPr="00BE00D4" w:rsidRDefault="00124E6E" w:rsidP="00124E6E">
      <w:pPr>
        <w:pStyle w:val="SingleTxtG"/>
        <w:tabs>
          <w:tab w:val="left" w:pos="2268"/>
        </w:tabs>
        <w:ind w:left="3402" w:hanging="567"/>
        <w:rPr>
          <w:szCs w:val="24"/>
        </w:rPr>
      </w:pPr>
      <w:r w:rsidRPr="00BE00D4">
        <w:rPr>
          <w:szCs w:val="24"/>
          <w:lang w:val="fr-FR"/>
        </w:rPr>
        <w:lastRenderedPageBreak/>
        <w:t>i)</w:t>
      </w:r>
      <w:r w:rsidRPr="00BE00D4">
        <w:rPr>
          <w:szCs w:val="24"/>
          <w:lang w:val="fr-FR"/>
        </w:rPr>
        <w:tab/>
        <w:t xml:space="preserve">Pourront encore être transportés à condition qu’ils aient été préparés pour le transport avant le 31 décembre 2003 et sous réserve des prescriptions du </w:t>
      </w:r>
      <w:r>
        <w:rPr>
          <w:szCs w:val="24"/>
          <w:lang w:val="fr-FR"/>
        </w:rPr>
        <w:t>1.6.6.2.3</w:t>
      </w:r>
      <w:r w:rsidRPr="00BE00D4">
        <w:rPr>
          <w:szCs w:val="24"/>
          <w:lang w:val="fr-FR"/>
        </w:rPr>
        <w:t xml:space="preserve">, le cas échéant ; </w:t>
      </w:r>
      <w:proofErr w:type="gramStart"/>
      <w:r w:rsidRPr="00BE00D4">
        <w:rPr>
          <w:szCs w:val="24"/>
          <w:lang w:val="fr-FR"/>
        </w:rPr>
        <w:t>ou</w:t>
      </w:r>
      <w:proofErr w:type="gramEnd"/>
    </w:p>
    <w:p w:rsidR="00124E6E" w:rsidRPr="00BE00D4" w:rsidRDefault="00124E6E" w:rsidP="00124E6E">
      <w:pPr>
        <w:pStyle w:val="SingleTxtG"/>
        <w:tabs>
          <w:tab w:val="left" w:pos="2268"/>
        </w:tabs>
        <w:ind w:left="3402" w:hanging="567"/>
        <w:rPr>
          <w:szCs w:val="24"/>
        </w:rPr>
      </w:pPr>
      <w:r w:rsidRPr="00BE00D4">
        <w:rPr>
          <w:szCs w:val="24"/>
          <w:lang w:val="fr-FR"/>
        </w:rPr>
        <w:t>ii)</w:t>
      </w:r>
      <w:r w:rsidRPr="00BE00D4">
        <w:rPr>
          <w:szCs w:val="24"/>
          <w:lang w:val="fr-FR"/>
        </w:rPr>
        <w:tab/>
        <w:t>Pourront continuer à être utilisés à condition que toutes les conditions suivantes soient remplies :</w:t>
      </w:r>
    </w:p>
    <w:p w:rsidR="00124E6E" w:rsidRPr="00BE00D4" w:rsidRDefault="00124E6E" w:rsidP="00124E6E">
      <w:pPr>
        <w:pStyle w:val="Bullet2G"/>
        <w:numPr>
          <w:ilvl w:val="0"/>
          <w:numId w:val="32"/>
        </w:numPr>
        <w:tabs>
          <w:tab w:val="clear" w:pos="2438"/>
          <w:tab w:val="num" w:pos="3005"/>
        </w:tabs>
        <w:ind w:left="3402" w:firstLine="0"/>
      </w:pPr>
      <w:r w:rsidRPr="00BE00D4">
        <w:rPr>
          <w:lang w:val="fr-FR"/>
        </w:rPr>
        <w:t>Ils n’ont pas été conçus pour contenir de l’hexafluorure d’uranium ;</w:t>
      </w:r>
    </w:p>
    <w:p w:rsidR="00124E6E" w:rsidRPr="00BE00D4" w:rsidRDefault="00124E6E" w:rsidP="00124E6E">
      <w:pPr>
        <w:pStyle w:val="Bullet2G"/>
        <w:numPr>
          <w:ilvl w:val="0"/>
          <w:numId w:val="32"/>
        </w:numPr>
        <w:tabs>
          <w:tab w:val="clear" w:pos="2438"/>
        </w:tabs>
        <w:ind w:left="3402" w:firstLine="0"/>
      </w:pPr>
      <w:r w:rsidRPr="00BE00D4">
        <w:rPr>
          <w:lang w:val="fr-FR"/>
        </w:rPr>
        <w:t xml:space="preserve">Les prescriptions applicables énoncées au </w:t>
      </w:r>
      <w:r>
        <w:rPr>
          <w:lang w:val="fr-FR"/>
        </w:rPr>
        <w:t>1.7.3</w:t>
      </w:r>
      <w:r w:rsidRPr="00BE00D4">
        <w:rPr>
          <w:lang w:val="fr-FR"/>
        </w:rPr>
        <w:t xml:space="preserve"> sont appliquées ;</w:t>
      </w:r>
    </w:p>
    <w:p w:rsidR="00124E6E" w:rsidRPr="00BE00D4" w:rsidRDefault="00124E6E" w:rsidP="00124E6E">
      <w:pPr>
        <w:pStyle w:val="Bullet2G"/>
        <w:numPr>
          <w:ilvl w:val="0"/>
          <w:numId w:val="32"/>
        </w:numPr>
        <w:tabs>
          <w:tab w:val="clear" w:pos="2438"/>
        </w:tabs>
        <w:ind w:left="3402" w:firstLine="0"/>
      </w:pPr>
      <w:r w:rsidRPr="00BE00D4">
        <w:rPr>
          <w:lang w:val="fr-FR"/>
        </w:rPr>
        <w:t xml:space="preserve">Les limites d’activité et la classification énoncées au </w:t>
      </w:r>
      <w:r>
        <w:rPr>
          <w:lang w:val="fr-FR"/>
        </w:rPr>
        <w:t>2.2.7</w:t>
      </w:r>
      <w:r w:rsidRPr="00BE00D4">
        <w:rPr>
          <w:lang w:val="fr-FR"/>
        </w:rPr>
        <w:t xml:space="preserve"> sont appliquées ;</w:t>
      </w:r>
    </w:p>
    <w:p w:rsidR="00124E6E" w:rsidRPr="00BE00D4" w:rsidRDefault="00124E6E" w:rsidP="00124E6E">
      <w:pPr>
        <w:pStyle w:val="Bullet2G"/>
        <w:numPr>
          <w:ilvl w:val="0"/>
          <w:numId w:val="32"/>
        </w:numPr>
        <w:tabs>
          <w:tab w:val="clear" w:pos="2438"/>
        </w:tabs>
        <w:ind w:left="3402" w:firstLine="0"/>
      </w:pPr>
      <w:r w:rsidRPr="00BE00D4">
        <w:rPr>
          <w:lang w:val="fr-FR"/>
        </w:rPr>
        <w:t>Les prescriptions et les contrôles pour le transport, énoncés dans les parties 1, 3, 4, 5 et 7 sont appliqués ; et</w:t>
      </w:r>
    </w:p>
    <w:p w:rsidR="00124E6E" w:rsidRPr="00BE00D4" w:rsidRDefault="00124E6E" w:rsidP="00124E6E">
      <w:pPr>
        <w:pStyle w:val="Bullet2G"/>
        <w:numPr>
          <w:ilvl w:val="0"/>
          <w:numId w:val="32"/>
        </w:numPr>
        <w:tabs>
          <w:tab w:val="clear" w:pos="2438"/>
        </w:tabs>
        <w:ind w:left="3402" w:firstLine="0"/>
      </w:pPr>
      <w:r w:rsidRPr="00BE00D4">
        <w:rPr>
          <w:lang w:val="fr-FR"/>
        </w:rPr>
        <w:t>L’emballage n’a pas été fabriqué ou modifié après le 31 décembre 2003 ;</w:t>
      </w:r>
    </w:p>
    <w:p w:rsidR="00124E6E" w:rsidRPr="00BE00D4" w:rsidRDefault="00124E6E" w:rsidP="00A23C89">
      <w:pPr>
        <w:pStyle w:val="SingleTxtG"/>
        <w:tabs>
          <w:tab w:val="left" w:pos="2835"/>
        </w:tabs>
        <w:ind w:left="2835" w:hanging="567"/>
        <w:rPr>
          <w:szCs w:val="24"/>
        </w:rPr>
      </w:pPr>
      <w:r w:rsidRPr="00BE00D4">
        <w:rPr>
          <w:szCs w:val="24"/>
          <w:lang w:val="fr-FR"/>
        </w:rPr>
        <w:t>b)</w:t>
      </w:r>
      <w:r w:rsidRPr="00BE00D4">
        <w:rPr>
          <w:szCs w:val="24"/>
          <w:lang w:val="fr-FR"/>
        </w:rPr>
        <w:tab/>
        <w:t>Les colis qui satisfont aux dispositions des éditions de 1996, de 1996 (révisée), de 1996 (telle que modifiée en 2003), de 2005</w:t>
      </w:r>
      <w:r>
        <w:rPr>
          <w:szCs w:val="24"/>
          <w:lang w:val="fr-FR"/>
        </w:rPr>
        <w:t xml:space="preserve"> ou</w:t>
      </w:r>
      <w:r w:rsidRPr="00BE00D4">
        <w:rPr>
          <w:szCs w:val="24"/>
          <w:lang w:val="fr-FR"/>
        </w:rPr>
        <w:t xml:space="preserve"> de 2009 du n</w:t>
      </w:r>
      <w:r w:rsidRPr="00BE00D4">
        <w:rPr>
          <w:szCs w:val="24"/>
          <w:vertAlign w:val="superscript"/>
          <w:lang w:val="fr-FR"/>
        </w:rPr>
        <w:t>o</w:t>
      </w:r>
      <w:r w:rsidRPr="00BE00D4">
        <w:rPr>
          <w:szCs w:val="24"/>
          <w:lang w:val="fr-FR"/>
        </w:rPr>
        <w:t xml:space="preserve"> 6 de la collection Sécurité de l’AIEA, ou de l’édition 2012 du n</w:t>
      </w:r>
      <w:r w:rsidRPr="00BE00D4">
        <w:rPr>
          <w:szCs w:val="24"/>
          <w:vertAlign w:val="superscript"/>
          <w:lang w:val="fr-FR"/>
        </w:rPr>
        <w:t>o</w:t>
      </w:r>
      <w:r w:rsidRPr="00BE00D4">
        <w:rPr>
          <w:szCs w:val="24"/>
          <w:lang w:val="fr-FR"/>
        </w:rPr>
        <w:t xml:space="preserve"> SSR-6 de la </w:t>
      </w:r>
      <w:r>
        <w:rPr>
          <w:szCs w:val="24"/>
          <w:lang w:val="fr-FR"/>
        </w:rPr>
        <w:t>C</w:t>
      </w:r>
      <w:r w:rsidRPr="00BE00D4">
        <w:rPr>
          <w:szCs w:val="24"/>
          <w:lang w:val="fr-FR"/>
        </w:rPr>
        <w:t>ollection Sécurité de l’AIEA</w:t>
      </w:r>
      <w:r>
        <w:rPr>
          <w:szCs w:val="24"/>
          <w:lang w:val="fr-FR"/>
        </w:rPr>
        <w:t> </w:t>
      </w:r>
      <w:r w:rsidRPr="00BE00D4">
        <w:rPr>
          <w:szCs w:val="24"/>
          <w:lang w:val="fr-FR"/>
        </w:rPr>
        <w:t>:</w:t>
      </w:r>
    </w:p>
    <w:p w:rsidR="00124E6E" w:rsidRPr="00BE00D4" w:rsidRDefault="00124E6E" w:rsidP="00124E6E">
      <w:pPr>
        <w:pStyle w:val="SingleTxtG"/>
        <w:ind w:left="2835"/>
        <w:rPr>
          <w:szCs w:val="24"/>
        </w:rPr>
      </w:pPr>
      <w:r w:rsidRPr="00BE00D4">
        <w:rPr>
          <w:szCs w:val="24"/>
          <w:lang w:val="fr-FR"/>
        </w:rPr>
        <w:t>i)</w:t>
      </w:r>
      <w:r w:rsidRPr="00BE00D4">
        <w:rPr>
          <w:szCs w:val="24"/>
          <w:lang w:val="fr-FR"/>
        </w:rPr>
        <w:tab/>
        <w:t xml:space="preserve">Pourront encore être transportés à condition qu’ils aient été préparés pour le transport avant le 31 décembre 2025 et sous réserve des prescriptions du </w:t>
      </w:r>
      <w:r>
        <w:rPr>
          <w:szCs w:val="24"/>
          <w:lang w:val="fr-FR"/>
        </w:rPr>
        <w:t>1.6.6.2.3</w:t>
      </w:r>
      <w:r w:rsidRPr="00BE00D4">
        <w:rPr>
          <w:szCs w:val="24"/>
          <w:lang w:val="fr-FR"/>
        </w:rPr>
        <w:t xml:space="preserve">, le cas échéant ; </w:t>
      </w:r>
      <w:proofErr w:type="gramStart"/>
      <w:r w:rsidRPr="00BE00D4">
        <w:rPr>
          <w:szCs w:val="24"/>
          <w:lang w:val="fr-FR"/>
        </w:rPr>
        <w:t>ou</w:t>
      </w:r>
      <w:proofErr w:type="gramEnd"/>
    </w:p>
    <w:p w:rsidR="00124E6E" w:rsidRPr="00BE00D4" w:rsidRDefault="00124E6E" w:rsidP="00124E6E">
      <w:pPr>
        <w:pStyle w:val="SingleTxtG"/>
        <w:keepNext/>
        <w:ind w:left="2835"/>
        <w:rPr>
          <w:szCs w:val="24"/>
        </w:rPr>
      </w:pPr>
      <w:r w:rsidRPr="00BE00D4">
        <w:rPr>
          <w:szCs w:val="24"/>
          <w:lang w:val="fr-FR"/>
        </w:rPr>
        <w:t>ii)</w:t>
      </w:r>
      <w:r w:rsidRPr="00BE00D4">
        <w:rPr>
          <w:szCs w:val="24"/>
          <w:lang w:val="fr-FR"/>
        </w:rPr>
        <w:tab/>
        <w:t>Pourront continuer à être utilisés à condition que toutes les conditions suivantes soient remplies :</w:t>
      </w:r>
    </w:p>
    <w:p w:rsidR="00124E6E" w:rsidRPr="00BE00D4" w:rsidRDefault="00124E6E" w:rsidP="00124E6E">
      <w:pPr>
        <w:pStyle w:val="Bullet2G"/>
        <w:numPr>
          <w:ilvl w:val="0"/>
          <w:numId w:val="33"/>
        </w:numPr>
        <w:tabs>
          <w:tab w:val="clear" w:pos="2438"/>
        </w:tabs>
        <w:ind w:left="3402" w:firstLine="0"/>
      </w:pPr>
      <w:r w:rsidRPr="00BE00D4">
        <w:rPr>
          <w:lang w:val="fr-FR"/>
        </w:rPr>
        <w:t xml:space="preserve">Les prescriptions applicables énoncées au </w:t>
      </w:r>
      <w:r>
        <w:rPr>
          <w:lang w:val="fr-FR"/>
        </w:rPr>
        <w:t>1.7.3</w:t>
      </w:r>
      <w:r w:rsidRPr="00BE00D4">
        <w:rPr>
          <w:lang w:val="fr-FR"/>
        </w:rPr>
        <w:t xml:space="preserve"> sont appliquées ;</w:t>
      </w:r>
    </w:p>
    <w:p w:rsidR="00124E6E" w:rsidRPr="00BE00D4" w:rsidRDefault="00124E6E" w:rsidP="00124E6E">
      <w:pPr>
        <w:pStyle w:val="Bullet2G"/>
        <w:numPr>
          <w:ilvl w:val="0"/>
          <w:numId w:val="33"/>
        </w:numPr>
        <w:tabs>
          <w:tab w:val="clear" w:pos="2438"/>
        </w:tabs>
        <w:ind w:left="3402" w:firstLine="0"/>
      </w:pPr>
      <w:r w:rsidRPr="00BE00D4">
        <w:rPr>
          <w:lang w:val="fr-FR"/>
        </w:rPr>
        <w:t xml:space="preserve">Les limites d’activité et la classification énoncées au </w:t>
      </w:r>
      <w:r>
        <w:rPr>
          <w:lang w:val="fr-FR"/>
        </w:rPr>
        <w:t>2.2.7</w:t>
      </w:r>
      <w:r w:rsidRPr="00BE00D4">
        <w:rPr>
          <w:lang w:val="fr-FR"/>
        </w:rPr>
        <w:t xml:space="preserve"> sont appliquées ;</w:t>
      </w:r>
    </w:p>
    <w:p w:rsidR="00124E6E" w:rsidRPr="00BE00D4" w:rsidRDefault="00124E6E" w:rsidP="00124E6E">
      <w:pPr>
        <w:pStyle w:val="Bullet2G"/>
        <w:numPr>
          <w:ilvl w:val="0"/>
          <w:numId w:val="33"/>
        </w:numPr>
        <w:tabs>
          <w:tab w:val="clear" w:pos="2438"/>
        </w:tabs>
        <w:ind w:left="3402" w:firstLine="0"/>
      </w:pPr>
      <w:r w:rsidRPr="00BE00D4">
        <w:rPr>
          <w:lang w:val="fr-FR"/>
        </w:rPr>
        <w:t xml:space="preserve">Les prescriptions et les contrôles pour </w:t>
      </w:r>
      <w:proofErr w:type="gramStart"/>
      <w:r w:rsidRPr="00BE00D4">
        <w:rPr>
          <w:lang w:val="fr-FR"/>
        </w:rPr>
        <w:t>le transport énoncés</w:t>
      </w:r>
      <w:proofErr w:type="gramEnd"/>
      <w:r w:rsidRPr="00BE00D4">
        <w:rPr>
          <w:lang w:val="fr-FR"/>
        </w:rPr>
        <w:t xml:space="preserve"> dans les parties 1, 3, 4, 5 et 7 sont appliqués ; et</w:t>
      </w:r>
    </w:p>
    <w:p w:rsidR="00124E6E" w:rsidRPr="00BE00D4" w:rsidRDefault="00124E6E" w:rsidP="00124E6E">
      <w:pPr>
        <w:pStyle w:val="Bullet2G"/>
        <w:numPr>
          <w:ilvl w:val="0"/>
          <w:numId w:val="33"/>
        </w:numPr>
        <w:tabs>
          <w:tab w:val="clear" w:pos="2438"/>
        </w:tabs>
        <w:ind w:left="3402" w:firstLine="0"/>
      </w:pPr>
      <w:r w:rsidRPr="00BE00D4">
        <w:rPr>
          <w:lang w:val="fr-FR"/>
        </w:rPr>
        <w:t>L’emballage n’a pas été fabriqué ou modifié après le 31 décembre 2025. ».</w:t>
      </w:r>
    </w:p>
    <w:p w:rsidR="00124E6E" w:rsidRPr="00BE00D4" w:rsidRDefault="00FE3F4F" w:rsidP="00A23C89">
      <w:pPr>
        <w:pStyle w:val="SingleTxtG"/>
        <w:tabs>
          <w:tab w:val="left" w:pos="2268"/>
        </w:tabs>
        <w:ind w:left="2259" w:hanging="1125"/>
        <w:rPr>
          <w:szCs w:val="24"/>
        </w:rPr>
      </w:pPr>
      <w:r>
        <w:rPr>
          <w:szCs w:val="24"/>
          <w:lang w:val="fr-FR"/>
        </w:rPr>
        <w:tab/>
      </w:r>
      <w:r w:rsidR="00124E6E" w:rsidRPr="00BE00D4">
        <w:rPr>
          <w:szCs w:val="24"/>
          <w:lang w:val="fr-FR"/>
        </w:rPr>
        <w:t xml:space="preserve">Modifier le titre </w:t>
      </w:r>
      <w:r w:rsidR="00124E6E">
        <w:rPr>
          <w:szCs w:val="24"/>
          <w:lang w:val="fr-FR"/>
        </w:rPr>
        <w:t>du 1.6.6.2</w:t>
      </w:r>
      <w:r w:rsidR="00124E6E" w:rsidRPr="00BE00D4">
        <w:rPr>
          <w:szCs w:val="24"/>
          <w:lang w:val="fr-FR"/>
        </w:rPr>
        <w:t xml:space="preserve"> pour lire : </w:t>
      </w:r>
      <w:r w:rsidR="00124E6E" w:rsidRPr="00B926A4">
        <w:rPr>
          <w:szCs w:val="24"/>
          <w:lang w:val="fr-FR"/>
        </w:rPr>
        <w:t>« Modèles de colis agréés par l’autorité compétente en vertu des éditions de 1985, de 1985 (telle que modifiée en 1990), de 1996, de 1996 (révisée), de 1996 (telle que modifiée en 2003), de 2005 et de 2009 du n</w:t>
      </w:r>
      <w:r w:rsidR="00124E6E" w:rsidRPr="00B926A4">
        <w:rPr>
          <w:szCs w:val="24"/>
          <w:vertAlign w:val="superscript"/>
          <w:lang w:val="fr-FR"/>
        </w:rPr>
        <w:t>o</w:t>
      </w:r>
      <w:r w:rsidR="00124E6E" w:rsidRPr="00B926A4">
        <w:rPr>
          <w:szCs w:val="24"/>
          <w:lang w:val="fr-FR"/>
        </w:rPr>
        <w:t> 6 de la Collection Sécurité de l’AIEA, et de l’édition 2012 du n</w:t>
      </w:r>
      <w:r w:rsidR="00124E6E" w:rsidRPr="00B926A4">
        <w:rPr>
          <w:szCs w:val="24"/>
          <w:vertAlign w:val="superscript"/>
          <w:lang w:val="fr-FR"/>
        </w:rPr>
        <w:t>o</w:t>
      </w:r>
      <w:r w:rsidR="00124E6E" w:rsidRPr="00B926A4">
        <w:rPr>
          <w:szCs w:val="24"/>
          <w:lang w:val="fr-FR"/>
        </w:rPr>
        <w:t> SSR-6 de la collection Normes de sûreté de l’AIEA</w:t>
      </w:r>
      <w:r w:rsidR="00124E6E" w:rsidRPr="00BE00D4">
        <w:rPr>
          <w:szCs w:val="24"/>
          <w:lang w:val="fr-FR"/>
        </w:rPr>
        <w:t> ».</w:t>
      </w:r>
    </w:p>
    <w:p w:rsidR="00124E6E" w:rsidRPr="00BE00D4" w:rsidRDefault="00124E6E" w:rsidP="00A23C89">
      <w:pPr>
        <w:pStyle w:val="SingleTxtG"/>
        <w:tabs>
          <w:tab w:val="left" w:pos="2268"/>
        </w:tabs>
        <w:ind w:left="2259" w:hanging="1125"/>
        <w:rPr>
          <w:szCs w:val="24"/>
        </w:rPr>
      </w:pPr>
      <w:r>
        <w:rPr>
          <w:szCs w:val="24"/>
          <w:lang w:val="fr-FR"/>
        </w:rPr>
        <w:t>1.6.6.2.1</w:t>
      </w:r>
      <w:r w:rsidRPr="00BE00D4">
        <w:rPr>
          <w:szCs w:val="24"/>
          <w:lang w:val="fr-FR"/>
        </w:rPr>
        <w:tab/>
        <w:t>Modifier pour lire comme suit :</w:t>
      </w:r>
    </w:p>
    <w:p w:rsidR="00124E6E" w:rsidRPr="00BE00D4" w:rsidRDefault="00124E6E" w:rsidP="00A23C89">
      <w:pPr>
        <w:pStyle w:val="SingleTxtG"/>
        <w:tabs>
          <w:tab w:val="left" w:pos="2268"/>
        </w:tabs>
        <w:ind w:left="2259" w:hanging="1125"/>
        <w:rPr>
          <w:szCs w:val="24"/>
        </w:rPr>
      </w:pPr>
      <w:r w:rsidRPr="00BE00D4">
        <w:rPr>
          <w:szCs w:val="24"/>
          <w:lang w:val="fr-FR"/>
        </w:rPr>
        <w:t>« </w:t>
      </w:r>
      <w:r w:rsidR="00B926A4">
        <w:rPr>
          <w:szCs w:val="24"/>
          <w:lang w:val="fr-FR"/>
        </w:rPr>
        <w:t>1.6.6.2.1</w:t>
      </w:r>
      <w:r w:rsidR="00B926A4">
        <w:rPr>
          <w:szCs w:val="24"/>
          <w:lang w:val="fr-FR"/>
        </w:rPr>
        <w:tab/>
      </w:r>
      <w:r w:rsidRPr="00BE00D4">
        <w:rPr>
          <w:szCs w:val="24"/>
          <w:lang w:val="fr-FR"/>
        </w:rPr>
        <w:t>Les colis dont le modèle doit être agréé par l’autorité compétente doivent satisfaire intégralement aux prescriptions</w:t>
      </w:r>
      <w:r>
        <w:rPr>
          <w:szCs w:val="24"/>
          <w:lang w:val="fr-FR"/>
        </w:rPr>
        <w:t xml:space="preserve"> du RID/de l’ADR/de l’ADN</w:t>
      </w:r>
      <w:r w:rsidRPr="00BE00D4">
        <w:rPr>
          <w:szCs w:val="24"/>
          <w:lang w:val="fr-FR"/>
        </w:rPr>
        <w:t xml:space="preserve">, mais : </w:t>
      </w:r>
    </w:p>
    <w:p w:rsidR="00124E6E" w:rsidRPr="00BE00D4" w:rsidRDefault="00124E6E" w:rsidP="00A23C89">
      <w:pPr>
        <w:pStyle w:val="SingleTxtG"/>
        <w:tabs>
          <w:tab w:val="left" w:pos="2835"/>
        </w:tabs>
        <w:ind w:left="2835" w:hanging="567"/>
        <w:rPr>
          <w:szCs w:val="24"/>
        </w:rPr>
      </w:pPr>
      <w:r w:rsidRPr="00BE00D4">
        <w:rPr>
          <w:szCs w:val="24"/>
          <w:lang w:val="fr-FR"/>
        </w:rPr>
        <w:t>a)</w:t>
      </w:r>
      <w:r w:rsidRPr="00BE00D4">
        <w:rPr>
          <w:szCs w:val="24"/>
          <w:lang w:val="fr-FR"/>
        </w:rPr>
        <w:tab/>
        <w:t>Les emballages qui ont été fabriqués suivant un modèle de colis agréé par l’autorité compétente en vertu des dispositions de l’édition de 1985 ou de l’édition de 1985 (telle que modifiée en 1990) des Règlements de l’AIEA peuvent encore être utilisés à condition que toutes les conditions suivantes sont réunies :</w:t>
      </w:r>
    </w:p>
    <w:p w:rsidR="00124E6E" w:rsidRPr="00BE00D4" w:rsidRDefault="00124E6E" w:rsidP="00124E6E">
      <w:pPr>
        <w:pStyle w:val="SingleTxtG"/>
        <w:tabs>
          <w:tab w:val="left" w:pos="2268"/>
        </w:tabs>
        <w:ind w:left="3402" w:hanging="567"/>
        <w:rPr>
          <w:szCs w:val="24"/>
        </w:rPr>
      </w:pPr>
      <w:r w:rsidRPr="00BE00D4">
        <w:rPr>
          <w:szCs w:val="24"/>
          <w:lang w:val="fr-FR"/>
        </w:rPr>
        <w:t>i)</w:t>
      </w:r>
      <w:r w:rsidRPr="00BE00D4">
        <w:rPr>
          <w:szCs w:val="24"/>
          <w:lang w:val="fr-FR"/>
        </w:rPr>
        <w:tab/>
        <w:t>Le modèle de colis est soumis à un agrément multilatéral ;</w:t>
      </w:r>
    </w:p>
    <w:p w:rsidR="00124E6E" w:rsidRPr="00BE00D4" w:rsidRDefault="00124E6E" w:rsidP="00124E6E">
      <w:pPr>
        <w:pStyle w:val="SingleTxtG"/>
        <w:tabs>
          <w:tab w:val="left" w:pos="2268"/>
        </w:tabs>
        <w:ind w:left="3402" w:hanging="567"/>
        <w:rPr>
          <w:szCs w:val="24"/>
        </w:rPr>
      </w:pPr>
      <w:r w:rsidRPr="00BE00D4">
        <w:rPr>
          <w:szCs w:val="24"/>
          <w:lang w:val="fr-FR"/>
        </w:rPr>
        <w:t>ii)</w:t>
      </w:r>
      <w:r w:rsidRPr="00BE00D4">
        <w:rPr>
          <w:szCs w:val="24"/>
          <w:lang w:val="fr-FR"/>
        </w:rPr>
        <w:tab/>
        <w:t xml:space="preserve">Les prescriptions applicables énoncées au </w:t>
      </w:r>
      <w:r>
        <w:rPr>
          <w:szCs w:val="24"/>
          <w:lang w:val="fr-FR"/>
        </w:rPr>
        <w:t>1.7.3</w:t>
      </w:r>
      <w:r w:rsidDel="00D0266F">
        <w:rPr>
          <w:szCs w:val="24"/>
          <w:lang w:val="fr-FR"/>
        </w:rPr>
        <w:t xml:space="preserve"> </w:t>
      </w:r>
      <w:r w:rsidRPr="00BE00D4">
        <w:rPr>
          <w:szCs w:val="24"/>
          <w:lang w:val="fr-FR"/>
        </w:rPr>
        <w:t>sont appliquées ;</w:t>
      </w:r>
    </w:p>
    <w:p w:rsidR="00124E6E" w:rsidRPr="00BE00D4" w:rsidRDefault="00124E6E" w:rsidP="00124E6E">
      <w:pPr>
        <w:pStyle w:val="SingleTxtG"/>
        <w:tabs>
          <w:tab w:val="left" w:pos="2268"/>
        </w:tabs>
        <w:ind w:left="3402" w:hanging="567"/>
        <w:rPr>
          <w:szCs w:val="24"/>
        </w:rPr>
      </w:pPr>
      <w:r w:rsidRPr="00BE00D4">
        <w:rPr>
          <w:szCs w:val="24"/>
          <w:lang w:val="fr-FR"/>
        </w:rPr>
        <w:t>iii)</w:t>
      </w:r>
      <w:r w:rsidRPr="00BE00D4">
        <w:rPr>
          <w:szCs w:val="24"/>
          <w:lang w:val="fr-FR"/>
        </w:rPr>
        <w:tab/>
        <w:t xml:space="preserve">Les limites d’activité et la classification énoncées </w:t>
      </w:r>
      <w:r>
        <w:rPr>
          <w:szCs w:val="24"/>
          <w:lang w:val="fr-FR"/>
        </w:rPr>
        <w:t>au 2.2.7</w:t>
      </w:r>
      <w:r w:rsidDel="00F90DEB">
        <w:rPr>
          <w:szCs w:val="24"/>
          <w:lang w:val="fr-FR"/>
        </w:rPr>
        <w:t xml:space="preserve"> </w:t>
      </w:r>
      <w:r w:rsidRPr="00BE00D4">
        <w:rPr>
          <w:szCs w:val="24"/>
          <w:lang w:val="fr-FR"/>
        </w:rPr>
        <w:t>sont appliquées ;</w:t>
      </w:r>
    </w:p>
    <w:p w:rsidR="00124E6E" w:rsidRPr="00BE00D4" w:rsidRDefault="00124E6E" w:rsidP="00124E6E">
      <w:pPr>
        <w:pStyle w:val="SingleTxtG"/>
        <w:tabs>
          <w:tab w:val="left" w:pos="2268"/>
        </w:tabs>
        <w:ind w:left="3402" w:hanging="567"/>
        <w:rPr>
          <w:szCs w:val="24"/>
        </w:rPr>
      </w:pPr>
      <w:r w:rsidRPr="00BE00D4">
        <w:rPr>
          <w:szCs w:val="24"/>
          <w:lang w:val="fr-FR"/>
        </w:rPr>
        <w:lastRenderedPageBreak/>
        <w:t>iv)</w:t>
      </w:r>
      <w:r w:rsidRPr="00BE00D4">
        <w:rPr>
          <w:szCs w:val="24"/>
          <w:lang w:val="fr-FR"/>
        </w:rPr>
        <w:tab/>
        <w:t>Les prescriptions et les contrôles pour le transport</w:t>
      </w:r>
      <w:r>
        <w:rPr>
          <w:szCs w:val="24"/>
          <w:lang w:val="fr-FR"/>
        </w:rPr>
        <w:t>,</w:t>
      </w:r>
      <w:r w:rsidRPr="00BE00D4">
        <w:rPr>
          <w:szCs w:val="24"/>
          <w:lang w:val="fr-FR"/>
        </w:rPr>
        <w:t xml:space="preserve"> énoncés dans les parties 1, 3, 4, 5 et 7</w:t>
      </w:r>
      <w:r>
        <w:rPr>
          <w:szCs w:val="24"/>
          <w:lang w:val="fr-FR"/>
        </w:rPr>
        <w:t>,</w:t>
      </w:r>
      <w:r w:rsidRPr="00BE00D4">
        <w:rPr>
          <w:szCs w:val="24"/>
          <w:lang w:val="fr-FR"/>
        </w:rPr>
        <w:t xml:space="preserve"> sont appliqués ; et</w:t>
      </w:r>
    </w:p>
    <w:p w:rsidR="00124E6E" w:rsidRPr="00BE00D4" w:rsidRDefault="00124E6E" w:rsidP="00124E6E">
      <w:pPr>
        <w:pStyle w:val="SingleTxtG"/>
        <w:tabs>
          <w:tab w:val="left" w:pos="2268"/>
        </w:tabs>
        <w:ind w:left="3402" w:hanging="567"/>
        <w:rPr>
          <w:szCs w:val="24"/>
        </w:rPr>
      </w:pPr>
      <w:r w:rsidRPr="00BE00D4">
        <w:rPr>
          <w:szCs w:val="24"/>
          <w:lang w:val="fr-FR"/>
        </w:rPr>
        <w:t>v)</w:t>
      </w:r>
      <w:r w:rsidRPr="00BE00D4">
        <w:rPr>
          <w:szCs w:val="24"/>
          <w:lang w:val="fr-FR"/>
        </w:rPr>
        <w:tab/>
      </w:r>
      <w:r w:rsidRPr="00AB7C1B">
        <w:rPr>
          <w:i/>
          <w:iCs/>
          <w:szCs w:val="24"/>
          <w:lang w:val="fr-FR"/>
        </w:rPr>
        <w:t>(Réservé)</w:t>
      </w:r>
      <w:r w:rsidRPr="00BE00D4">
        <w:rPr>
          <w:szCs w:val="24"/>
          <w:lang w:val="fr-FR"/>
        </w:rPr>
        <w:t> ;</w:t>
      </w:r>
    </w:p>
    <w:p w:rsidR="00124E6E" w:rsidRPr="00BE00D4" w:rsidRDefault="00124E6E" w:rsidP="00B926A4">
      <w:pPr>
        <w:pStyle w:val="SingleTxtG"/>
        <w:tabs>
          <w:tab w:val="left" w:pos="2835"/>
        </w:tabs>
        <w:ind w:left="2835" w:hanging="567"/>
        <w:rPr>
          <w:szCs w:val="24"/>
        </w:rPr>
      </w:pPr>
      <w:r w:rsidRPr="00BE00D4">
        <w:rPr>
          <w:szCs w:val="24"/>
          <w:lang w:val="fr-FR"/>
        </w:rPr>
        <w:t>b)</w:t>
      </w:r>
      <w:r w:rsidRPr="00BE00D4">
        <w:rPr>
          <w:szCs w:val="24"/>
          <w:lang w:val="fr-FR"/>
        </w:rPr>
        <w:tab/>
        <w:t>Les emballages qui ont été fabriqués suivant un modèle de colis agréé par l’autorité compétente en vertu des dispositions des édition</w:t>
      </w:r>
      <w:r>
        <w:rPr>
          <w:szCs w:val="24"/>
          <w:lang w:val="fr-FR"/>
        </w:rPr>
        <w:t>s</w:t>
      </w:r>
      <w:r w:rsidRPr="00BE00D4">
        <w:rPr>
          <w:szCs w:val="24"/>
          <w:lang w:val="fr-FR"/>
        </w:rPr>
        <w:t xml:space="preserve"> de 1996, de 1996 (révisée), de 1996 (telle que modifiée en 2003), de 2005 et de 2009 du n</w:t>
      </w:r>
      <w:r w:rsidRPr="00BE00D4">
        <w:rPr>
          <w:szCs w:val="24"/>
          <w:vertAlign w:val="superscript"/>
          <w:lang w:val="fr-FR"/>
        </w:rPr>
        <w:t>o</w:t>
      </w:r>
      <w:r w:rsidRPr="00BE00D4">
        <w:rPr>
          <w:szCs w:val="24"/>
          <w:lang w:val="fr-FR"/>
        </w:rPr>
        <w:t xml:space="preserve"> 6 de la </w:t>
      </w:r>
      <w:r>
        <w:rPr>
          <w:szCs w:val="24"/>
          <w:lang w:val="fr-FR"/>
        </w:rPr>
        <w:t>C</w:t>
      </w:r>
      <w:r w:rsidRPr="00BE00D4">
        <w:rPr>
          <w:szCs w:val="24"/>
          <w:lang w:val="fr-FR"/>
        </w:rPr>
        <w:t>ollection Sécurité de l’AIEA, et de 2012 du n</w:t>
      </w:r>
      <w:r w:rsidRPr="00BE00D4">
        <w:rPr>
          <w:szCs w:val="24"/>
          <w:vertAlign w:val="superscript"/>
          <w:lang w:val="fr-FR"/>
        </w:rPr>
        <w:t>o</w:t>
      </w:r>
      <w:r w:rsidRPr="00BE00D4">
        <w:rPr>
          <w:szCs w:val="24"/>
          <w:lang w:val="fr-FR"/>
        </w:rPr>
        <w:t xml:space="preserve"> SSR-6 de la </w:t>
      </w:r>
      <w:r>
        <w:rPr>
          <w:szCs w:val="24"/>
          <w:lang w:val="fr-FR"/>
        </w:rPr>
        <w:t>C</w:t>
      </w:r>
      <w:r w:rsidRPr="00BE00D4">
        <w:rPr>
          <w:szCs w:val="24"/>
          <w:lang w:val="fr-FR"/>
        </w:rPr>
        <w:t>ollection Sécurité de l’AIEA, peuvent encore être utilisés à condition que toutes les conditions suivantes sont réunies :</w:t>
      </w:r>
    </w:p>
    <w:p w:rsidR="00124E6E" w:rsidRPr="00BE00D4" w:rsidRDefault="00124E6E" w:rsidP="00124E6E">
      <w:pPr>
        <w:pStyle w:val="SingleTxtG"/>
        <w:ind w:left="3402" w:hanging="567"/>
        <w:rPr>
          <w:szCs w:val="24"/>
        </w:rPr>
      </w:pPr>
      <w:r w:rsidRPr="00BE00D4">
        <w:rPr>
          <w:szCs w:val="24"/>
          <w:lang w:val="fr-FR"/>
        </w:rPr>
        <w:t>i)</w:t>
      </w:r>
      <w:r w:rsidRPr="00BE00D4">
        <w:rPr>
          <w:szCs w:val="24"/>
          <w:lang w:val="fr-FR"/>
        </w:rPr>
        <w:tab/>
        <w:t>Le modèle de colis est soumis à un agrément multilatéral après le 31 décembre 2025 ;</w:t>
      </w:r>
    </w:p>
    <w:p w:rsidR="00124E6E" w:rsidRPr="00BE00D4" w:rsidRDefault="00124E6E" w:rsidP="00124E6E">
      <w:pPr>
        <w:pStyle w:val="SingleTxtG"/>
        <w:ind w:left="3402" w:hanging="567"/>
        <w:rPr>
          <w:szCs w:val="24"/>
        </w:rPr>
      </w:pPr>
      <w:r w:rsidRPr="00BE00D4">
        <w:rPr>
          <w:szCs w:val="24"/>
          <w:lang w:val="fr-FR"/>
        </w:rPr>
        <w:t>ii)</w:t>
      </w:r>
      <w:r w:rsidRPr="00BE00D4">
        <w:rPr>
          <w:szCs w:val="24"/>
          <w:lang w:val="fr-FR"/>
        </w:rPr>
        <w:tab/>
        <w:t xml:space="preserve">Les prescriptions applicables énoncées au </w:t>
      </w:r>
      <w:r>
        <w:rPr>
          <w:szCs w:val="24"/>
          <w:lang w:val="fr-FR"/>
        </w:rPr>
        <w:t>1.7.3</w:t>
      </w:r>
      <w:r w:rsidDel="00692F26">
        <w:rPr>
          <w:szCs w:val="24"/>
          <w:lang w:val="fr-FR"/>
        </w:rPr>
        <w:t xml:space="preserve"> </w:t>
      </w:r>
      <w:r w:rsidRPr="00BE00D4">
        <w:rPr>
          <w:szCs w:val="24"/>
          <w:lang w:val="fr-FR"/>
        </w:rPr>
        <w:t>sont appliquées ;</w:t>
      </w:r>
    </w:p>
    <w:p w:rsidR="00124E6E" w:rsidRPr="00BE00D4" w:rsidRDefault="00124E6E" w:rsidP="00124E6E">
      <w:pPr>
        <w:pStyle w:val="SingleTxtG"/>
        <w:ind w:left="3402" w:hanging="567"/>
        <w:rPr>
          <w:szCs w:val="24"/>
        </w:rPr>
      </w:pPr>
      <w:r w:rsidRPr="00BE00D4">
        <w:rPr>
          <w:szCs w:val="24"/>
          <w:lang w:val="fr-FR"/>
        </w:rPr>
        <w:t>iii)</w:t>
      </w:r>
      <w:r w:rsidRPr="00BE00D4">
        <w:rPr>
          <w:szCs w:val="24"/>
          <w:lang w:val="fr-FR"/>
        </w:rPr>
        <w:tab/>
        <w:t xml:space="preserve">Les limites d’activité et les restrictions concernant les matières énoncées au </w:t>
      </w:r>
      <w:r>
        <w:rPr>
          <w:szCs w:val="24"/>
          <w:lang w:val="fr-FR"/>
        </w:rPr>
        <w:t>2.2.7</w:t>
      </w:r>
      <w:r w:rsidRPr="00BE00D4">
        <w:rPr>
          <w:szCs w:val="24"/>
          <w:lang w:val="fr-FR"/>
        </w:rPr>
        <w:t xml:space="preserve"> sont appliquées ; et</w:t>
      </w:r>
    </w:p>
    <w:p w:rsidR="00124E6E" w:rsidRPr="00BE00D4" w:rsidRDefault="00124E6E" w:rsidP="00124E6E">
      <w:pPr>
        <w:pStyle w:val="SingleTxtG"/>
        <w:ind w:left="3402" w:hanging="567"/>
        <w:rPr>
          <w:szCs w:val="24"/>
        </w:rPr>
      </w:pPr>
      <w:r w:rsidRPr="00BE00D4">
        <w:rPr>
          <w:szCs w:val="24"/>
          <w:lang w:val="fr-FR"/>
        </w:rPr>
        <w:t>iv)</w:t>
      </w:r>
      <w:r w:rsidRPr="00BE00D4">
        <w:rPr>
          <w:szCs w:val="24"/>
          <w:lang w:val="fr-FR"/>
        </w:rPr>
        <w:tab/>
        <w:t>Les prescriptions et les contrôles pour le transport, énoncés dans les parties 1, 3, 4, 5 et 7 sont appliqués. ».</w:t>
      </w:r>
    </w:p>
    <w:p w:rsidR="00124E6E" w:rsidRPr="00640C9E" w:rsidRDefault="00124E6E" w:rsidP="00A23C89">
      <w:pPr>
        <w:pStyle w:val="SingleTxtG"/>
        <w:tabs>
          <w:tab w:val="left" w:pos="2268"/>
        </w:tabs>
        <w:ind w:left="2259" w:hanging="1125"/>
        <w:rPr>
          <w:szCs w:val="24"/>
        </w:rPr>
      </w:pPr>
      <w:r>
        <w:rPr>
          <w:szCs w:val="24"/>
          <w:lang w:val="fr-FR"/>
        </w:rPr>
        <w:t>1.6.6.2.3</w:t>
      </w:r>
      <w:r>
        <w:rPr>
          <w:szCs w:val="24"/>
          <w:lang w:val="fr-FR"/>
        </w:rPr>
        <w:tab/>
      </w:r>
      <w:r w:rsidRPr="00640C9E">
        <w:rPr>
          <w:szCs w:val="24"/>
          <w:lang w:val="fr-FR"/>
        </w:rPr>
        <w:t>Ajout</w:t>
      </w:r>
      <w:r>
        <w:rPr>
          <w:szCs w:val="24"/>
          <w:lang w:val="fr-FR"/>
        </w:rPr>
        <w:t xml:space="preserve">er </w:t>
      </w:r>
      <w:r w:rsidRPr="00640C9E">
        <w:rPr>
          <w:szCs w:val="24"/>
          <w:lang w:val="fr-FR"/>
        </w:rPr>
        <w:t xml:space="preserve">un nouveau </w:t>
      </w:r>
      <w:r>
        <w:rPr>
          <w:szCs w:val="24"/>
          <w:lang w:val="fr-FR"/>
        </w:rPr>
        <w:t>paragraphe 1.6.6.2.3</w:t>
      </w:r>
      <w:r w:rsidRPr="00640C9E">
        <w:rPr>
          <w:szCs w:val="24"/>
          <w:lang w:val="fr-FR"/>
        </w:rPr>
        <w:t xml:space="preserve"> ainsi libellé</w:t>
      </w:r>
      <w:r>
        <w:rPr>
          <w:szCs w:val="24"/>
          <w:lang w:val="fr-FR"/>
        </w:rPr>
        <w:t> :</w:t>
      </w:r>
    </w:p>
    <w:p w:rsidR="00124E6E" w:rsidRPr="00640C9E" w:rsidRDefault="00124E6E" w:rsidP="00A23C89">
      <w:pPr>
        <w:pStyle w:val="SingleTxtG"/>
        <w:tabs>
          <w:tab w:val="left" w:pos="2268"/>
        </w:tabs>
        <w:ind w:left="2259" w:hanging="1125"/>
        <w:rPr>
          <w:szCs w:val="24"/>
        </w:rPr>
      </w:pPr>
      <w:r>
        <w:rPr>
          <w:szCs w:val="24"/>
          <w:lang w:val="fr-FR"/>
        </w:rPr>
        <w:t>« 1.6.6.2.3</w:t>
      </w:r>
      <w:r w:rsidRPr="00640C9E">
        <w:rPr>
          <w:szCs w:val="24"/>
          <w:lang w:val="fr-FR"/>
        </w:rPr>
        <w:tab/>
      </w:r>
      <w:r>
        <w:rPr>
          <w:szCs w:val="24"/>
          <w:lang w:val="fr-FR"/>
        </w:rPr>
        <w:t>Il n’est pas permis de commencer après le 31 décembre 2028 une</w:t>
      </w:r>
      <w:r w:rsidRPr="00640C9E">
        <w:rPr>
          <w:szCs w:val="24"/>
          <w:lang w:val="fr-FR"/>
        </w:rPr>
        <w:t xml:space="preserve"> nouvelle fabrication </w:t>
      </w:r>
      <w:r w:rsidRPr="00A97696">
        <w:rPr>
          <w:iCs/>
          <w:szCs w:val="24"/>
          <w:lang w:val="fr-FR"/>
        </w:rPr>
        <w:t>d’emballages</w:t>
      </w:r>
      <w:r w:rsidRPr="00640C9E">
        <w:rPr>
          <w:i/>
          <w:iCs/>
          <w:szCs w:val="24"/>
          <w:lang w:val="fr-FR"/>
        </w:rPr>
        <w:t xml:space="preserve"> </w:t>
      </w:r>
      <w:r w:rsidRPr="00640C9E">
        <w:rPr>
          <w:szCs w:val="24"/>
          <w:lang w:val="fr-FR"/>
        </w:rPr>
        <w:t xml:space="preserve">suivant </w:t>
      </w:r>
      <w:r w:rsidRPr="00124E6E">
        <w:rPr>
          <w:iCs/>
          <w:szCs w:val="24"/>
          <w:lang w:val="fr-FR"/>
        </w:rPr>
        <w:t>un modèle de colis</w:t>
      </w:r>
      <w:r w:rsidRPr="00640C9E">
        <w:rPr>
          <w:szCs w:val="24"/>
          <w:lang w:val="fr-FR"/>
        </w:rPr>
        <w:t xml:space="preserve"> satisfaisant aux dispositions des éditions de 1996, de 1996 (révisée), de 1996 (telle que modifiée en 2003), de 2005</w:t>
      </w:r>
      <w:r>
        <w:rPr>
          <w:szCs w:val="24"/>
          <w:lang w:val="fr-FR"/>
        </w:rPr>
        <w:t xml:space="preserve"> et</w:t>
      </w:r>
      <w:r w:rsidRPr="00640C9E">
        <w:rPr>
          <w:szCs w:val="24"/>
          <w:lang w:val="fr-FR"/>
        </w:rPr>
        <w:t xml:space="preserve"> de 2009 </w:t>
      </w:r>
      <w:r>
        <w:rPr>
          <w:szCs w:val="24"/>
          <w:lang w:val="fr-FR"/>
        </w:rPr>
        <w:t xml:space="preserve">du n° 6 de la Collection Sécurité de l’AIEA et de l’édition </w:t>
      </w:r>
      <w:r w:rsidRPr="00640C9E">
        <w:rPr>
          <w:szCs w:val="24"/>
          <w:lang w:val="fr-FR"/>
        </w:rPr>
        <w:t xml:space="preserve">2012 </w:t>
      </w:r>
      <w:r>
        <w:rPr>
          <w:szCs w:val="24"/>
          <w:lang w:val="fr-FR"/>
        </w:rPr>
        <w:t>du n° SSR-6 de la collection Normes de Sûreté de l’AIEA</w:t>
      </w:r>
      <w:r w:rsidRPr="00640C9E">
        <w:rPr>
          <w:szCs w:val="24"/>
          <w:lang w:val="fr-FR"/>
        </w:rPr>
        <w:t>.</w:t>
      </w:r>
      <w:r>
        <w:rPr>
          <w:szCs w:val="24"/>
          <w:lang w:val="fr-FR"/>
        </w:rPr>
        <w:t> »</w:t>
      </w:r>
      <w:r w:rsidRPr="00640C9E">
        <w:rPr>
          <w:szCs w:val="24"/>
          <w:lang w:val="fr-FR"/>
        </w:rPr>
        <w:t>.</w:t>
      </w:r>
    </w:p>
    <w:p w:rsidR="00124E6E" w:rsidRDefault="00124E6E" w:rsidP="00A23C89">
      <w:pPr>
        <w:pStyle w:val="SingleTxtG"/>
        <w:tabs>
          <w:tab w:val="left" w:pos="2268"/>
        </w:tabs>
        <w:ind w:left="2259" w:hanging="1125"/>
        <w:rPr>
          <w:szCs w:val="24"/>
          <w:lang w:val="fr-FR"/>
        </w:rPr>
      </w:pPr>
      <w:r>
        <w:rPr>
          <w:szCs w:val="24"/>
          <w:lang w:val="fr-FR"/>
        </w:rPr>
        <w:t>1.6.6.4</w:t>
      </w:r>
      <w:r w:rsidRPr="00640C9E">
        <w:rPr>
          <w:szCs w:val="24"/>
          <w:lang w:val="fr-FR"/>
        </w:rPr>
        <w:t xml:space="preserve"> </w:t>
      </w:r>
      <w:r>
        <w:rPr>
          <w:szCs w:val="24"/>
          <w:lang w:val="fr-FR"/>
        </w:rPr>
        <w:tab/>
        <w:t xml:space="preserve">Modifier le titre </w:t>
      </w:r>
      <w:r w:rsidRPr="00640C9E">
        <w:rPr>
          <w:szCs w:val="24"/>
          <w:lang w:val="fr-FR"/>
        </w:rPr>
        <w:t>pour lire</w:t>
      </w:r>
      <w:r>
        <w:rPr>
          <w:szCs w:val="24"/>
          <w:lang w:val="fr-FR"/>
        </w:rPr>
        <w:t> :</w:t>
      </w:r>
      <w:r w:rsidRPr="00640C9E">
        <w:rPr>
          <w:szCs w:val="24"/>
          <w:lang w:val="fr-FR"/>
        </w:rPr>
        <w:t xml:space="preserve"> </w:t>
      </w:r>
      <w:r>
        <w:rPr>
          <w:szCs w:val="24"/>
          <w:lang w:val="fr-FR"/>
        </w:rPr>
        <w:t>« </w:t>
      </w:r>
      <w:r w:rsidRPr="00B926A4">
        <w:rPr>
          <w:szCs w:val="24"/>
          <w:lang w:val="fr-FR"/>
        </w:rPr>
        <w:t>Matières radioactives sous forme spéciale agréées en vertu des éditions de 1985, de 1985 (telle que modifiée en 1990), de 1996, de 1996 (révisée), de 1996 (telle que modifiée en 2003), de 2005 et de 2009 du n</w:t>
      </w:r>
      <w:r w:rsidRPr="00B926A4">
        <w:rPr>
          <w:szCs w:val="24"/>
          <w:vertAlign w:val="superscript"/>
          <w:lang w:val="fr-FR"/>
        </w:rPr>
        <w:t>o</w:t>
      </w:r>
      <w:r w:rsidRPr="00B926A4">
        <w:rPr>
          <w:szCs w:val="24"/>
          <w:lang w:val="fr-FR"/>
        </w:rPr>
        <w:t xml:space="preserve"> 6 de la Collection Sécurité de l’AIEA, et de l’édition 2012 du n</w:t>
      </w:r>
      <w:r w:rsidRPr="00B926A4">
        <w:rPr>
          <w:szCs w:val="24"/>
          <w:vertAlign w:val="superscript"/>
          <w:lang w:val="fr-FR"/>
        </w:rPr>
        <w:t>o</w:t>
      </w:r>
      <w:r w:rsidRPr="00B926A4">
        <w:rPr>
          <w:szCs w:val="24"/>
          <w:lang w:val="fr-FR"/>
        </w:rPr>
        <w:t xml:space="preserve"> SSR-6 de la collection Normes de sûreté de l’AIEA</w:t>
      </w:r>
      <w:r>
        <w:rPr>
          <w:szCs w:val="24"/>
          <w:lang w:val="fr-FR"/>
        </w:rPr>
        <w:t> »</w:t>
      </w:r>
      <w:r w:rsidRPr="00640C9E">
        <w:rPr>
          <w:szCs w:val="24"/>
          <w:lang w:val="fr-FR"/>
        </w:rPr>
        <w:t>.</w:t>
      </w:r>
    </w:p>
    <w:p w:rsidR="00124E6E" w:rsidRPr="00640C9E" w:rsidRDefault="00124E6E" w:rsidP="00A23C89">
      <w:pPr>
        <w:pStyle w:val="SingleTxtG"/>
        <w:tabs>
          <w:tab w:val="left" w:pos="2268"/>
        </w:tabs>
        <w:ind w:left="2259" w:hanging="1125"/>
        <w:rPr>
          <w:szCs w:val="24"/>
        </w:rPr>
      </w:pPr>
      <w:r>
        <w:rPr>
          <w:szCs w:val="24"/>
          <w:lang w:val="fr-FR"/>
        </w:rPr>
        <w:t>1.6.6.4</w:t>
      </w:r>
      <w:r w:rsidRPr="00640C9E">
        <w:rPr>
          <w:szCs w:val="24"/>
          <w:lang w:val="fr-FR"/>
        </w:rPr>
        <w:tab/>
        <w:t xml:space="preserve">Modifier </w:t>
      </w:r>
      <w:r>
        <w:rPr>
          <w:szCs w:val="24"/>
          <w:lang w:val="fr-FR"/>
        </w:rPr>
        <w:t xml:space="preserve">le texte sous le titre </w:t>
      </w:r>
      <w:r w:rsidRPr="00640C9E">
        <w:rPr>
          <w:szCs w:val="24"/>
          <w:lang w:val="fr-FR"/>
        </w:rPr>
        <w:t>pour lire comme suit</w:t>
      </w:r>
      <w:r>
        <w:rPr>
          <w:szCs w:val="24"/>
          <w:lang w:val="fr-FR"/>
        </w:rPr>
        <w:t> :</w:t>
      </w:r>
    </w:p>
    <w:p w:rsidR="00124E6E" w:rsidRPr="00640C9E" w:rsidRDefault="00B926A4" w:rsidP="00A23C89">
      <w:pPr>
        <w:pStyle w:val="SingleTxtG"/>
        <w:tabs>
          <w:tab w:val="left" w:pos="2268"/>
        </w:tabs>
        <w:ind w:left="2259" w:hanging="1125"/>
        <w:rPr>
          <w:szCs w:val="24"/>
        </w:rPr>
      </w:pPr>
      <w:r>
        <w:rPr>
          <w:szCs w:val="24"/>
          <w:lang w:val="fr-FR"/>
        </w:rPr>
        <w:tab/>
      </w:r>
      <w:r w:rsidR="00124E6E">
        <w:rPr>
          <w:szCs w:val="24"/>
          <w:lang w:val="fr-FR"/>
        </w:rPr>
        <w:t>« </w:t>
      </w:r>
      <w:r w:rsidR="00124E6E" w:rsidRPr="00640C9E">
        <w:rPr>
          <w:szCs w:val="24"/>
          <w:lang w:val="fr-FR"/>
        </w:rPr>
        <w:t>Les matières radioactives sous forme spéciale fabriquées suivant un modèle qui a reçu l</w:t>
      </w:r>
      <w:r w:rsidR="00124E6E">
        <w:rPr>
          <w:szCs w:val="24"/>
          <w:lang w:val="fr-FR"/>
        </w:rPr>
        <w:t>’</w:t>
      </w:r>
      <w:r w:rsidR="00124E6E" w:rsidRPr="00640C9E">
        <w:rPr>
          <w:szCs w:val="24"/>
          <w:lang w:val="fr-FR"/>
        </w:rPr>
        <w:t xml:space="preserve">agrément unilatéral </w:t>
      </w:r>
      <w:r w:rsidR="00124E6E">
        <w:rPr>
          <w:szCs w:val="24"/>
          <w:lang w:val="fr-FR"/>
        </w:rPr>
        <w:t>de l’</w:t>
      </w:r>
      <w:r w:rsidR="00124E6E" w:rsidRPr="00640C9E">
        <w:rPr>
          <w:szCs w:val="24"/>
          <w:lang w:val="fr-FR"/>
        </w:rPr>
        <w:t>autorité compétente en vertu des éditions de 1985, de 1985 (telle que modifiée en 1990), de 1996, de 1996 (révisée), de 1996 (telle que modifiée en 2003), de 2005</w:t>
      </w:r>
      <w:r w:rsidR="00124E6E">
        <w:rPr>
          <w:szCs w:val="24"/>
          <w:lang w:val="fr-FR"/>
        </w:rPr>
        <w:t xml:space="preserve"> et </w:t>
      </w:r>
      <w:r w:rsidR="00124E6E" w:rsidRPr="00640C9E">
        <w:rPr>
          <w:szCs w:val="24"/>
          <w:lang w:val="fr-FR"/>
        </w:rPr>
        <w:t>de 2009 du n</w:t>
      </w:r>
      <w:r w:rsidR="00124E6E" w:rsidRPr="00640C9E">
        <w:rPr>
          <w:szCs w:val="24"/>
          <w:vertAlign w:val="superscript"/>
          <w:lang w:val="fr-FR"/>
        </w:rPr>
        <w:t>o</w:t>
      </w:r>
      <w:r w:rsidR="00124E6E" w:rsidRPr="00640C9E">
        <w:rPr>
          <w:szCs w:val="24"/>
          <w:lang w:val="fr-FR"/>
        </w:rPr>
        <w:t xml:space="preserve"> 6 de la </w:t>
      </w:r>
      <w:r w:rsidR="00124E6E">
        <w:rPr>
          <w:szCs w:val="24"/>
          <w:lang w:val="fr-FR"/>
        </w:rPr>
        <w:t>C</w:t>
      </w:r>
      <w:r w:rsidR="00124E6E" w:rsidRPr="00640C9E">
        <w:rPr>
          <w:szCs w:val="24"/>
          <w:lang w:val="fr-FR"/>
        </w:rPr>
        <w:t>ollection Sécurité de l</w:t>
      </w:r>
      <w:r w:rsidR="00124E6E">
        <w:rPr>
          <w:szCs w:val="24"/>
          <w:lang w:val="fr-FR"/>
        </w:rPr>
        <w:t>’</w:t>
      </w:r>
      <w:r w:rsidR="00124E6E" w:rsidRPr="00640C9E">
        <w:rPr>
          <w:szCs w:val="24"/>
          <w:lang w:val="fr-FR"/>
        </w:rPr>
        <w:t>AIEA, et de 2012</w:t>
      </w:r>
      <w:r w:rsidR="00124E6E" w:rsidRPr="001E7615">
        <w:rPr>
          <w:szCs w:val="24"/>
          <w:lang w:val="fr-FR"/>
        </w:rPr>
        <w:t xml:space="preserve"> </w:t>
      </w:r>
      <w:r w:rsidR="00124E6E" w:rsidRPr="00640C9E">
        <w:rPr>
          <w:szCs w:val="24"/>
          <w:lang w:val="fr-FR"/>
        </w:rPr>
        <w:t>du n</w:t>
      </w:r>
      <w:r w:rsidR="00124E6E" w:rsidRPr="00640C9E">
        <w:rPr>
          <w:szCs w:val="24"/>
          <w:vertAlign w:val="superscript"/>
          <w:lang w:val="fr-FR"/>
        </w:rPr>
        <w:t>o</w:t>
      </w:r>
      <w:r w:rsidR="00124E6E" w:rsidRPr="00640C9E">
        <w:rPr>
          <w:szCs w:val="24"/>
          <w:lang w:val="fr-FR"/>
        </w:rPr>
        <w:t xml:space="preserve"> </w:t>
      </w:r>
      <w:r w:rsidR="00124E6E">
        <w:rPr>
          <w:szCs w:val="24"/>
          <w:lang w:val="fr-FR"/>
        </w:rPr>
        <w:t>SSR-6</w:t>
      </w:r>
      <w:r w:rsidR="00124E6E" w:rsidRPr="00640C9E">
        <w:rPr>
          <w:szCs w:val="24"/>
          <w:lang w:val="fr-FR"/>
        </w:rPr>
        <w:t xml:space="preserve"> de la </w:t>
      </w:r>
      <w:r w:rsidR="00124E6E">
        <w:rPr>
          <w:szCs w:val="24"/>
          <w:lang w:val="fr-FR"/>
        </w:rPr>
        <w:t>C</w:t>
      </w:r>
      <w:r w:rsidR="00124E6E" w:rsidRPr="00640C9E">
        <w:rPr>
          <w:szCs w:val="24"/>
          <w:lang w:val="fr-FR"/>
        </w:rPr>
        <w:t>ollection Sécurité de l</w:t>
      </w:r>
      <w:r w:rsidR="00124E6E">
        <w:rPr>
          <w:szCs w:val="24"/>
          <w:lang w:val="fr-FR"/>
        </w:rPr>
        <w:t>’</w:t>
      </w:r>
      <w:r w:rsidR="00124E6E" w:rsidRPr="00640C9E">
        <w:rPr>
          <w:szCs w:val="24"/>
          <w:lang w:val="fr-FR"/>
        </w:rPr>
        <w:t>AIEA,  peuvent continuer d</w:t>
      </w:r>
      <w:r w:rsidR="00124E6E">
        <w:rPr>
          <w:szCs w:val="24"/>
          <w:lang w:val="fr-FR"/>
        </w:rPr>
        <w:t>’</w:t>
      </w:r>
      <w:r w:rsidR="00124E6E" w:rsidRPr="00640C9E">
        <w:rPr>
          <w:szCs w:val="24"/>
          <w:lang w:val="fr-FR"/>
        </w:rPr>
        <w:t>être utilisées si elles satisfont au système de management obligatoire conformément aux prescriptions applicables énoncées au 1.</w:t>
      </w:r>
      <w:r w:rsidR="00124E6E">
        <w:rPr>
          <w:szCs w:val="24"/>
          <w:lang w:val="fr-FR"/>
        </w:rPr>
        <w:t>7</w:t>
      </w:r>
      <w:r w:rsidR="00124E6E" w:rsidRPr="00640C9E">
        <w:rPr>
          <w:szCs w:val="24"/>
          <w:lang w:val="fr-FR"/>
        </w:rPr>
        <w:t>.3. Aucune matière radioactive sous forme spéciale fabriquée suivant un modèle qui a reçu l</w:t>
      </w:r>
      <w:r w:rsidR="00124E6E">
        <w:rPr>
          <w:szCs w:val="24"/>
          <w:lang w:val="fr-FR"/>
        </w:rPr>
        <w:t>’</w:t>
      </w:r>
      <w:r w:rsidR="00124E6E" w:rsidRPr="00640C9E">
        <w:rPr>
          <w:szCs w:val="24"/>
          <w:lang w:val="fr-FR"/>
        </w:rPr>
        <w:t xml:space="preserve">agrément unilatéral </w:t>
      </w:r>
      <w:r w:rsidR="00124E6E">
        <w:rPr>
          <w:szCs w:val="24"/>
          <w:lang w:val="fr-FR"/>
        </w:rPr>
        <w:t>de l’</w:t>
      </w:r>
      <w:r w:rsidR="00124E6E" w:rsidRPr="00640C9E">
        <w:rPr>
          <w:szCs w:val="24"/>
          <w:lang w:val="fr-FR"/>
        </w:rPr>
        <w:t xml:space="preserve">autorité compétente en vertu des éditions de 1985 ou de 1985 (telle que modifiée en 1990) de ces Règlements ne doit être fabriquée. </w:t>
      </w:r>
      <w:r w:rsidR="00124E6E">
        <w:rPr>
          <w:szCs w:val="24"/>
          <w:lang w:val="fr-FR"/>
        </w:rPr>
        <w:t>Il n’est pas permis de commencer après le 31 décembre 2025 une</w:t>
      </w:r>
      <w:r w:rsidR="00124E6E" w:rsidRPr="00640C9E">
        <w:rPr>
          <w:szCs w:val="24"/>
          <w:lang w:val="fr-FR"/>
        </w:rPr>
        <w:t xml:space="preserve"> nouvelle fabrication de matière</w:t>
      </w:r>
      <w:r w:rsidR="00124E6E">
        <w:rPr>
          <w:szCs w:val="24"/>
          <w:lang w:val="fr-FR"/>
        </w:rPr>
        <w:t>s</w:t>
      </w:r>
      <w:r w:rsidR="00124E6E" w:rsidRPr="00640C9E">
        <w:rPr>
          <w:szCs w:val="24"/>
          <w:lang w:val="fr-FR"/>
        </w:rPr>
        <w:t xml:space="preserve"> radioactive</w:t>
      </w:r>
      <w:r w:rsidR="00124E6E">
        <w:rPr>
          <w:szCs w:val="24"/>
          <w:lang w:val="fr-FR"/>
        </w:rPr>
        <w:t>s</w:t>
      </w:r>
      <w:r w:rsidR="00124E6E" w:rsidRPr="00640C9E">
        <w:rPr>
          <w:szCs w:val="24"/>
          <w:lang w:val="fr-FR"/>
        </w:rPr>
        <w:t xml:space="preserve"> sous forme spéciale suivant un modèle </w:t>
      </w:r>
      <w:r w:rsidR="00124E6E">
        <w:rPr>
          <w:szCs w:val="24"/>
          <w:lang w:val="fr-FR"/>
        </w:rPr>
        <w:t>ayant</w:t>
      </w:r>
      <w:r w:rsidR="00124E6E" w:rsidRPr="00640C9E">
        <w:rPr>
          <w:szCs w:val="24"/>
          <w:lang w:val="fr-FR"/>
        </w:rPr>
        <w:t xml:space="preserve"> reçu </w:t>
      </w:r>
      <w:r w:rsidR="00124E6E">
        <w:rPr>
          <w:szCs w:val="24"/>
          <w:lang w:val="fr-FR"/>
        </w:rPr>
        <w:t xml:space="preserve">un </w:t>
      </w:r>
      <w:r w:rsidR="00124E6E" w:rsidRPr="00640C9E">
        <w:rPr>
          <w:szCs w:val="24"/>
          <w:lang w:val="fr-FR"/>
        </w:rPr>
        <w:t xml:space="preserve">agrément unilatéral </w:t>
      </w:r>
      <w:r w:rsidR="00124E6E">
        <w:rPr>
          <w:szCs w:val="24"/>
          <w:lang w:val="fr-FR"/>
        </w:rPr>
        <w:t>de l’</w:t>
      </w:r>
      <w:r w:rsidR="00124E6E" w:rsidRPr="00640C9E">
        <w:rPr>
          <w:szCs w:val="24"/>
          <w:lang w:val="fr-FR"/>
        </w:rPr>
        <w:t>autorité compétente en vertu des éditions de 1996, de 1996 (révisée), de 1996 (telle que modifiée en 2003), de 2005</w:t>
      </w:r>
      <w:r w:rsidR="00124E6E">
        <w:rPr>
          <w:szCs w:val="24"/>
          <w:lang w:val="fr-FR"/>
        </w:rPr>
        <w:t xml:space="preserve"> et</w:t>
      </w:r>
      <w:r w:rsidR="00124E6E" w:rsidRPr="00640C9E">
        <w:rPr>
          <w:szCs w:val="24"/>
          <w:lang w:val="fr-FR"/>
        </w:rPr>
        <w:t xml:space="preserve"> de 2009 du n</w:t>
      </w:r>
      <w:r w:rsidR="00124E6E" w:rsidRPr="00640C9E">
        <w:rPr>
          <w:szCs w:val="24"/>
          <w:vertAlign w:val="superscript"/>
          <w:lang w:val="fr-FR"/>
        </w:rPr>
        <w:t>o</w:t>
      </w:r>
      <w:r w:rsidR="00124E6E" w:rsidRPr="00640C9E">
        <w:rPr>
          <w:szCs w:val="24"/>
          <w:lang w:val="fr-FR"/>
        </w:rPr>
        <w:t xml:space="preserve"> 6 de la </w:t>
      </w:r>
      <w:r w:rsidR="00124E6E">
        <w:rPr>
          <w:szCs w:val="24"/>
          <w:lang w:val="fr-FR"/>
        </w:rPr>
        <w:t>C</w:t>
      </w:r>
      <w:r w:rsidR="00124E6E" w:rsidRPr="00640C9E">
        <w:rPr>
          <w:szCs w:val="24"/>
          <w:lang w:val="fr-FR"/>
        </w:rPr>
        <w:t>ollection Sécurité de l</w:t>
      </w:r>
      <w:r w:rsidR="00124E6E">
        <w:rPr>
          <w:szCs w:val="24"/>
          <w:lang w:val="fr-FR"/>
        </w:rPr>
        <w:t>’</w:t>
      </w:r>
      <w:r w:rsidR="00124E6E" w:rsidRPr="00640C9E">
        <w:rPr>
          <w:szCs w:val="24"/>
          <w:lang w:val="fr-FR"/>
        </w:rPr>
        <w:t>AIEA, et de 2012 du n</w:t>
      </w:r>
      <w:r w:rsidR="00124E6E" w:rsidRPr="00640C9E">
        <w:rPr>
          <w:szCs w:val="24"/>
          <w:vertAlign w:val="superscript"/>
          <w:lang w:val="fr-FR"/>
        </w:rPr>
        <w:t>o</w:t>
      </w:r>
      <w:r w:rsidR="00124E6E" w:rsidRPr="00640C9E">
        <w:rPr>
          <w:szCs w:val="24"/>
          <w:lang w:val="fr-FR"/>
        </w:rPr>
        <w:t xml:space="preserve"> </w:t>
      </w:r>
      <w:r w:rsidR="00124E6E">
        <w:rPr>
          <w:szCs w:val="24"/>
          <w:lang w:val="fr-FR"/>
        </w:rPr>
        <w:t>SSR-6</w:t>
      </w:r>
      <w:r w:rsidR="00124E6E" w:rsidRPr="00640C9E">
        <w:rPr>
          <w:szCs w:val="24"/>
          <w:lang w:val="fr-FR"/>
        </w:rPr>
        <w:t xml:space="preserve"> de la </w:t>
      </w:r>
      <w:r w:rsidR="00124E6E">
        <w:rPr>
          <w:szCs w:val="24"/>
          <w:lang w:val="fr-FR"/>
        </w:rPr>
        <w:t>C</w:t>
      </w:r>
      <w:r w:rsidR="00124E6E" w:rsidRPr="00640C9E">
        <w:rPr>
          <w:szCs w:val="24"/>
          <w:lang w:val="fr-FR"/>
        </w:rPr>
        <w:t>ollection Sécurité de l</w:t>
      </w:r>
      <w:r w:rsidR="00124E6E">
        <w:rPr>
          <w:szCs w:val="24"/>
          <w:lang w:val="fr-FR"/>
        </w:rPr>
        <w:t>’</w:t>
      </w:r>
      <w:r w:rsidR="00124E6E" w:rsidRPr="00640C9E">
        <w:rPr>
          <w:szCs w:val="24"/>
          <w:lang w:val="fr-FR"/>
        </w:rPr>
        <w:t>AIEA.</w:t>
      </w:r>
      <w:r w:rsidR="00124E6E">
        <w:rPr>
          <w:szCs w:val="24"/>
          <w:lang w:val="fr-FR"/>
        </w:rPr>
        <w:t> »</w:t>
      </w:r>
      <w:r w:rsidR="00124E6E" w:rsidRPr="00640C9E">
        <w:rPr>
          <w:szCs w:val="24"/>
          <w:lang w:val="fr-FR"/>
        </w:rPr>
        <w:t>.</w:t>
      </w:r>
    </w:p>
    <w:p w:rsidR="00124E6E" w:rsidRDefault="00124E6E" w:rsidP="00124E6E">
      <w:pPr>
        <w:pStyle w:val="H1G"/>
        <w:rPr>
          <w:lang w:val="fr-FR"/>
        </w:rPr>
      </w:pPr>
      <w:r>
        <w:rPr>
          <w:lang w:val="fr-FR"/>
        </w:rPr>
        <w:tab/>
      </w:r>
      <w:r>
        <w:rPr>
          <w:lang w:val="fr-FR"/>
        </w:rPr>
        <w:tab/>
        <w:t>Chapitre 1.7</w:t>
      </w:r>
    </w:p>
    <w:p w:rsidR="00124E6E" w:rsidRDefault="00124E6E" w:rsidP="00A23C89">
      <w:pPr>
        <w:pStyle w:val="SingleTxtG"/>
        <w:tabs>
          <w:tab w:val="left" w:pos="2268"/>
        </w:tabs>
        <w:ind w:left="2259" w:hanging="1125"/>
        <w:rPr>
          <w:lang w:val="fr-FR"/>
        </w:rPr>
      </w:pPr>
      <w:r>
        <w:t>1.7.1, Nota 1</w:t>
      </w:r>
      <w:r w:rsidRPr="00BD6319">
        <w:tab/>
      </w:r>
      <w:r w:rsidRPr="00BD6319">
        <w:tab/>
      </w:r>
      <w:r>
        <w:rPr>
          <w:lang w:val="fr-FR"/>
        </w:rPr>
        <w:t>Dans la première phrase, remplacer « En cas d’accident ou d’incident » par « </w:t>
      </w:r>
      <w:bookmarkStart w:id="4" w:name="_Hlk2241189"/>
      <w:r>
        <w:rPr>
          <w:lang w:val="fr-FR"/>
        </w:rPr>
        <w:t>E</w:t>
      </w:r>
      <w:r w:rsidRPr="00C53B35">
        <w:rPr>
          <w:lang w:val="fr-FR"/>
        </w:rPr>
        <w:t xml:space="preserve">n cas </w:t>
      </w:r>
      <w:r w:rsidRPr="00E643F7">
        <w:rPr>
          <w:lang w:val="fr-FR"/>
        </w:rPr>
        <w:t>d’urgence nucléaire ou radiologique </w:t>
      </w:r>
      <w:bookmarkEnd w:id="4"/>
      <w:r w:rsidRPr="00E643F7">
        <w:rPr>
          <w:lang w:val="fr-FR"/>
        </w:rPr>
        <w:t>»</w:t>
      </w:r>
      <w:r>
        <w:rPr>
          <w:lang w:val="fr-FR"/>
        </w:rPr>
        <w:t xml:space="preserve"> et « les plans d’intervention, tels qu’établis par les organismes nationaux ou internationaux doivent être observés » par « </w:t>
      </w:r>
      <w:bookmarkStart w:id="5" w:name="_Hlk2241217"/>
      <w:r>
        <w:rPr>
          <w:lang w:val="fr-FR"/>
        </w:rPr>
        <w:t>les dispositions prévues</w:t>
      </w:r>
      <w:r w:rsidRPr="00D41D86">
        <w:rPr>
          <w:lang w:val="fr-FR"/>
        </w:rPr>
        <w:t xml:space="preserve"> </w:t>
      </w:r>
      <w:r>
        <w:rPr>
          <w:lang w:val="fr-FR"/>
        </w:rPr>
        <w:t>par les organismes nationaux ou internationaux doivent être observées </w:t>
      </w:r>
      <w:bookmarkEnd w:id="5"/>
      <w:r>
        <w:rPr>
          <w:lang w:val="fr-FR"/>
        </w:rPr>
        <w:t xml:space="preserve">». </w:t>
      </w:r>
    </w:p>
    <w:p w:rsidR="00124E6E" w:rsidRPr="00C53B35" w:rsidRDefault="00B926A4" w:rsidP="00A23C89">
      <w:pPr>
        <w:pStyle w:val="SingleTxtG"/>
        <w:tabs>
          <w:tab w:val="left" w:pos="2268"/>
        </w:tabs>
        <w:ind w:left="2259" w:hanging="1125"/>
        <w:rPr>
          <w:lang w:val="fr-FR"/>
        </w:rPr>
      </w:pPr>
      <w:r>
        <w:rPr>
          <w:lang w:val="fr-FR"/>
        </w:rPr>
        <w:lastRenderedPageBreak/>
        <w:tab/>
      </w:r>
      <w:r w:rsidR="00124E6E">
        <w:rPr>
          <w:lang w:val="fr-FR"/>
        </w:rPr>
        <w:t xml:space="preserve">Modifier la deuxième phrase pour lire comme suit : </w:t>
      </w:r>
      <w:r w:rsidR="00124E6E" w:rsidRPr="00C53B35">
        <w:rPr>
          <w:lang w:val="fr-FR"/>
        </w:rPr>
        <w:t>« </w:t>
      </w:r>
      <w:bookmarkStart w:id="6" w:name="_Hlk2241260"/>
      <w:r w:rsidR="00124E6E" w:rsidRPr="00C53B35">
        <w:rPr>
          <w:lang w:val="fr-FR"/>
        </w:rPr>
        <w:t>Ceci inclu</w:t>
      </w:r>
      <w:r w:rsidR="00124E6E">
        <w:rPr>
          <w:lang w:val="fr-FR"/>
        </w:rPr>
        <w:t>t</w:t>
      </w:r>
      <w:r w:rsidR="00124E6E" w:rsidRPr="00C53B35">
        <w:rPr>
          <w:lang w:val="fr-FR"/>
        </w:rPr>
        <w:t xml:space="preserve"> un dispositif de préparation et d’intervention conforme aux prescriptions nationales </w:t>
      </w:r>
      <w:r w:rsidR="00124E6E">
        <w:rPr>
          <w:lang w:val="fr-FR"/>
        </w:rPr>
        <w:t>et/</w:t>
      </w:r>
      <w:r w:rsidR="00124E6E" w:rsidRPr="00C53B35">
        <w:rPr>
          <w:lang w:val="fr-FR"/>
        </w:rPr>
        <w:t>ou internationales</w:t>
      </w:r>
      <w:r w:rsidR="00124E6E">
        <w:rPr>
          <w:lang w:val="fr-FR"/>
        </w:rPr>
        <w:t xml:space="preserve"> et</w:t>
      </w:r>
      <w:r w:rsidR="00124E6E" w:rsidRPr="00C53B35">
        <w:rPr>
          <w:lang w:val="fr-FR"/>
        </w:rPr>
        <w:t xml:space="preserve"> établi de manière cohérente et coordonnée avec les dispositifs nationaux </w:t>
      </w:r>
      <w:r w:rsidR="00124E6E">
        <w:rPr>
          <w:lang w:val="fr-FR"/>
        </w:rPr>
        <w:t>et/</w:t>
      </w:r>
      <w:r w:rsidR="00124E6E" w:rsidRPr="00C53B35">
        <w:rPr>
          <w:lang w:val="fr-FR"/>
        </w:rPr>
        <w:t>ou internationaux pour les situations d’urgence.</w:t>
      </w:r>
      <w:r w:rsidR="00124E6E">
        <w:rPr>
          <w:lang w:val="fr-FR"/>
        </w:rPr>
        <w:t xml:space="preserve"> </w:t>
      </w:r>
      <w:bookmarkEnd w:id="6"/>
      <w:r w:rsidR="00124E6E" w:rsidRPr="00C53B35">
        <w:rPr>
          <w:lang w:val="fr-FR"/>
        </w:rPr>
        <w:t>».</w:t>
      </w:r>
    </w:p>
    <w:p w:rsidR="00124E6E" w:rsidRDefault="00124E6E" w:rsidP="00A23C89">
      <w:pPr>
        <w:pStyle w:val="SingleTxtG"/>
        <w:tabs>
          <w:tab w:val="left" w:pos="2268"/>
        </w:tabs>
        <w:ind w:left="2259" w:hanging="1125"/>
      </w:pPr>
      <w:r>
        <w:t>1.7.1, Nota 2</w:t>
      </w:r>
      <w:r w:rsidRPr="00BD6319">
        <w:tab/>
        <w:t>Modifier pour lire comme suit :</w:t>
      </w:r>
    </w:p>
    <w:p w:rsidR="00124E6E" w:rsidRPr="007536E5" w:rsidRDefault="00B926A4" w:rsidP="00A23C89">
      <w:pPr>
        <w:pStyle w:val="SingleTxtG"/>
        <w:tabs>
          <w:tab w:val="left" w:pos="2268"/>
        </w:tabs>
        <w:ind w:left="2259" w:hanging="1125"/>
        <w:rPr>
          <w:i/>
          <w:szCs w:val="24"/>
        </w:rPr>
      </w:pPr>
      <w:r>
        <w:rPr>
          <w:szCs w:val="24"/>
          <w:lang w:val="fr-FR"/>
        </w:rPr>
        <w:tab/>
      </w:r>
      <w:r w:rsidR="00124E6E">
        <w:rPr>
          <w:szCs w:val="24"/>
          <w:lang w:val="fr-FR"/>
        </w:rPr>
        <w:t>« </w:t>
      </w:r>
      <w:r w:rsidR="00124E6E" w:rsidRPr="00AB7C1B">
        <w:rPr>
          <w:b/>
          <w:bCs/>
          <w:i/>
          <w:iCs/>
          <w:szCs w:val="24"/>
          <w:lang w:val="fr-FR"/>
        </w:rPr>
        <w:t>2 :</w:t>
      </w:r>
      <w:r w:rsidR="00124E6E" w:rsidRPr="00AB7C1B">
        <w:rPr>
          <w:i/>
          <w:iCs/>
          <w:szCs w:val="24"/>
          <w:lang w:val="fr-FR"/>
        </w:rPr>
        <w:tab/>
      </w:r>
      <w:bookmarkStart w:id="7" w:name="_Hlk2241288"/>
      <w:r w:rsidR="00124E6E" w:rsidRPr="00AB7C1B">
        <w:rPr>
          <w:i/>
          <w:iCs/>
          <w:szCs w:val="24"/>
          <w:lang w:val="fr-FR"/>
        </w:rPr>
        <w:t>Le dispositif de préparation et d’intervention est de type progressif et tient compte des dangers recensés et de leurs conséquences potentielles, notamment de la possibilité de formation d’autres matières dangereuses qui pourrait résulter de la réaction entre le contenu d’un envoi</w:t>
      </w:r>
      <w:r w:rsidR="00124E6E" w:rsidRPr="00CC51E9">
        <w:rPr>
          <w:i/>
          <w:iCs/>
          <w:szCs w:val="24"/>
          <w:lang w:val="fr-FR"/>
        </w:rPr>
        <w:t xml:space="preserve"> </w:t>
      </w:r>
      <w:r w:rsidR="00124E6E" w:rsidRPr="00AB7C1B">
        <w:rPr>
          <w:i/>
          <w:iCs/>
          <w:szCs w:val="24"/>
          <w:lang w:val="fr-FR"/>
        </w:rPr>
        <w:t xml:space="preserve">et l’environnement en cas d’urgence nucléaire ou radiologique. On trouvera des directives pour la mise en place de tels dispositifs dans les ouvrages suivants : </w:t>
      </w:r>
      <w:r w:rsidR="00124E6E" w:rsidRPr="00CC51E9">
        <w:rPr>
          <w:i/>
          <w:iCs/>
          <w:szCs w:val="24"/>
          <w:lang w:val="fr-FR"/>
        </w:rPr>
        <w:t>Préparation et intervention en cas de situation d’urgence nucléaire ou radiologique</w:t>
      </w:r>
      <w:r w:rsidR="00124E6E" w:rsidRPr="00AB7C1B">
        <w:rPr>
          <w:i/>
          <w:iCs/>
          <w:szCs w:val="24"/>
          <w:lang w:val="fr-FR"/>
        </w:rPr>
        <w:t xml:space="preserve">, collection Normes de sûreté de l’AIEA, No. GSR, partie 7, AIEA, Vienne (2015) ; </w:t>
      </w:r>
      <w:r w:rsidR="00124E6E" w:rsidRPr="00CC51E9">
        <w:rPr>
          <w:i/>
          <w:iCs/>
          <w:szCs w:val="24"/>
          <w:lang w:val="fr-FR"/>
        </w:rPr>
        <w:t>Critères à utiliser pour la préparation et la conduite des interventions en cas d’urgence nucléaire ou radiologique</w:t>
      </w:r>
      <w:r w:rsidR="00124E6E" w:rsidRPr="00AB7C1B">
        <w:rPr>
          <w:i/>
          <w:iCs/>
          <w:szCs w:val="24"/>
          <w:lang w:val="fr-FR"/>
        </w:rPr>
        <w:t>, collection Normes de sûreté de l’AIEA, No. </w:t>
      </w:r>
      <w:r w:rsidR="00124E6E" w:rsidRPr="00AB7C1B">
        <w:rPr>
          <w:i/>
          <w:iCs/>
          <w:szCs w:val="24"/>
          <w:lang w:val="en-GB"/>
        </w:rPr>
        <w:t>GSG-2, IAEA, Vienne (2011</w:t>
      </w:r>
      <w:proofErr w:type="gramStart"/>
      <w:r w:rsidR="00124E6E" w:rsidRPr="00AB7C1B">
        <w:rPr>
          <w:i/>
          <w:iCs/>
          <w:szCs w:val="24"/>
          <w:lang w:val="en-GB"/>
        </w:rPr>
        <w:t>) ;</w:t>
      </w:r>
      <w:proofErr w:type="gramEnd"/>
      <w:r w:rsidR="00124E6E" w:rsidRPr="00AB7C1B">
        <w:rPr>
          <w:i/>
          <w:iCs/>
          <w:szCs w:val="24"/>
          <w:lang w:val="en-GB"/>
        </w:rPr>
        <w:t xml:space="preserve"> </w:t>
      </w:r>
      <w:r w:rsidR="00124E6E" w:rsidRPr="00CC51E9">
        <w:rPr>
          <w:i/>
          <w:iCs/>
          <w:szCs w:val="24"/>
          <w:lang w:val="en-GB"/>
        </w:rPr>
        <w:t>Arrangements for Preparedness for a Nuclear or Radiological Emergency</w:t>
      </w:r>
      <w:r w:rsidR="00124E6E" w:rsidRPr="00AB7C1B">
        <w:rPr>
          <w:i/>
          <w:iCs/>
          <w:szCs w:val="24"/>
          <w:lang w:val="en-GB"/>
        </w:rPr>
        <w:t xml:space="preserve">, IAEA Safety Standards Series No. </w:t>
      </w:r>
      <w:r w:rsidR="00124E6E" w:rsidRPr="00AB7C1B">
        <w:rPr>
          <w:i/>
          <w:iCs/>
          <w:szCs w:val="24"/>
          <w:lang w:val="en-US"/>
        </w:rPr>
        <w:t xml:space="preserve">GS-G-2.1, IAEA, Vienne (2007), et </w:t>
      </w:r>
      <w:r w:rsidR="00124E6E" w:rsidRPr="00CC51E9">
        <w:rPr>
          <w:i/>
          <w:iCs/>
          <w:szCs w:val="24"/>
          <w:lang w:val="en-US"/>
        </w:rPr>
        <w:t>Arrangements for the Termination of a Nuclear or Radiological Emergency</w:t>
      </w:r>
      <w:r w:rsidR="00124E6E" w:rsidRPr="00AB7C1B">
        <w:rPr>
          <w:i/>
          <w:iCs/>
          <w:szCs w:val="24"/>
          <w:lang w:val="en-US"/>
        </w:rPr>
        <w:t xml:space="preserve">, IAEA Safety Standards Series No. </w:t>
      </w:r>
      <w:r w:rsidR="00124E6E" w:rsidRPr="00AB7C1B">
        <w:rPr>
          <w:i/>
          <w:iCs/>
          <w:szCs w:val="24"/>
          <w:lang w:val="fr-FR"/>
        </w:rPr>
        <w:t>GSG-11, IAEA, Vienne (2018).</w:t>
      </w:r>
      <w:r w:rsidR="00124E6E">
        <w:rPr>
          <w:szCs w:val="24"/>
          <w:lang w:val="fr-FR"/>
        </w:rPr>
        <w:t> </w:t>
      </w:r>
      <w:bookmarkEnd w:id="7"/>
      <w:r w:rsidR="00124E6E">
        <w:rPr>
          <w:szCs w:val="24"/>
          <w:lang w:val="fr-FR"/>
        </w:rPr>
        <w:t>»</w:t>
      </w:r>
      <w:r w:rsidR="00124E6E" w:rsidRPr="00640C9E">
        <w:rPr>
          <w:szCs w:val="24"/>
          <w:lang w:val="fr-FR"/>
        </w:rPr>
        <w:t>.</w:t>
      </w:r>
      <w:r w:rsidR="00124E6E" w:rsidRPr="00BD6319">
        <w:tab/>
      </w:r>
    </w:p>
    <w:p w:rsidR="00124E6E" w:rsidRPr="00AD6C04" w:rsidRDefault="00124E6E" w:rsidP="00A23C89">
      <w:pPr>
        <w:pStyle w:val="SingleTxtG"/>
        <w:tabs>
          <w:tab w:val="left" w:pos="2268"/>
        </w:tabs>
        <w:ind w:left="2259" w:hanging="1125"/>
        <w:rPr>
          <w:spacing w:val="-2"/>
          <w:szCs w:val="24"/>
        </w:rPr>
      </w:pPr>
      <w:r>
        <w:rPr>
          <w:szCs w:val="24"/>
          <w:lang w:val="fr-FR"/>
        </w:rPr>
        <w:t>1.7.1.1</w:t>
      </w:r>
      <w:r w:rsidRPr="00640C9E">
        <w:rPr>
          <w:szCs w:val="24"/>
          <w:lang w:val="fr-FR"/>
        </w:rPr>
        <w:tab/>
      </w:r>
      <w:r>
        <w:rPr>
          <w:szCs w:val="24"/>
          <w:lang w:val="fr-FR"/>
        </w:rPr>
        <w:t>La modification de la première phrase dans la version anglaise ne s’applique pas au texte français</w:t>
      </w:r>
      <w:r w:rsidRPr="00640C9E">
        <w:rPr>
          <w:szCs w:val="24"/>
          <w:lang w:val="fr-FR"/>
        </w:rPr>
        <w:t xml:space="preserve">. Modifier les deuxième et </w:t>
      </w:r>
      <w:proofErr w:type="gramStart"/>
      <w:r w:rsidRPr="00640C9E">
        <w:rPr>
          <w:szCs w:val="24"/>
          <w:lang w:val="fr-FR"/>
        </w:rPr>
        <w:t>troisième phrases</w:t>
      </w:r>
      <w:proofErr w:type="gramEnd"/>
      <w:r w:rsidRPr="00640C9E">
        <w:rPr>
          <w:szCs w:val="24"/>
          <w:lang w:val="fr-FR"/>
        </w:rPr>
        <w:t xml:space="preserve"> pour lire comme suit</w:t>
      </w:r>
      <w:r>
        <w:rPr>
          <w:szCs w:val="24"/>
          <w:lang w:val="fr-FR"/>
        </w:rPr>
        <w:t> :</w:t>
      </w:r>
      <w:r w:rsidRPr="00640C9E">
        <w:rPr>
          <w:szCs w:val="24"/>
          <w:lang w:val="fr-FR"/>
        </w:rPr>
        <w:t xml:space="preserve"> </w:t>
      </w:r>
      <w:r>
        <w:rPr>
          <w:szCs w:val="24"/>
          <w:lang w:val="fr-FR"/>
        </w:rPr>
        <w:t>« </w:t>
      </w:r>
      <w:bookmarkStart w:id="8" w:name="_Hlk2240508"/>
      <w:r>
        <w:rPr>
          <w:szCs w:val="24"/>
          <w:lang w:val="fr-FR"/>
        </w:rPr>
        <w:t>Ces normes sont fondées</w:t>
      </w:r>
      <w:r w:rsidRPr="00640C9E">
        <w:rPr>
          <w:szCs w:val="24"/>
          <w:lang w:val="fr-FR"/>
        </w:rPr>
        <w:t xml:space="preserve"> sur le </w:t>
      </w:r>
      <w:r w:rsidRPr="00640C9E">
        <w:rPr>
          <w:i/>
          <w:iCs/>
          <w:szCs w:val="24"/>
          <w:lang w:val="fr-FR"/>
        </w:rPr>
        <w:t>Règlement de transport des matières radioactives</w:t>
      </w:r>
      <w:r w:rsidRPr="00640C9E">
        <w:rPr>
          <w:szCs w:val="24"/>
          <w:lang w:val="fr-FR"/>
        </w:rPr>
        <w:t xml:space="preserve"> (Éd</w:t>
      </w:r>
      <w:r>
        <w:rPr>
          <w:szCs w:val="24"/>
          <w:lang w:val="fr-FR"/>
        </w:rPr>
        <w:t>. </w:t>
      </w:r>
      <w:r w:rsidRPr="00640C9E">
        <w:rPr>
          <w:szCs w:val="24"/>
          <w:lang w:val="fr-FR"/>
        </w:rPr>
        <w:t>2018), collection Normes de sûreté de l</w:t>
      </w:r>
      <w:r>
        <w:rPr>
          <w:szCs w:val="24"/>
          <w:lang w:val="fr-FR"/>
        </w:rPr>
        <w:t>’</w:t>
      </w:r>
      <w:r w:rsidRPr="00640C9E">
        <w:rPr>
          <w:szCs w:val="24"/>
          <w:lang w:val="fr-FR"/>
        </w:rPr>
        <w:t>AIEA, n</w:t>
      </w:r>
      <w:r w:rsidRPr="00640C9E">
        <w:rPr>
          <w:szCs w:val="24"/>
          <w:vertAlign w:val="superscript"/>
          <w:lang w:val="fr-FR"/>
        </w:rPr>
        <w:t>o</w:t>
      </w:r>
      <w:r>
        <w:rPr>
          <w:szCs w:val="24"/>
          <w:lang w:val="fr-FR"/>
        </w:rPr>
        <w:t> </w:t>
      </w:r>
      <w:r w:rsidRPr="00640C9E">
        <w:rPr>
          <w:szCs w:val="24"/>
          <w:lang w:val="fr-FR"/>
        </w:rPr>
        <w:t>SSR-6 (Rev.1), AIEA, Vienne (2018). Les notes d</w:t>
      </w:r>
      <w:r>
        <w:rPr>
          <w:szCs w:val="24"/>
          <w:lang w:val="fr-FR"/>
        </w:rPr>
        <w:t>’</w:t>
      </w:r>
      <w:r w:rsidRPr="00640C9E">
        <w:rPr>
          <w:szCs w:val="24"/>
          <w:lang w:val="fr-FR"/>
        </w:rPr>
        <w:t xml:space="preserve">information figurent dans le document </w:t>
      </w:r>
      <w:r w:rsidRPr="00640C9E">
        <w:rPr>
          <w:i/>
          <w:iCs/>
          <w:szCs w:val="24"/>
          <w:lang w:val="fr-FR"/>
        </w:rPr>
        <w:t xml:space="preserve">Advisory </w:t>
      </w:r>
      <w:proofErr w:type="spellStart"/>
      <w:r w:rsidRPr="00640C9E">
        <w:rPr>
          <w:i/>
          <w:iCs/>
          <w:szCs w:val="24"/>
          <w:lang w:val="fr-FR"/>
        </w:rPr>
        <w:t>Material</w:t>
      </w:r>
      <w:proofErr w:type="spellEnd"/>
      <w:r w:rsidRPr="00640C9E">
        <w:rPr>
          <w:i/>
          <w:iCs/>
          <w:szCs w:val="24"/>
          <w:lang w:val="fr-FR"/>
        </w:rPr>
        <w:t xml:space="preserve"> for the IAEA </w:t>
      </w:r>
      <w:proofErr w:type="spellStart"/>
      <w:r w:rsidRPr="00640C9E">
        <w:rPr>
          <w:i/>
          <w:iCs/>
          <w:szCs w:val="24"/>
          <w:lang w:val="fr-FR"/>
        </w:rPr>
        <w:t>Regulations</w:t>
      </w:r>
      <w:proofErr w:type="spellEnd"/>
      <w:r w:rsidRPr="00640C9E">
        <w:rPr>
          <w:i/>
          <w:iCs/>
          <w:szCs w:val="24"/>
          <w:lang w:val="fr-FR"/>
        </w:rPr>
        <w:t xml:space="preserve"> for the Safe Transport of Radioactive </w:t>
      </w:r>
      <w:proofErr w:type="spellStart"/>
      <w:r w:rsidRPr="00640C9E">
        <w:rPr>
          <w:i/>
          <w:iCs/>
          <w:szCs w:val="24"/>
          <w:lang w:val="fr-FR"/>
        </w:rPr>
        <w:t>Material</w:t>
      </w:r>
      <w:proofErr w:type="spellEnd"/>
      <w:r w:rsidRPr="00640C9E">
        <w:rPr>
          <w:i/>
          <w:iCs/>
          <w:szCs w:val="24"/>
          <w:lang w:val="fr-FR"/>
        </w:rPr>
        <w:t xml:space="preserve"> (2018 </w:t>
      </w:r>
      <w:r w:rsidRPr="00AD6C04">
        <w:rPr>
          <w:i/>
          <w:iCs/>
          <w:spacing w:val="-2"/>
          <w:szCs w:val="24"/>
          <w:lang w:val="fr-FR"/>
        </w:rPr>
        <w:t>Edition)</w:t>
      </w:r>
      <w:r w:rsidRPr="00AD6C04">
        <w:rPr>
          <w:spacing w:val="-2"/>
          <w:szCs w:val="24"/>
          <w:lang w:val="fr-FR"/>
        </w:rPr>
        <w:t xml:space="preserve">, </w:t>
      </w:r>
      <w:r w:rsidRPr="00AD6C04">
        <w:rPr>
          <w:spacing w:val="-4"/>
          <w:szCs w:val="24"/>
          <w:lang w:val="fr-FR"/>
        </w:rPr>
        <w:t xml:space="preserve">collection Normes de sûreté de l’AIEA, </w:t>
      </w:r>
      <w:r w:rsidRPr="00AD6C04">
        <w:rPr>
          <w:spacing w:val="-2"/>
          <w:szCs w:val="24"/>
          <w:lang w:val="fr-FR"/>
        </w:rPr>
        <w:t>n</w:t>
      </w:r>
      <w:r w:rsidRPr="00AD6C04">
        <w:rPr>
          <w:spacing w:val="-2"/>
          <w:szCs w:val="24"/>
          <w:vertAlign w:val="superscript"/>
          <w:lang w:val="fr-FR"/>
        </w:rPr>
        <w:t>o</w:t>
      </w:r>
      <w:r w:rsidRPr="00AD6C04">
        <w:rPr>
          <w:spacing w:val="-2"/>
          <w:szCs w:val="24"/>
          <w:lang w:val="fr-FR"/>
        </w:rPr>
        <w:t> SSG-26 (Rev.1), AIEA, Vienne (2019). </w:t>
      </w:r>
      <w:bookmarkEnd w:id="8"/>
      <w:r>
        <w:rPr>
          <w:spacing w:val="-2"/>
          <w:szCs w:val="24"/>
          <w:lang w:val="fr-FR"/>
        </w:rPr>
        <w:t>»</w:t>
      </w:r>
      <w:r w:rsidRPr="00AD6C04">
        <w:rPr>
          <w:spacing w:val="-2"/>
          <w:szCs w:val="24"/>
          <w:lang w:val="fr-FR"/>
        </w:rPr>
        <w:t>.</w:t>
      </w:r>
    </w:p>
    <w:p w:rsidR="00124E6E" w:rsidRPr="00640C9E" w:rsidRDefault="00124E6E" w:rsidP="00B926A4">
      <w:pPr>
        <w:pStyle w:val="SingleTxtG"/>
        <w:tabs>
          <w:tab w:val="left" w:pos="2268"/>
        </w:tabs>
        <w:ind w:left="2259" w:hanging="1125"/>
        <w:rPr>
          <w:szCs w:val="24"/>
        </w:rPr>
      </w:pPr>
      <w:r>
        <w:rPr>
          <w:szCs w:val="24"/>
          <w:lang w:val="fr-FR"/>
        </w:rPr>
        <w:t>1.7.1.2</w:t>
      </w:r>
      <w:r w:rsidRPr="00640C9E">
        <w:rPr>
          <w:szCs w:val="24"/>
          <w:lang w:val="fr-FR"/>
        </w:rPr>
        <w:tab/>
      </w:r>
      <w:r>
        <w:rPr>
          <w:szCs w:val="24"/>
          <w:lang w:val="fr-FR"/>
        </w:rPr>
        <w:t>La première modification de la première phrase dans la version anglaise ne s’applique pas au texte en français.</w:t>
      </w:r>
      <w:r w:rsidRPr="00640C9E">
        <w:rPr>
          <w:szCs w:val="24"/>
          <w:lang w:val="fr-FR"/>
        </w:rPr>
        <w:t xml:space="preserve"> </w:t>
      </w:r>
      <w:r>
        <w:rPr>
          <w:szCs w:val="24"/>
          <w:lang w:val="fr-FR"/>
        </w:rPr>
        <w:t>À la première phrase, r</w:t>
      </w:r>
      <w:r w:rsidRPr="00640C9E">
        <w:rPr>
          <w:szCs w:val="24"/>
          <w:lang w:val="fr-FR"/>
        </w:rPr>
        <w:t xml:space="preserve">emplacer </w:t>
      </w:r>
      <w:r>
        <w:rPr>
          <w:szCs w:val="24"/>
          <w:lang w:val="fr-FR"/>
        </w:rPr>
        <w:t>« </w:t>
      </w:r>
      <w:r w:rsidRPr="00640C9E">
        <w:rPr>
          <w:szCs w:val="24"/>
          <w:lang w:val="fr-FR"/>
        </w:rPr>
        <w:t>contre les effets des rayonnements au cours du transport</w:t>
      </w:r>
      <w:r>
        <w:rPr>
          <w:szCs w:val="24"/>
          <w:lang w:val="fr-FR"/>
        </w:rPr>
        <w:t> »</w:t>
      </w:r>
      <w:r w:rsidRPr="00640C9E">
        <w:rPr>
          <w:szCs w:val="24"/>
          <w:lang w:val="fr-FR"/>
        </w:rPr>
        <w:t xml:space="preserve"> par </w:t>
      </w:r>
      <w:r>
        <w:rPr>
          <w:szCs w:val="24"/>
          <w:lang w:val="fr-FR"/>
        </w:rPr>
        <w:t>« </w:t>
      </w:r>
      <w:bookmarkStart w:id="9" w:name="_Hlk2240647"/>
      <w:r w:rsidRPr="00640C9E">
        <w:rPr>
          <w:szCs w:val="24"/>
          <w:lang w:val="fr-FR"/>
        </w:rPr>
        <w:t>contre les effets nocifs des rayonnements ionisants au cours du transport</w:t>
      </w:r>
      <w:bookmarkEnd w:id="9"/>
      <w:r>
        <w:rPr>
          <w:szCs w:val="24"/>
          <w:lang w:val="fr-FR"/>
        </w:rPr>
        <w:t xml:space="preserve"> »</w:t>
      </w:r>
      <w:r w:rsidRPr="00640C9E">
        <w:rPr>
          <w:szCs w:val="24"/>
          <w:lang w:val="fr-FR"/>
        </w:rPr>
        <w:t>.</w:t>
      </w:r>
    </w:p>
    <w:p w:rsidR="00124E6E" w:rsidRPr="00640C9E" w:rsidRDefault="00B926A4" w:rsidP="00A23C89">
      <w:pPr>
        <w:pStyle w:val="SingleTxtG"/>
        <w:tabs>
          <w:tab w:val="left" w:pos="2268"/>
        </w:tabs>
        <w:ind w:left="2259" w:hanging="1125"/>
        <w:rPr>
          <w:szCs w:val="24"/>
        </w:rPr>
      </w:pPr>
      <w:r>
        <w:rPr>
          <w:spacing w:val="-2"/>
          <w:szCs w:val="24"/>
          <w:lang w:val="fr-FR"/>
        </w:rPr>
        <w:tab/>
      </w:r>
      <w:r w:rsidR="00124E6E" w:rsidRPr="00AD6C04">
        <w:rPr>
          <w:spacing w:val="-2"/>
          <w:szCs w:val="24"/>
          <w:lang w:val="fr-FR"/>
        </w:rPr>
        <w:t xml:space="preserve">À l’alinéa b), remplacer </w:t>
      </w:r>
      <w:r w:rsidR="00124E6E">
        <w:rPr>
          <w:spacing w:val="-2"/>
          <w:szCs w:val="24"/>
          <w:lang w:val="fr-FR"/>
        </w:rPr>
        <w:t>« </w:t>
      </w:r>
      <w:r w:rsidR="00124E6E" w:rsidRPr="00AD6C04">
        <w:rPr>
          <w:spacing w:val="-2"/>
          <w:szCs w:val="24"/>
          <w:lang w:val="fr-FR"/>
        </w:rPr>
        <w:t>l’intensité de rayonnement </w:t>
      </w:r>
      <w:r w:rsidR="00124E6E">
        <w:rPr>
          <w:spacing w:val="-2"/>
          <w:szCs w:val="24"/>
          <w:lang w:val="fr-FR"/>
        </w:rPr>
        <w:t>»</w:t>
      </w:r>
      <w:r w:rsidR="00124E6E" w:rsidRPr="00AD6C04">
        <w:rPr>
          <w:spacing w:val="-2"/>
          <w:szCs w:val="24"/>
          <w:lang w:val="fr-FR"/>
        </w:rPr>
        <w:t xml:space="preserve"> par </w:t>
      </w:r>
      <w:r w:rsidR="00124E6E">
        <w:rPr>
          <w:spacing w:val="-2"/>
          <w:szCs w:val="24"/>
          <w:lang w:val="fr-FR"/>
        </w:rPr>
        <w:t>« </w:t>
      </w:r>
      <w:bookmarkStart w:id="10" w:name="_Hlk2240670"/>
      <w:r w:rsidR="00124E6E" w:rsidRPr="00AD6C04">
        <w:rPr>
          <w:spacing w:val="-2"/>
          <w:szCs w:val="24"/>
          <w:lang w:val="fr-FR"/>
        </w:rPr>
        <w:t>le débit de</w:t>
      </w:r>
      <w:r w:rsidR="00124E6E" w:rsidRPr="00640C9E">
        <w:rPr>
          <w:szCs w:val="24"/>
          <w:lang w:val="fr-FR"/>
        </w:rPr>
        <w:t xml:space="preserve"> dose</w:t>
      </w:r>
      <w:r w:rsidR="00124E6E">
        <w:rPr>
          <w:szCs w:val="24"/>
          <w:lang w:val="fr-FR"/>
        </w:rPr>
        <w:t> </w:t>
      </w:r>
      <w:bookmarkEnd w:id="10"/>
      <w:r w:rsidR="00124E6E">
        <w:rPr>
          <w:szCs w:val="24"/>
          <w:lang w:val="fr-FR"/>
        </w:rPr>
        <w:t>»</w:t>
      </w:r>
      <w:r w:rsidR="00124E6E" w:rsidRPr="00640C9E">
        <w:rPr>
          <w:szCs w:val="24"/>
          <w:lang w:val="fr-FR"/>
        </w:rPr>
        <w:t>.</w:t>
      </w:r>
    </w:p>
    <w:p w:rsidR="00124E6E" w:rsidRPr="00640C9E" w:rsidRDefault="00B926A4" w:rsidP="00A23C89">
      <w:pPr>
        <w:pStyle w:val="SingleTxtG"/>
        <w:tabs>
          <w:tab w:val="left" w:pos="2268"/>
        </w:tabs>
        <w:ind w:left="2259" w:hanging="1125"/>
        <w:rPr>
          <w:szCs w:val="24"/>
        </w:rPr>
      </w:pPr>
      <w:r>
        <w:rPr>
          <w:szCs w:val="24"/>
          <w:lang w:val="fr-FR"/>
        </w:rPr>
        <w:tab/>
      </w:r>
      <w:r w:rsidR="00124E6E">
        <w:rPr>
          <w:szCs w:val="24"/>
          <w:lang w:val="fr-FR"/>
        </w:rPr>
        <w:t>D</w:t>
      </w:r>
      <w:r w:rsidR="00124E6E" w:rsidRPr="00640C9E">
        <w:rPr>
          <w:szCs w:val="24"/>
          <w:lang w:val="fr-FR"/>
        </w:rPr>
        <w:t>ans la dernière phrase</w:t>
      </w:r>
      <w:r w:rsidR="00124E6E">
        <w:rPr>
          <w:szCs w:val="24"/>
          <w:lang w:val="fr-FR"/>
        </w:rPr>
        <w:t>, r</w:t>
      </w:r>
      <w:r w:rsidR="00124E6E" w:rsidRPr="00640C9E">
        <w:rPr>
          <w:szCs w:val="24"/>
          <w:lang w:val="fr-FR"/>
        </w:rPr>
        <w:t xml:space="preserve">emplacer </w:t>
      </w:r>
      <w:r w:rsidR="00124E6E">
        <w:rPr>
          <w:szCs w:val="24"/>
          <w:lang w:val="fr-FR"/>
        </w:rPr>
        <w:t>« </w:t>
      </w:r>
      <w:r w:rsidR="00124E6E" w:rsidRPr="00640C9E">
        <w:rPr>
          <w:szCs w:val="24"/>
          <w:lang w:val="fr-FR"/>
        </w:rPr>
        <w:t>enfin</w:t>
      </w:r>
      <w:r w:rsidR="00124E6E">
        <w:rPr>
          <w:szCs w:val="24"/>
          <w:lang w:val="fr-FR"/>
        </w:rPr>
        <w:t> »</w:t>
      </w:r>
      <w:r w:rsidR="00124E6E" w:rsidRPr="00640C9E">
        <w:rPr>
          <w:szCs w:val="24"/>
          <w:lang w:val="fr-FR"/>
        </w:rPr>
        <w:t xml:space="preserve"> par </w:t>
      </w:r>
      <w:r w:rsidR="00124E6E">
        <w:rPr>
          <w:szCs w:val="24"/>
          <w:lang w:val="fr-FR"/>
        </w:rPr>
        <w:t>« </w:t>
      </w:r>
      <w:bookmarkStart w:id="11" w:name="_Hlk2240705"/>
      <w:r w:rsidR="00124E6E" w:rsidRPr="00640C9E">
        <w:rPr>
          <w:szCs w:val="24"/>
          <w:lang w:val="fr-FR"/>
        </w:rPr>
        <w:t>troisièmement</w:t>
      </w:r>
      <w:bookmarkEnd w:id="11"/>
      <w:r w:rsidR="00124E6E">
        <w:rPr>
          <w:szCs w:val="24"/>
          <w:lang w:val="fr-FR"/>
        </w:rPr>
        <w:t> »</w:t>
      </w:r>
      <w:r w:rsidR="00124E6E" w:rsidRPr="00640C9E">
        <w:rPr>
          <w:szCs w:val="24"/>
          <w:lang w:val="fr-FR"/>
        </w:rPr>
        <w:t>, et ajouter la nouvelle phrase suivante à la fin du paragraphe</w:t>
      </w:r>
      <w:r w:rsidR="00124E6E">
        <w:rPr>
          <w:szCs w:val="24"/>
          <w:lang w:val="fr-FR"/>
        </w:rPr>
        <w:t> :</w:t>
      </w:r>
      <w:r w:rsidR="00124E6E" w:rsidRPr="00640C9E">
        <w:rPr>
          <w:szCs w:val="24"/>
          <w:lang w:val="fr-FR"/>
        </w:rPr>
        <w:t xml:space="preserve"> </w:t>
      </w:r>
      <w:r w:rsidR="00124E6E">
        <w:rPr>
          <w:szCs w:val="24"/>
          <w:lang w:val="fr-FR"/>
        </w:rPr>
        <w:t>« </w:t>
      </w:r>
      <w:bookmarkStart w:id="12" w:name="_Hlk2240721"/>
      <w:r w:rsidR="00124E6E" w:rsidRPr="00640C9E">
        <w:rPr>
          <w:szCs w:val="24"/>
          <w:lang w:val="fr-FR"/>
        </w:rPr>
        <w:t>Enfin, une protection supplémentaire est assurée par la prise de dispositions pour la planification et la préparation des interventions d</w:t>
      </w:r>
      <w:r w:rsidR="00124E6E">
        <w:rPr>
          <w:szCs w:val="24"/>
          <w:lang w:val="fr-FR"/>
        </w:rPr>
        <w:t>’</w:t>
      </w:r>
      <w:r w:rsidR="00124E6E" w:rsidRPr="00640C9E">
        <w:rPr>
          <w:szCs w:val="24"/>
          <w:lang w:val="fr-FR"/>
        </w:rPr>
        <w:t>urgence pour protéger les personnes, les biens et l</w:t>
      </w:r>
      <w:r w:rsidR="00124E6E">
        <w:rPr>
          <w:szCs w:val="24"/>
          <w:lang w:val="fr-FR"/>
        </w:rPr>
        <w:t>’</w:t>
      </w:r>
      <w:r w:rsidR="00124E6E" w:rsidRPr="00640C9E">
        <w:rPr>
          <w:szCs w:val="24"/>
          <w:lang w:val="fr-FR"/>
        </w:rPr>
        <w:t>environnement.</w:t>
      </w:r>
      <w:r w:rsidR="00124E6E">
        <w:rPr>
          <w:szCs w:val="24"/>
          <w:lang w:val="fr-FR"/>
        </w:rPr>
        <w:t> </w:t>
      </w:r>
      <w:bookmarkEnd w:id="12"/>
      <w:r w:rsidR="00124E6E">
        <w:rPr>
          <w:szCs w:val="24"/>
          <w:lang w:val="fr-FR"/>
        </w:rPr>
        <w:t>»</w:t>
      </w:r>
      <w:r w:rsidR="00124E6E" w:rsidRPr="00640C9E">
        <w:rPr>
          <w:szCs w:val="24"/>
          <w:lang w:val="fr-FR"/>
        </w:rPr>
        <w:t>.</w:t>
      </w:r>
    </w:p>
    <w:p w:rsidR="00B926A4" w:rsidRDefault="00124E6E" w:rsidP="00A23C89">
      <w:pPr>
        <w:pStyle w:val="SingleTxtG"/>
        <w:tabs>
          <w:tab w:val="left" w:pos="2268"/>
        </w:tabs>
        <w:ind w:left="2259" w:hanging="1125"/>
        <w:rPr>
          <w:szCs w:val="24"/>
          <w:lang w:val="fr-FR"/>
        </w:rPr>
      </w:pPr>
      <w:r w:rsidRPr="00AB7C1B">
        <w:rPr>
          <w:b/>
          <w:bCs/>
          <w:szCs w:val="24"/>
          <w:lang w:val="fr-FR"/>
        </w:rPr>
        <w:t>(RID/ADR :)</w:t>
      </w:r>
      <w:r>
        <w:rPr>
          <w:szCs w:val="24"/>
          <w:lang w:val="fr-FR"/>
        </w:rPr>
        <w:t xml:space="preserve"> 1.7.1.5.1 a)</w:t>
      </w:r>
    </w:p>
    <w:p w:rsidR="00124E6E" w:rsidRPr="00640C9E" w:rsidRDefault="00124E6E" w:rsidP="00A23C89">
      <w:pPr>
        <w:pStyle w:val="SingleTxtG"/>
        <w:tabs>
          <w:tab w:val="left" w:pos="2268"/>
        </w:tabs>
        <w:ind w:left="2259" w:hanging="1125"/>
        <w:rPr>
          <w:szCs w:val="24"/>
        </w:rPr>
      </w:pPr>
      <w:r w:rsidRPr="00640C9E">
        <w:rPr>
          <w:szCs w:val="24"/>
          <w:lang w:val="fr-FR"/>
        </w:rPr>
        <w:tab/>
      </w:r>
      <w:r>
        <w:rPr>
          <w:szCs w:val="24"/>
          <w:lang w:val="fr-FR"/>
        </w:rPr>
        <w:t>A</w:t>
      </w:r>
      <w:r w:rsidRPr="00640C9E">
        <w:rPr>
          <w:szCs w:val="24"/>
          <w:lang w:val="fr-FR"/>
        </w:rPr>
        <w:t xml:space="preserve">près </w:t>
      </w:r>
      <w:r>
        <w:rPr>
          <w:szCs w:val="24"/>
          <w:lang w:val="fr-FR"/>
        </w:rPr>
        <w:t>« 5.2.1.10 »</w:t>
      </w:r>
      <w:r w:rsidRPr="00640C9E">
        <w:rPr>
          <w:szCs w:val="24"/>
          <w:lang w:val="fr-FR"/>
        </w:rPr>
        <w:t xml:space="preserve">, ajouter </w:t>
      </w:r>
      <w:r>
        <w:rPr>
          <w:szCs w:val="24"/>
          <w:lang w:val="fr-FR"/>
        </w:rPr>
        <w:t>« </w:t>
      </w:r>
      <w:bookmarkStart w:id="13" w:name="_Hlk2240775"/>
      <w:r>
        <w:rPr>
          <w:szCs w:val="24"/>
          <w:lang w:val="fr-FR"/>
        </w:rPr>
        <w:t>5.4.1.2.5.1</w:t>
      </w:r>
      <w:r w:rsidRPr="00640C9E">
        <w:rPr>
          <w:szCs w:val="24"/>
          <w:lang w:val="fr-FR"/>
        </w:rPr>
        <w:t xml:space="preserve"> f) i)</w:t>
      </w:r>
      <w:r>
        <w:rPr>
          <w:szCs w:val="24"/>
          <w:lang w:val="fr-FR"/>
        </w:rPr>
        <w:t xml:space="preserve"> et </w:t>
      </w:r>
      <w:r w:rsidRPr="00640C9E">
        <w:rPr>
          <w:szCs w:val="24"/>
          <w:lang w:val="fr-FR"/>
        </w:rPr>
        <w:t>ii)</w:t>
      </w:r>
      <w:bookmarkEnd w:id="13"/>
      <w:r w:rsidRPr="00640C9E">
        <w:rPr>
          <w:szCs w:val="24"/>
          <w:lang w:val="fr-FR"/>
        </w:rPr>
        <w:t xml:space="preserve">, </w:t>
      </w:r>
      <w:bookmarkStart w:id="14" w:name="_Hlk2240871"/>
      <w:r>
        <w:rPr>
          <w:szCs w:val="24"/>
          <w:lang w:val="fr-FR"/>
        </w:rPr>
        <w:t>5.4.1.2.5.1 </w:t>
      </w:r>
      <w:r w:rsidRPr="00640C9E">
        <w:rPr>
          <w:szCs w:val="24"/>
          <w:lang w:val="fr-FR"/>
        </w:rPr>
        <w:t>i),</w:t>
      </w:r>
      <w:r>
        <w:rPr>
          <w:szCs w:val="24"/>
          <w:lang w:val="fr-FR"/>
        </w:rPr>
        <w:t> </w:t>
      </w:r>
      <w:bookmarkEnd w:id="14"/>
      <w:r>
        <w:rPr>
          <w:szCs w:val="24"/>
          <w:lang w:val="fr-FR"/>
        </w:rPr>
        <w:t>»</w:t>
      </w:r>
      <w:r w:rsidRPr="00640C9E">
        <w:rPr>
          <w:szCs w:val="24"/>
          <w:lang w:val="fr-FR"/>
        </w:rPr>
        <w:t xml:space="preserve">, et après </w:t>
      </w:r>
      <w:r>
        <w:rPr>
          <w:szCs w:val="24"/>
          <w:lang w:val="fr-FR"/>
        </w:rPr>
        <w:t>« CW33/CV33 (3.1) »</w:t>
      </w:r>
      <w:r w:rsidRPr="00640C9E">
        <w:rPr>
          <w:szCs w:val="24"/>
          <w:lang w:val="fr-FR"/>
        </w:rPr>
        <w:t xml:space="preserve">, ajouter </w:t>
      </w:r>
      <w:proofErr w:type="gramStart"/>
      <w:r>
        <w:rPr>
          <w:szCs w:val="24"/>
          <w:lang w:val="fr-FR"/>
        </w:rPr>
        <w:t>« ,</w:t>
      </w:r>
      <w:proofErr w:type="gramEnd"/>
      <w:r>
        <w:rPr>
          <w:szCs w:val="24"/>
          <w:lang w:val="fr-FR"/>
        </w:rPr>
        <w:t xml:space="preserve"> (4.3) »</w:t>
      </w:r>
      <w:r w:rsidRPr="00640C9E">
        <w:rPr>
          <w:szCs w:val="24"/>
          <w:lang w:val="fr-FR"/>
        </w:rPr>
        <w:t>.</w:t>
      </w:r>
    </w:p>
    <w:p w:rsidR="00B926A4" w:rsidRDefault="00124E6E" w:rsidP="00A23C89">
      <w:pPr>
        <w:pStyle w:val="SingleTxtG"/>
        <w:tabs>
          <w:tab w:val="left" w:pos="2268"/>
        </w:tabs>
        <w:ind w:left="2259" w:hanging="1125"/>
        <w:rPr>
          <w:szCs w:val="24"/>
          <w:lang w:val="fr-FR"/>
        </w:rPr>
      </w:pPr>
      <w:r w:rsidRPr="00124E6E">
        <w:rPr>
          <w:b/>
          <w:szCs w:val="24"/>
          <w:lang w:val="fr-FR"/>
        </w:rPr>
        <w:t>(ADN</w:t>
      </w:r>
      <w:r>
        <w:rPr>
          <w:b/>
          <w:szCs w:val="24"/>
          <w:lang w:val="fr-FR"/>
        </w:rPr>
        <w:t> :</w:t>
      </w:r>
      <w:r w:rsidRPr="00124E6E">
        <w:rPr>
          <w:b/>
          <w:szCs w:val="24"/>
          <w:lang w:val="fr-FR"/>
        </w:rPr>
        <w:t>)</w:t>
      </w:r>
      <w:r w:rsidRPr="00541D7E">
        <w:rPr>
          <w:szCs w:val="24"/>
          <w:lang w:val="fr-FR"/>
        </w:rPr>
        <w:t xml:space="preserve"> 1.7.1.5.1 (a)</w:t>
      </w:r>
    </w:p>
    <w:p w:rsidR="00124E6E" w:rsidRDefault="00124E6E" w:rsidP="00A23C89">
      <w:pPr>
        <w:pStyle w:val="SingleTxtG"/>
        <w:tabs>
          <w:tab w:val="left" w:pos="2268"/>
        </w:tabs>
        <w:ind w:left="2259" w:hanging="1125"/>
        <w:rPr>
          <w:szCs w:val="24"/>
          <w:lang w:val="fr-FR"/>
        </w:rPr>
      </w:pPr>
      <w:r>
        <w:rPr>
          <w:szCs w:val="24"/>
          <w:lang w:val="fr-FR"/>
        </w:rPr>
        <w:tab/>
        <w:t>A</w:t>
      </w:r>
      <w:r w:rsidRPr="00640C9E">
        <w:rPr>
          <w:szCs w:val="24"/>
          <w:lang w:val="fr-FR"/>
        </w:rPr>
        <w:t xml:space="preserve">près </w:t>
      </w:r>
      <w:r>
        <w:rPr>
          <w:szCs w:val="24"/>
          <w:lang w:val="fr-FR"/>
        </w:rPr>
        <w:t>« </w:t>
      </w:r>
      <w:r w:rsidRPr="00541D7E">
        <w:rPr>
          <w:szCs w:val="24"/>
          <w:lang w:val="fr-FR"/>
        </w:rPr>
        <w:t>5.2.1.10,</w:t>
      </w:r>
      <w:r>
        <w:rPr>
          <w:szCs w:val="24"/>
          <w:lang w:val="fr-FR"/>
        </w:rPr>
        <w:t> »</w:t>
      </w:r>
      <w:r w:rsidRPr="00541D7E">
        <w:rPr>
          <w:szCs w:val="24"/>
          <w:lang w:val="fr-FR"/>
        </w:rPr>
        <w:t xml:space="preserve"> </w:t>
      </w:r>
      <w:r>
        <w:rPr>
          <w:szCs w:val="24"/>
          <w:lang w:val="fr-FR"/>
        </w:rPr>
        <w:t>ajouter « </w:t>
      </w:r>
      <w:r w:rsidRPr="00541D7E">
        <w:rPr>
          <w:szCs w:val="24"/>
          <w:lang w:val="fr-FR"/>
        </w:rPr>
        <w:t xml:space="preserve">5.4.1.2.5.1 f) i) </w:t>
      </w:r>
      <w:r>
        <w:rPr>
          <w:szCs w:val="24"/>
          <w:lang w:val="fr-FR"/>
        </w:rPr>
        <w:t>et</w:t>
      </w:r>
      <w:r w:rsidRPr="00541D7E">
        <w:rPr>
          <w:szCs w:val="24"/>
          <w:lang w:val="fr-FR"/>
        </w:rPr>
        <w:t xml:space="preserve"> ii), 5.4.1.2.5.1 i),</w:t>
      </w:r>
      <w:r>
        <w:rPr>
          <w:szCs w:val="24"/>
          <w:lang w:val="fr-FR"/>
        </w:rPr>
        <w:t> »</w:t>
      </w:r>
      <w:r w:rsidRPr="00541D7E">
        <w:rPr>
          <w:szCs w:val="24"/>
          <w:lang w:val="fr-FR"/>
        </w:rPr>
        <w:t xml:space="preserve"> </w:t>
      </w:r>
      <w:r>
        <w:rPr>
          <w:szCs w:val="24"/>
          <w:lang w:val="fr-FR"/>
        </w:rPr>
        <w:t>et après « </w:t>
      </w:r>
      <w:r w:rsidRPr="00541D7E">
        <w:rPr>
          <w:szCs w:val="24"/>
          <w:lang w:val="fr-FR"/>
        </w:rPr>
        <w:t>7.1.4.14.7.3.1</w:t>
      </w:r>
      <w:r>
        <w:rPr>
          <w:szCs w:val="24"/>
          <w:lang w:val="fr-FR"/>
        </w:rPr>
        <w:t> »</w:t>
      </w:r>
      <w:r w:rsidRPr="00541D7E">
        <w:rPr>
          <w:szCs w:val="24"/>
          <w:lang w:val="fr-FR"/>
        </w:rPr>
        <w:t xml:space="preserve"> </w:t>
      </w:r>
      <w:r>
        <w:rPr>
          <w:szCs w:val="24"/>
          <w:lang w:val="fr-FR"/>
        </w:rPr>
        <w:t xml:space="preserve">ajouter </w:t>
      </w:r>
      <w:proofErr w:type="gramStart"/>
      <w:r>
        <w:rPr>
          <w:szCs w:val="24"/>
          <w:lang w:val="fr-FR"/>
        </w:rPr>
        <w:t>« </w:t>
      </w:r>
      <w:r w:rsidRPr="00541D7E">
        <w:rPr>
          <w:szCs w:val="24"/>
          <w:lang w:val="fr-FR"/>
        </w:rPr>
        <w:t>,</w:t>
      </w:r>
      <w:proofErr w:type="gramEnd"/>
      <w:r w:rsidRPr="00541D7E">
        <w:rPr>
          <w:szCs w:val="24"/>
          <w:lang w:val="fr-FR"/>
        </w:rPr>
        <w:t xml:space="preserve"> 7.1.4.14.7.4.3</w:t>
      </w:r>
      <w:r>
        <w:rPr>
          <w:szCs w:val="24"/>
          <w:lang w:val="fr-FR"/>
        </w:rPr>
        <w:t> »</w:t>
      </w:r>
      <w:r w:rsidRPr="00541D7E">
        <w:rPr>
          <w:szCs w:val="24"/>
          <w:lang w:val="fr-FR"/>
        </w:rPr>
        <w:t xml:space="preserve">. </w:t>
      </w:r>
    </w:p>
    <w:p w:rsidR="00124E6E" w:rsidRPr="00640C9E" w:rsidRDefault="00124E6E" w:rsidP="00A23C89">
      <w:pPr>
        <w:pStyle w:val="SingleTxtG"/>
        <w:tabs>
          <w:tab w:val="left" w:pos="2268"/>
        </w:tabs>
        <w:ind w:left="2259" w:hanging="1125"/>
        <w:rPr>
          <w:szCs w:val="24"/>
        </w:rPr>
      </w:pPr>
      <w:r>
        <w:rPr>
          <w:szCs w:val="24"/>
          <w:lang w:val="fr-FR"/>
        </w:rPr>
        <w:t>1.7.1.5.2</w:t>
      </w:r>
      <w:r w:rsidRPr="00640C9E">
        <w:rPr>
          <w:szCs w:val="24"/>
          <w:lang w:val="fr-FR"/>
        </w:rPr>
        <w:tab/>
        <w:t>Supprimer la deuxième phrase.</w:t>
      </w:r>
    </w:p>
    <w:p w:rsidR="00124E6E" w:rsidRPr="00640C9E" w:rsidRDefault="00124E6E" w:rsidP="00A23C89">
      <w:pPr>
        <w:pStyle w:val="SingleTxtG"/>
        <w:tabs>
          <w:tab w:val="left" w:pos="2268"/>
        </w:tabs>
        <w:ind w:left="2259" w:hanging="1125"/>
        <w:rPr>
          <w:szCs w:val="24"/>
        </w:rPr>
      </w:pPr>
      <w:r w:rsidRPr="00640C9E">
        <w:rPr>
          <w:szCs w:val="24"/>
          <w:lang w:val="fr-FR"/>
        </w:rPr>
        <w:t>1.5.2.4</w:t>
      </w:r>
      <w:r w:rsidRPr="00640C9E">
        <w:rPr>
          <w:szCs w:val="24"/>
          <w:lang w:val="fr-FR"/>
        </w:rPr>
        <w:tab/>
      </w:r>
      <w:r w:rsidRPr="00640C9E">
        <w:rPr>
          <w:szCs w:val="24"/>
          <w:lang w:val="fr-FR"/>
        </w:rPr>
        <w:tab/>
        <w:t xml:space="preserve">Dans la dernière phrase remplacer </w:t>
      </w:r>
      <w:r>
        <w:rPr>
          <w:szCs w:val="24"/>
          <w:lang w:val="fr-FR"/>
        </w:rPr>
        <w:t>« </w:t>
      </w:r>
      <w:r w:rsidRPr="00640C9E">
        <w:rPr>
          <w:szCs w:val="24"/>
          <w:lang w:val="fr-FR"/>
        </w:rPr>
        <w:t>une surveillance individuelle ou à une surveillance des lieux de travail</w:t>
      </w:r>
      <w:r>
        <w:rPr>
          <w:szCs w:val="24"/>
          <w:lang w:val="fr-FR"/>
        </w:rPr>
        <w:t> »</w:t>
      </w:r>
      <w:r w:rsidRPr="00640C9E">
        <w:rPr>
          <w:szCs w:val="24"/>
          <w:lang w:val="fr-FR"/>
        </w:rPr>
        <w:t xml:space="preserve"> par </w:t>
      </w:r>
      <w:r>
        <w:rPr>
          <w:szCs w:val="24"/>
          <w:lang w:val="fr-FR"/>
        </w:rPr>
        <w:t>« </w:t>
      </w:r>
      <w:bookmarkStart w:id="15" w:name="_Hlk2240998"/>
      <w:r w:rsidRPr="00640C9E">
        <w:rPr>
          <w:szCs w:val="24"/>
          <w:lang w:val="fr-FR"/>
        </w:rPr>
        <w:t>une surveillance des lieux de travail ou une surveillance individuelle</w:t>
      </w:r>
      <w:bookmarkEnd w:id="15"/>
      <w:r>
        <w:rPr>
          <w:szCs w:val="24"/>
          <w:lang w:val="fr-FR"/>
        </w:rPr>
        <w:t> »</w:t>
      </w:r>
      <w:r w:rsidRPr="00640C9E">
        <w:rPr>
          <w:szCs w:val="24"/>
          <w:lang w:val="fr-FR"/>
        </w:rPr>
        <w:t>.</w:t>
      </w:r>
    </w:p>
    <w:p w:rsidR="00124E6E" w:rsidRPr="00640C9E" w:rsidRDefault="00124E6E" w:rsidP="00A23C89">
      <w:pPr>
        <w:pStyle w:val="SingleTxtG"/>
        <w:tabs>
          <w:tab w:val="left" w:pos="2268"/>
        </w:tabs>
        <w:ind w:left="2259" w:hanging="1125"/>
        <w:rPr>
          <w:i/>
          <w:szCs w:val="24"/>
        </w:rPr>
      </w:pPr>
      <w:r>
        <w:rPr>
          <w:szCs w:val="24"/>
          <w:lang w:val="fr-FR"/>
        </w:rPr>
        <w:t>1.7.4.2</w:t>
      </w:r>
      <w:r w:rsidRPr="00640C9E">
        <w:rPr>
          <w:szCs w:val="24"/>
          <w:lang w:val="fr-FR"/>
        </w:rPr>
        <w:tab/>
        <w:t xml:space="preserve">Dans la deuxième phrase, remplacer </w:t>
      </w:r>
      <w:r>
        <w:rPr>
          <w:szCs w:val="24"/>
          <w:lang w:val="fr-FR"/>
        </w:rPr>
        <w:t>« </w:t>
      </w:r>
      <w:r w:rsidRPr="00640C9E">
        <w:rPr>
          <w:szCs w:val="24"/>
          <w:lang w:val="fr-FR"/>
        </w:rPr>
        <w:t>d</w:t>
      </w:r>
      <w:r>
        <w:rPr>
          <w:szCs w:val="24"/>
          <w:lang w:val="fr-FR"/>
        </w:rPr>
        <w:t>’</w:t>
      </w:r>
      <w:r w:rsidRPr="00640C9E">
        <w:rPr>
          <w:szCs w:val="24"/>
          <w:lang w:val="fr-FR"/>
        </w:rPr>
        <w:t>autres moyens</w:t>
      </w:r>
      <w:r>
        <w:rPr>
          <w:szCs w:val="24"/>
          <w:lang w:val="fr-FR"/>
        </w:rPr>
        <w:t> »</w:t>
      </w:r>
      <w:r w:rsidRPr="00640C9E">
        <w:rPr>
          <w:szCs w:val="24"/>
          <w:lang w:val="fr-FR"/>
        </w:rPr>
        <w:t xml:space="preserve"> par </w:t>
      </w:r>
      <w:r>
        <w:rPr>
          <w:szCs w:val="24"/>
          <w:lang w:val="fr-FR"/>
        </w:rPr>
        <w:t>« </w:t>
      </w:r>
      <w:bookmarkStart w:id="16" w:name="_Hlk2241334"/>
      <w:r w:rsidRPr="00640C9E">
        <w:rPr>
          <w:szCs w:val="24"/>
          <w:lang w:val="fr-FR"/>
        </w:rPr>
        <w:t>d</w:t>
      </w:r>
      <w:r>
        <w:rPr>
          <w:szCs w:val="24"/>
          <w:lang w:val="fr-FR"/>
        </w:rPr>
        <w:t>’</w:t>
      </w:r>
      <w:r w:rsidRPr="00640C9E">
        <w:rPr>
          <w:szCs w:val="24"/>
          <w:lang w:val="fr-FR"/>
        </w:rPr>
        <w:t xml:space="preserve">autres moyens que les autres dispositions du </w:t>
      </w:r>
      <w:r>
        <w:rPr>
          <w:szCs w:val="24"/>
          <w:lang w:val="fr-FR"/>
        </w:rPr>
        <w:t>RID/de l’ADR/de l’ADN</w:t>
      </w:r>
      <w:bookmarkEnd w:id="16"/>
      <w:r>
        <w:rPr>
          <w:szCs w:val="24"/>
          <w:lang w:val="fr-FR"/>
        </w:rPr>
        <w:t> ». Le deuxième amendement à la version anglaise est sans objet en français.</w:t>
      </w:r>
      <w:r w:rsidRPr="00640C9E">
        <w:rPr>
          <w:szCs w:val="24"/>
          <w:lang w:val="fr-FR"/>
        </w:rPr>
        <w:t xml:space="preserve"> Dans la troisième phrase, après </w:t>
      </w:r>
      <w:r>
        <w:rPr>
          <w:szCs w:val="24"/>
          <w:lang w:val="fr-FR"/>
        </w:rPr>
        <w:t>« </w:t>
      </w:r>
      <w:r w:rsidRPr="00640C9E">
        <w:rPr>
          <w:szCs w:val="24"/>
          <w:lang w:val="fr-FR"/>
        </w:rPr>
        <w:t>prescriptions applicables</w:t>
      </w:r>
      <w:r>
        <w:rPr>
          <w:szCs w:val="24"/>
          <w:lang w:val="fr-FR"/>
        </w:rPr>
        <w:t> »</w:t>
      </w:r>
      <w:r w:rsidRPr="00640C9E">
        <w:rPr>
          <w:szCs w:val="24"/>
          <w:lang w:val="fr-FR"/>
        </w:rPr>
        <w:t xml:space="preserve">, ajouter </w:t>
      </w:r>
      <w:r>
        <w:rPr>
          <w:szCs w:val="24"/>
          <w:lang w:val="fr-FR"/>
        </w:rPr>
        <w:t>« </w:t>
      </w:r>
      <w:bookmarkStart w:id="17" w:name="_Hlk2241434"/>
      <w:r w:rsidRPr="00640C9E">
        <w:rPr>
          <w:szCs w:val="24"/>
          <w:lang w:val="fr-FR"/>
        </w:rPr>
        <w:t xml:space="preserve">du </w:t>
      </w:r>
      <w:r>
        <w:rPr>
          <w:szCs w:val="24"/>
          <w:lang w:val="fr-FR"/>
        </w:rPr>
        <w:t>RID/de l’ADR/de l’ADN </w:t>
      </w:r>
      <w:bookmarkEnd w:id="17"/>
      <w:r>
        <w:rPr>
          <w:szCs w:val="24"/>
          <w:lang w:val="fr-FR"/>
        </w:rPr>
        <w:t>»</w:t>
      </w:r>
      <w:r w:rsidRPr="00640C9E">
        <w:rPr>
          <w:szCs w:val="24"/>
          <w:lang w:val="fr-FR"/>
        </w:rPr>
        <w:t>.</w:t>
      </w:r>
    </w:p>
    <w:p w:rsidR="00124E6E" w:rsidRDefault="00124E6E" w:rsidP="00A23C89">
      <w:pPr>
        <w:pStyle w:val="SingleTxtG"/>
        <w:tabs>
          <w:tab w:val="left" w:pos="2268"/>
        </w:tabs>
        <w:ind w:left="2259" w:hanging="1125"/>
        <w:rPr>
          <w:szCs w:val="24"/>
          <w:lang w:val="fr-FR"/>
        </w:rPr>
      </w:pPr>
      <w:r>
        <w:rPr>
          <w:szCs w:val="24"/>
          <w:lang w:val="fr-FR"/>
        </w:rPr>
        <w:lastRenderedPageBreak/>
        <w:t>1.7.6.1</w:t>
      </w:r>
      <w:r w:rsidRPr="00640C9E">
        <w:rPr>
          <w:szCs w:val="24"/>
          <w:lang w:val="fr-FR"/>
        </w:rPr>
        <w:tab/>
      </w:r>
      <w:r w:rsidRPr="00640C9E">
        <w:rPr>
          <w:szCs w:val="24"/>
          <w:lang w:val="fr-FR"/>
        </w:rPr>
        <w:tab/>
      </w:r>
      <w:r>
        <w:rPr>
          <w:szCs w:val="24"/>
          <w:lang w:val="fr-FR"/>
        </w:rPr>
        <w:t>Faire les modifications suivantes :</w:t>
      </w:r>
    </w:p>
    <w:p w:rsidR="00124E6E" w:rsidRDefault="00B926A4" w:rsidP="00A23C89">
      <w:pPr>
        <w:pStyle w:val="SingleTxtG"/>
        <w:tabs>
          <w:tab w:val="left" w:pos="2268"/>
        </w:tabs>
        <w:ind w:left="2259" w:hanging="1125"/>
        <w:rPr>
          <w:szCs w:val="24"/>
          <w:lang w:val="fr-FR"/>
        </w:rPr>
      </w:pPr>
      <w:r>
        <w:rPr>
          <w:szCs w:val="24"/>
          <w:lang w:val="fr-FR"/>
        </w:rPr>
        <w:tab/>
      </w:r>
      <w:r w:rsidR="00124E6E" w:rsidRPr="00640C9E">
        <w:rPr>
          <w:szCs w:val="24"/>
          <w:lang w:val="fr-FR"/>
        </w:rPr>
        <w:t xml:space="preserve">Dans la phrase introductive, remplacer </w:t>
      </w:r>
      <w:r w:rsidR="00124E6E">
        <w:rPr>
          <w:szCs w:val="24"/>
          <w:lang w:val="fr-FR"/>
        </w:rPr>
        <w:t>« l’</w:t>
      </w:r>
      <w:r w:rsidR="00124E6E" w:rsidRPr="00640C9E">
        <w:rPr>
          <w:szCs w:val="24"/>
          <w:lang w:val="fr-FR"/>
        </w:rPr>
        <w:t>intensité de rayonnement</w:t>
      </w:r>
      <w:r w:rsidR="00124E6E">
        <w:rPr>
          <w:szCs w:val="24"/>
          <w:lang w:val="fr-FR"/>
        </w:rPr>
        <w:t> »</w:t>
      </w:r>
      <w:r w:rsidR="00124E6E" w:rsidRPr="00640C9E">
        <w:rPr>
          <w:szCs w:val="24"/>
          <w:lang w:val="fr-FR"/>
        </w:rPr>
        <w:t xml:space="preserve"> par </w:t>
      </w:r>
      <w:r w:rsidR="00124E6E">
        <w:rPr>
          <w:szCs w:val="24"/>
          <w:lang w:val="fr-FR"/>
        </w:rPr>
        <w:t>« </w:t>
      </w:r>
      <w:bookmarkStart w:id="18" w:name="_Hlk2241608"/>
      <w:r w:rsidR="00124E6E">
        <w:rPr>
          <w:szCs w:val="24"/>
          <w:lang w:val="fr-FR"/>
        </w:rPr>
        <w:t xml:space="preserve">le </w:t>
      </w:r>
      <w:r w:rsidR="00124E6E" w:rsidRPr="00640C9E">
        <w:rPr>
          <w:szCs w:val="24"/>
          <w:lang w:val="fr-FR"/>
        </w:rPr>
        <w:t>débit de dose</w:t>
      </w:r>
      <w:r w:rsidR="00124E6E">
        <w:rPr>
          <w:szCs w:val="24"/>
          <w:lang w:val="fr-FR"/>
        </w:rPr>
        <w:t> </w:t>
      </w:r>
      <w:bookmarkEnd w:id="18"/>
      <w:r w:rsidR="00124E6E">
        <w:rPr>
          <w:szCs w:val="24"/>
          <w:lang w:val="fr-FR"/>
        </w:rPr>
        <w:t>»</w:t>
      </w:r>
      <w:r w:rsidR="00124E6E" w:rsidRPr="00640C9E">
        <w:rPr>
          <w:szCs w:val="24"/>
          <w:lang w:val="fr-FR"/>
        </w:rPr>
        <w:t xml:space="preserve">. </w:t>
      </w:r>
    </w:p>
    <w:p w:rsidR="00124E6E" w:rsidRDefault="00B926A4" w:rsidP="00A23C89">
      <w:pPr>
        <w:pStyle w:val="SingleTxtG"/>
        <w:tabs>
          <w:tab w:val="left" w:pos="2268"/>
        </w:tabs>
        <w:ind w:left="2259" w:hanging="1125"/>
        <w:rPr>
          <w:szCs w:val="24"/>
          <w:lang w:val="fr-FR"/>
        </w:rPr>
      </w:pPr>
      <w:r>
        <w:rPr>
          <w:szCs w:val="24"/>
          <w:lang w:val="fr-FR"/>
        </w:rPr>
        <w:tab/>
      </w:r>
      <w:r w:rsidR="00124E6E">
        <w:rPr>
          <w:szCs w:val="24"/>
          <w:lang w:val="fr-FR"/>
        </w:rPr>
        <w:t>Au début de l’alinéa a), remplacer « l’expéditeur, le destinataire, le transporteur » par « l’expéditeur, le transporteur, le destinataire ».</w:t>
      </w:r>
    </w:p>
    <w:p w:rsidR="00124E6E" w:rsidRPr="00640C9E" w:rsidRDefault="00B926A4" w:rsidP="00A23C89">
      <w:pPr>
        <w:pStyle w:val="SingleTxtG"/>
        <w:tabs>
          <w:tab w:val="left" w:pos="2268"/>
        </w:tabs>
        <w:ind w:left="2259" w:hanging="1125"/>
        <w:rPr>
          <w:szCs w:val="24"/>
        </w:rPr>
      </w:pPr>
      <w:r>
        <w:rPr>
          <w:szCs w:val="24"/>
          <w:lang w:val="fr-FR"/>
        </w:rPr>
        <w:tab/>
      </w:r>
      <w:r w:rsidR="00124E6E" w:rsidRPr="00640C9E">
        <w:rPr>
          <w:szCs w:val="24"/>
          <w:lang w:val="fr-FR"/>
        </w:rPr>
        <w:t>Au début de l</w:t>
      </w:r>
      <w:r w:rsidR="00124E6E">
        <w:rPr>
          <w:szCs w:val="24"/>
          <w:lang w:val="fr-FR"/>
        </w:rPr>
        <w:t>’</w:t>
      </w:r>
      <w:r w:rsidR="00124E6E" w:rsidRPr="00640C9E">
        <w:rPr>
          <w:szCs w:val="24"/>
          <w:lang w:val="fr-FR"/>
        </w:rPr>
        <w:t xml:space="preserve">alinéa b), remplacer </w:t>
      </w:r>
      <w:r w:rsidR="00124E6E">
        <w:rPr>
          <w:szCs w:val="24"/>
          <w:lang w:val="fr-FR"/>
        </w:rPr>
        <w:t>« </w:t>
      </w:r>
      <w:bookmarkStart w:id="19" w:name="_Hlk536801818"/>
      <w:r w:rsidR="00124E6E">
        <w:rPr>
          <w:szCs w:val="24"/>
          <w:lang w:val="fr-FR"/>
        </w:rPr>
        <w:t>le transporteur, l'expéditeur ou le destinataire</w:t>
      </w:r>
      <w:bookmarkEnd w:id="19"/>
      <w:r w:rsidR="00124E6E">
        <w:rPr>
          <w:szCs w:val="24"/>
          <w:lang w:val="fr-FR"/>
        </w:rPr>
        <w:t> »</w:t>
      </w:r>
      <w:r w:rsidR="00124E6E" w:rsidRPr="00640C9E">
        <w:rPr>
          <w:szCs w:val="24"/>
          <w:lang w:val="fr-FR"/>
        </w:rPr>
        <w:t xml:space="preserve"> par </w:t>
      </w:r>
      <w:bookmarkStart w:id="20" w:name="_Hlk2242149"/>
      <w:r w:rsidR="00124E6E" w:rsidRPr="00023163">
        <w:rPr>
          <w:iCs/>
          <w:szCs w:val="24"/>
          <w:lang w:val="fr-FR"/>
        </w:rPr>
        <w:t>« l’expéditeur, le transporteur ou le destinataire</w:t>
      </w:r>
      <w:r w:rsidR="00124E6E" w:rsidRPr="00D574D6">
        <w:rPr>
          <w:i/>
          <w:szCs w:val="24"/>
          <w:lang w:val="fr-FR"/>
        </w:rPr>
        <w:t> </w:t>
      </w:r>
      <w:bookmarkEnd w:id="20"/>
      <w:r w:rsidR="00124E6E" w:rsidRPr="00D574D6">
        <w:rPr>
          <w:i/>
          <w:szCs w:val="24"/>
          <w:lang w:val="fr-FR"/>
        </w:rPr>
        <w:t>».</w:t>
      </w:r>
      <w:r w:rsidR="00124E6E" w:rsidRPr="00640C9E">
        <w:rPr>
          <w:szCs w:val="24"/>
          <w:lang w:val="fr-FR"/>
        </w:rPr>
        <w:t xml:space="preserve"> Au point iii) de l</w:t>
      </w:r>
      <w:r w:rsidR="00124E6E">
        <w:rPr>
          <w:szCs w:val="24"/>
          <w:lang w:val="fr-FR"/>
        </w:rPr>
        <w:t>’</w:t>
      </w:r>
      <w:r w:rsidR="00124E6E" w:rsidRPr="00640C9E">
        <w:rPr>
          <w:szCs w:val="24"/>
          <w:lang w:val="fr-FR"/>
        </w:rPr>
        <w:t>alinéa</w:t>
      </w:r>
      <w:r w:rsidR="00124E6E">
        <w:rPr>
          <w:szCs w:val="24"/>
          <w:lang w:val="fr-FR"/>
        </w:rPr>
        <w:t> </w:t>
      </w:r>
      <w:r w:rsidR="00124E6E" w:rsidRPr="00640C9E">
        <w:rPr>
          <w:szCs w:val="24"/>
          <w:lang w:val="fr-FR"/>
        </w:rPr>
        <w:t xml:space="preserve">b), remplacer </w:t>
      </w:r>
      <w:r w:rsidR="00124E6E">
        <w:rPr>
          <w:szCs w:val="24"/>
          <w:lang w:val="fr-FR"/>
        </w:rPr>
        <w:t>« </w:t>
      </w:r>
      <w:r w:rsidR="00124E6E" w:rsidRPr="00640C9E">
        <w:rPr>
          <w:szCs w:val="24"/>
          <w:lang w:val="fr-FR"/>
        </w:rPr>
        <w:t>de circonstances analogues</w:t>
      </w:r>
      <w:r w:rsidR="00124E6E">
        <w:rPr>
          <w:szCs w:val="24"/>
          <w:lang w:val="fr-FR"/>
        </w:rPr>
        <w:t> »</w:t>
      </w:r>
      <w:r w:rsidR="00124E6E" w:rsidRPr="00640C9E">
        <w:rPr>
          <w:szCs w:val="24"/>
          <w:lang w:val="fr-FR"/>
        </w:rPr>
        <w:t xml:space="preserve"> par </w:t>
      </w:r>
      <w:r w:rsidR="00124E6E">
        <w:rPr>
          <w:szCs w:val="24"/>
          <w:lang w:val="fr-FR"/>
        </w:rPr>
        <w:t>« </w:t>
      </w:r>
      <w:bookmarkStart w:id="21" w:name="_Hlk2243291"/>
      <w:r w:rsidR="00124E6E" w:rsidRPr="00640C9E">
        <w:rPr>
          <w:szCs w:val="24"/>
          <w:lang w:val="fr-FR"/>
        </w:rPr>
        <w:t>de causes et de circonstances analogues</w:t>
      </w:r>
      <w:r w:rsidR="00124E6E">
        <w:rPr>
          <w:szCs w:val="24"/>
          <w:lang w:val="fr-FR"/>
        </w:rPr>
        <w:t> </w:t>
      </w:r>
      <w:bookmarkEnd w:id="21"/>
      <w:r w:rsidR="00124E6E">
        <w:rPr>
          <w:szCs w:val="24"/>
          <w:lang w:val="fr-FR"/>
        </w:rPr>
        <w:t>»</w:t>
      </w:r>
      <w:r w:rsidR="00124E6E" w:rsidRPr="00640C9E">
        <w:rPr>
          <w:szCs w:val="24"/>
          <w:lang w:val="fr-FR"/>
        </w:rPr>
        <w:t>.</w:t>
      </w:r>
      <w:r w:rsidR="00124E6E">
        <w:rPr>
          <w:szCs w:val="24"/>
          <w:lang w:val="fr-FR"/>
        </w:rPr>
        <w:t xml:space="preserve"> L’amendement à l’alinéa b) iv) dans la version anglaise est sans objet en français.</w:t>
      </w:r>
    </w:p>
    <w:p w:rsidR="00124E6E" w:rsidRPr="006B0E45" w:rsidRDefault="00124E6E" w:rsidP="00124E6E">
      <w:pPr>
        <w:pStyle w:val="H1G"/>
        <w:rPr>
          <w:lang w:val="fr-FR"/>
        </w:rPr>
      </w:pPr>
      <w:r w:rsidRPr="006B0E45">
        <w:rPr>
          <w:lang w:val="fr-FR"/>
        </w:rPr>
        <w:tab/>
      </w:r>
      <w:r w:rsidRPr="006B0E45">
        <w:rPr>
          <w:lang w:val="fr-FR"/>
        </w:rPr>
        <w:tab/>
        <w:t>Chapitre 1.</w:t>
      </w:r>
      <w:r>
        <w:rPr>
          <w:lang w:val="fr-FR"/>
        </w:rPr>
        <w:t>8</w:t>
      </w:r>
    </w:p>
    <w:p w:rsidR="00124E6E" w:rsidRPr="00640C9E" w:rsidRDefault="00124E6E" w:rsidP="00A23C89">
      <w:pPr>
        <w:pStyle w:val="SingleTxtG"/>
        <w:tabs>
          <w:tab w:val="left" w:pos="2268"/>
        </w:tabs>
        <w:ind w:left="2259" w:hanging="1125"/>
        <w:rPr>
          <w:szCs w:val="24"/>
        </w:rPr>
      </w:pPr>
      <w:r>
        <w:rPr>
          <w:szCs w:val="24"/>
          <w:lang w:val="fr-FR"/>
        </w:rPr>
        <w:t>1.8.5.3</w:t>
      </w:r>
      <w:r>
        <w:rPr>
          <w:szCs w:val="24"/>
          <w:lang w:val="fr-FR"/>
        </w:rPr>
        <w:tab/>
      </w:r>
      <w:r>
        <w:rPr>
          <w:szCs w:val="24"/>
          <w:lang w:val="fr-FR"/>
        </w:rPr>
        <w:tab/>
        <w:t xml:space="preserve">À l’alinéa b) sous « Dans un évènement impliquant des matières radioactives, les critères de perte de produit sont les suivants : », </w:t>
      </w:r>
      <w:r w:rsidRPr="00640C9E">
        <w:rPr>
          <w:szCs w:val="24"/>
          <w:lang w:val="fr-FR"/>
        </w:rPr>
        <w:t>remplacer</w:t>
      </w:r>
      <w:r>
        <w:rPr>
          <w:szCs w:val="24"/>
          <w:lang w:val="fr-FR"/>
        </w:rPr>
        <w:t> « Tableau II de la Collection Sécurité No 115 de l’AIEA - ‶</w:t>
      </w:r>
      <w:r w:rsidRPr="00640C9E">
        <w:rPr>
          <w:i/>
          <w:iCs/>
          <w:szCs w:val="24"/>
          <w:lang w:val="fr-FR"/>
        </w:rPr>
        <w:t>Normes fondamentales internationales de protection contre les rayonnements ionisants et de sûreté des sources de rayonnements</w:t>
      </w:r>
      <w:r>
        <w:rPr>
          <w:i/>
          <w:iCs/>
          <w:szCs w:val="24"/>
          <w:lang w:val="fr-FR"/>
        </w:rPr>
        <w:t>″</w:t>
      </w:r>
      <w:r w:rsidRPr="00640C9E">
        <w:rPr>
          <w:szCs w:val="24"/>
          <w:lang w:val="fr-FR"/>
        </w:rPr>
        <w:t xml:space="preserve">, </w:t>
      </w:r>
      <w:r>
        <w:rPr>
          <w:szCs w:val="24"/>
          <w:lang w:val="fr-FR"/>
        </w:rPr>
        <w:t>C</w:t>
      </w:r>
      <w:r w:rsidRPr="00640C9E">
        <w:rPr>
          <w:szCs w:val="24"/>
          <w:lang w:val="fr-FR"/>
        </w:rPr>
        <w:t>ollection Sécurité, n</w:t>
      </w:r>
      <w:r w:rsidRPr="00640C9E">
        <w:rPr>
          <w:szCs w:val="24"/>
          <w:vertAlign w:val="superscript"/>
          <w:lang w:val="fr-FR"/>
        </w:rPr>
        <w:t>o</w:t>
      </w:r>
      <w:r>
        <w:rPr>
          <w:szCs w:val="24"/>
          <w:lang w:val="fr-FR"/>
        </w:rPr>
        <w:t> </w:t>
      </w:r>
      <w:r w:rsidRPr="00640C9E">
        <w:rPr>
          <w:szCs w:val="24"/>
          <w:lang w:val="fr-FR"/>
        </w:rPr>
        <w:t>115, AIEA, Vienne (1996)</w:t>
      </w:r>
      <w:r>
        <w:rPr>
          <w:szCs w:val="24"/>
          <w:lang w:val="fr-FR"/>
        </w:rPr>
        <w:t> »</w:t>
      </w:r>
      <w:r w:rsidRPr="00640C9E">
        <w:rPr>
          <w:szCs w:val="24"/>
          <w:lang w:val="fr-FR"/>
        </w:rPr>
        <w:t xml:space="preserve">, par </w:t>
      </w:r>
      <w:bookmarkStart w:id="22" w:name="_Hlk2236936"/>
      <w:r>
        <w:rPr>
          <w:szCs w:val="24"/>
          <w:lang w:val="fr-FR"/>
        </w:rPr>
        <w:t>« "</w:t>
      </w:r>
      <w:r w:rsidRPr="00640C9E">
        <w:rPr>
          <w:i/>
          <w:iCs/>
          <w:szCs w:val="24"/>
          <w:lang w:val="fr-FR"/>
        </w:rPr>
        <w:t>Radioprotection et sûreté des sources de rayonnements</w:t>
      </w:r>
      <w:r>
        <w:rPr>
          <w:i/>
          <w:iCs/>
          <w:szCs w:val="24"/>
          <w:lang w:val="fr-FR"/>
        </w:rPr>
        <w:t> :</w:t>
      </w:r>
      <w:r w:rsidRPr="00640C9E">
        <w:rPr>
          <w:i/>
          <w:iCs/>
          <w:szCs w:val="24"/>
          <w:lang w:val="fr-FR"/>
        </w:rPr>
        <w:t xml:space="preserve"> normes fondamentales internationales de sûreté</w:t>
      </w:r>
      <w:r>
        <w:rPr>
          <w:i/>
          <w:iCs/>
          <w:szCs w:val="24"/>
          <w:lang w:val="fr-FR"/>
        </w:rPr>
        <w:t>"</w:t>
      </w:r>
      <w:r w:rsidRPr="00640C9E">
        <w:rPr>
          <w:szCs w:val="24"/>
          <w:lang w:val="fr-FR"/>
        </w:rPr>
        <w:t>, collection Normes de sûreté de l</w:t>
      </w:r>
      <w:r>
        <w:rPr>
          <w:szCs w:val="24"/>
          <w:lang w:val="fr-FR"/>
        </w:rPr>
        <w:t>’</w:t>
      </w:r>
      <w:r w:rsidRPr="00640C9E">
        <w:rPr>
          <w:szCs w:val="24"/>
          <w:lang w:val="fr-FR"/>
        </w:rPr>
        <w:t>AIEA, n</w:t>
      </w:r>
      <w:r w:rsidRPr="00640C9E">
        <w:rPr>
          <w:szCs w:val="24"/>
          <w:vertAlign w:val="superscript"/>
          <w:lang w:val="fr-FR"/>
        </w:rPr>
        <w:t>o</w:t>
      </w:r>
      <w:r w:rsidRPr="00640C9E">
        <w:rPr>
          <w:szCs w:val="24"/>
          <w:lang w:val="fr-FR"/>
        </w:rPr>
        <w:t> GSR Part 3, AIEA, Vienne (2014)</w:t>
      </w:r>
      <w:bookmarkEnd w:id="22"/>
      <w:r>
        <w:rPr>
          <w:szCs w:val="24"/>
          <w:lang w:val="fr-FR"/>
        </w:rPr>
        <w:t> »</w:t>
      </w:r>
      <w:r w:rsidRPr="00640C9E">
        <w:rPr>
          <w:szCs w:val="24"/>
          <w:lang w:val="fr-FR"/>
        </w:rPr>
        <w:t>.</w:t>
      </w:r>
    </w:p>
    <w:p w:rsidR="00124E6E" w:rsidRPr="006B0E45" w:rsidRDefault="00124E6E" w:rsidP="00124E6E">
      <w:pPr>
        <w:pStyle w:val="H1G"/>
        <w:rPr>
          <w:lang w:val="fr-FR"/>
        </w:rPr>
      </w:pPr>
      <w:r w:rsidRPr="006B0E45">
        <w:rPr>
          <w:lang w:val="fr-FR"/>
        </w:rPr>
        <w:tab/>
      </w:r>
      <w:r w:rsidRPr="006B0E45">
        <w:rPr>
          <w:lang w:val="fr-FR"/>
        </w:rPr>
        <w:tab/>
        <w:t xml:space="preserve">Chapitre </w:t>
      </w:r>
      <w:r>
        <w:rPr>
          <w:lang w:val="fr-FR"/>
        </w:rPr>
        <w:t>1.10</w:t>
      </w:r>
    </w:p>
    <w:p w:rsidR="00B926A4" w:rsidRDefault="00124E6E" w:rsidP="00A23C89">
      <w:pPr>
        <w:pStyle w:val="SingleTxtG"/>
        <w:tabs>
          <w:tab w:val="left" w:pos="2268"/>
        </w:tabs>
        <w:ind w:left="2259" w:hanging="1125"/>
        <w:rPr>
          <w:lang w:val="fr-FR"/>
        </w:rPr>
      </w:pPr>
      <w:r>
        <w:rPr>
          <w:lang w:val="fr-FR"/>
        </w:rPr>
        <w:t>T</w:t>
      </w:r>
      <w:r w:rsidRPr="00724238">
        <w:rPr>
          <w:lang w:val="fr-FR"/>
        </w:rPr>
        <w:t>ableau</w:t>
      </w:r>
      <w:r>
        <w:rPr>
          <w:lang w:val="fr-FR"/>
        </w:rPr>
        <w:t xml:space="preserve"> 1.10.3.1.2</w:t>
      </w:r>
    </w:p>
    <w:p w:rsidR="00124E6E" w:rsidRDefault="00124E6E" w:rsidP="00A23C89">
      <w:pPr>
        <w:pStyle w:val="SingleTxtG"/>
        <w:tabs>
          <w:tab w:val="left" w:pos="2268"/>
        </w:tabs>
        <w:ind w:left="2259" w:hanging="1125"/>
        <w:rPr>
          <w:lang w:val="fr-FR"/>
        </w:rPr>
      </w:pPr>
      <w:r w:rsidRPr="00724238">
        <w:rPr>
          <w:lang w:val="fr-FR"/>
        </w:rPr>
        <w:t xml:space="preserve"> </w:t>
      </w:r>
      <w:r>
        <w:rPr>
          <w:lang w:val="fr-FR"/>
        </w:rPr>
        <w:tab/>
        <w:t>Faire les modifications suivantes :</w:t>
      </w:r>
    </w:p>
    <w:p w:rsidR="00124E6E" w:rsidRPr="00724238" w:rsidRDefault="00B926A4" w:rsidP="00A23C89">
      <w:pPr>
        <w:pStyle w:val="SingleTxtG"/>
        <w:tabs>
          <w:tab w:val="left" w:pos="2268"/>
        </w:tabs>
        <w:ind w:left="2259" w:hanging="1125"/>
        <w:rPr>
          <w:lang w:val="fr-FR"/>
        </w:rPr>
      </w:pPr>
      <w:r>
        <w:rPr>
          <w:lang w:val="fr-FR"/>
        </w:rPr>
        <w:tab/>
      </w:r>
      <w:r w:rsidR="00124E6E">
        <w:rPr>
          <w:lang w:val="fr-FR"/>
        </w:rPr>
        <w:t xml:space="preserve">Pour Classe 1, Division 1.4, dans la colonne « Matière ou objets », remplacer « et 0500 » par </w:t>
      </w:r>
      <w:proofErr w:type="gramStart"/>
      <w:r w:rsidR="00124E6E">
        <w:rPr>
          <w:lang w:val="fr-FR"/>
        </w:rPr>
        <w:t>« ,</w:t>
      </w:r>
      <w:proofErr w:type="gramEnd"/>
      <w:r w:rsidR="00124E6E">
        <w:rPr>
          <w:lang w:val="fr-FR"/>
        </w:rPr>
        <w:t xml:space="preserve"> 0500, 0512 et 0513 ».</w:t>
      </w:r>
    </w:p>
    <w:p w:rsidR="00124E6E" w:rsidRDefault="00B926A4" w:rsidP="00A23C89">
      <w:pPr>
        <w:pStyle w:val="SingleTxtG"/>
        <w:tabs>
          <w:tab w:val="left" w:pos="2268"/>
        </w:tabs>
        <w:ind w:left="2259" w:hanging="1125"/>
        <w:rPr>
          <w:lang w:val="fr-FR"/>
        </w:rPr>
      </w:pPr>
      <w:r>
        <w:rPr>
          <w:lang w:val="fr-FR"/>
        </w:rPr>
        <w:tab/>
      </w:r>
      <w:r w:rsidR="00124E6E">
        <w:rPr>
          <w:lang w:val="fr-FR"/>
        </w:rPr>
        <w:t>Ajouter la nouvelle ligne suivante après « Classe 1, Division 1.5 » :</w:t>
      </w: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4"/>
        <w:gridCol w:w="1277"/>
        <w:gridCol w:w="2270"/>
        <w:gridCol w:w="814"/>
        <w:gridCol w:w="1084"/>
        <w:gridCol w:w="1086"/>
      </w:tblGrid>
      <w:tr w:rsidR="00124E6E" w:rsidRPr="008E4947" w:rsidTr="00124E6E">
        <w:trPr>
          <w:cantSplit/>
          <w:tblHeade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suppressAutoHyphens w:val="0"/>
              <w:spacing w:before="20" w:after="20" w:line="216" w:lineRule="auto"/>
              <w:ind w:left="1418" w:hanging="1418"/>
              <w:jc w:val="center"/>
              <w:rPr>
                <w:b/>
                <w:bCs/>
                <w:lang w:val="fr-FR"/>
              </w:rPr>
            </w:pPr>
            <w:r w:rsidRPr="00AB7C1B">
              <w:rPr>
                <w:b/>
                <w:bCs/>
                <w:lang w:val="fr-FR"/>
              </w:rPr>
              <w:t>Class</w:t>
            </w:r>
            <w:r>
              <w:rPr>
                <w:b/>
                <w:bCs/>
                <w:lang w:val="fr-FR"/>
              </w:rPr>
              <w:t>e</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suppressAutoHyphens w:val="0"/>
              <w:spacing w:before="20" w:after="20" w:line="216" w:lineRule="auto"/>
              <w:ind w:left="1418" w:hanging="1418"/>
              <w:jc w:val="center"/>
              <w:rPr>
                <w:b/>
                <w:bCs/>
                <w:lang w:val="fr-FR"/>
              </w:rPr>
            </w:pPr>
            <w:r w:rsidRPr="00AB7C1B">
              <w:rPr>
                <w:b/>
                <w:bCs/>
                <w:lang w:val="fr-FR"/>
              </w:rPr>
              <w:t>Division</w:t>
            </w:r>
          </w:p>
        </w:tc>
        <w:tc>
          <w:tcPr>
            <w:tcW w:w="2270" w:type="dxa"/>
            <w:vMerge w:val="restart"/>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suppressAutoHyphens w:val="0"/>
              <w:spacing w:before="20" w:after="20" w:line="216" w:lineRule="auto"/>
              <w:ind w:left="1418" w:hanging="1418"/>
              <w:jc w:val="center"/>
              <w:rPr>
                <w:b/>
                <w:bCs/>
                <w:lang w:val="fr-FR"/>
              </w:rPr>
            </w:pPr>
            <w:r>
              <w:rPr>
                <w:b/>
                <w:bCs/>
                <w:lang w:val="fr-FR"/>
              </w:rPr>
              <w:t>Matière ou objet</w:t>
            </w:r>
          </w:p>
        </w:tc>
        <w:tc>
          <w:tcPr>
            <w:tcW w:w="2984" w:type="dxa"/>
            <w:gridSpan w:val="3"/>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suppressAutoHyphens w:val="0"/>
              <w:spacing w:before="20" w:after="20" w:line="216" w:lineRule="auto"/>
              <w:ind w:left="1418" w:hanging="1418"/>
              <w:jc w:val="center"/>
              <w:rPr>
                <w:b/>
                <w:bCs/>
                <w:lang w:val="fr-FR"/>
              </w:rPr>
            </w:pPr>
            <w:r>
              <w:rPr>
                <w:b/>
                <w:bCs/>
                <w:lang w:val="fr-FR"/>
              </w:rPr>
              <w:t>Quantité</w:t>
            </w:r>
          </w:p>
        </w:tc>
      </w:tr>
      <w:tr w:rsidR="00124E6E" w:rsidRPr="008E4947" w:rsidTr="00124E6E">
        <w:trPr>
          <w:cantSplit/>
          <w:tblHeade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24E6E" w:rsidRPr="00AB7C1B" w:rsidRDefault="00124E6E" w:rsidP="00124E6E">
            <w:pPr>
              <w:suppressAutoHyphens w:val="0"/>
              <w:spacing w:line="240" w:lineRule="auto"/>
              <w:rPr>
                <w:b/>
                <w:bCs/>
                <w:lang w:val="fr-FR"/>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24E6E" w:rsidRPr="00AB7C1B" w:rsidRDefault="00124E6E" w:rsidP="00124E6E">
            <w:pPr>
              <w:suppressAutoHyphens w:val="0"/>
              <w:spacing w:line="240" w:lineRule="auto"/>
              <w:rPr>
                <w:b/>
                <w:bCs/>
                <w:lang w:val="fr-FR"/>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24E6E" w:rsidRPr="00AB7C1B" w:rsidRDefault="00124E6E" w:rsidP="00124E6E">
            <w:pPr>
              <w:suppressAutoHyphens w:val="0"/>
              <w:spacing w:line="240" w:lineRule="auto"/>
              <w:rPr>
                <w:b/>
                <w:bCs/>
                <w:lang w:val="fr-FR"/>
              </w:rPr>
            </w:pPr>
          </w:p>
        </w:tc>
        <w:tc>
          <w:tcPr>
            <w:tcW w:w="814" w:type="dxa"/>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suppressAutoHyphens w:val="0"/>
              <w:spacing w:before="20" w:after="20" w:line="216" w:lineRule="auto"/>
              <w:ind w:left="1418" w:hanging="1411"/>
              <w:jc w:val="center"/>
              <w:rPr>
                <w:b/>
                <w:bCs/>
                <w:lang w:val="fr-FR"/>
              </w:rPr>
            </w:pPr>
            <w:r>
              <w:rPr>
                <w:b/>
                <w:bCs/>
                <w:lang w:val="fr-FR"/>
              </w:rPr>
              <w:t>Citerne</w:t>
            </w:r>
          </w:p>
          <w:p w:rsidR="00124E6E" w:rsidRPr="00AB7C1B" w:rsidRDefault="00124E6E" w:rsidP="00124E6E">
            <w:pPr>
              <w:suppressAutoHyphens w:val="0"/>
              <w:spacing w:before="20" w:after="20" w:line="216" w:lineRule="auto"/>
              <w:ind w:left="1418" w:hanging="1411"/>
              <w:jc w:val="center"/>
              <w:rPr>
                <w:b/>
                <w:bCs/>
                <w:lang w:val="fr-FR"/>
              </w:rPr>
            </w:pPr>
            <w:r w:rsidRPr="00AB7C1B">
              <w:rPr>
                <w:b/>
                <w:bCs/>
                <w:lang w:val="fr-FR"/>
              </w:rPr>
              <w:t>(</w:t>
            </w:r>
            <w:r w:rsidRPr="00AB7C1B">
              <w:rPr>
                <w:b/>
                <w:bCs/>
                <w:i/>
                <w:iCs/>
                <w:lang w:val="fr-FR"/>
              </w:rPr>
              <w:t>l</w:t>
            </w:r>
            <w:r w:rsidRPr="00AB7C1B">
              <w:rPr>
                <w:b/>
                <w:bCs/>
                <w:lang w:val="fr-FR"/>
              </w:rPr>
              <w:t>)</w:t>
            </w:r>
            <w:r w:rsidRPr="00AB7C1B">
              <w:rPr>
                <w:b/>
                <w:bCs/>
                <w:vertAlign w:val="superscript"/>
                <w:lang w:val="fr-FR"/>
              </w:rPr>
              <w:t xml:space="preserve"> c</w:t>
            </w:r>
          </w:p>
        </w:tc>
        <w:tc>
          <w:tcPr>
            <w:tcW w:w="1084" w:type="dxa"/>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suppressAutoHyphens w:val="0"/>
              <w:spacing w:before="20" w:after="20" w:line="216" w:lineRule="auto"/>
              <w:ind w:left="1418" w:hanging="1411"/>
              <w:jc w:val="center"/>
              <w:rPr>
                <w:b/>
                <w:bCs/>
                <w:lang w:val="fr-FR"/>
              </w:rPr>
            </w:pPr>
            <w:r>
              <w:rPr>
                <w:b/>
                <w:bCs/>
                <w:lang w:val="fr-FR"/>
              </w:rPr>
              <w:t>Vrac</w:t>
            </w:r>
          </w:p>
          <w:p w:rsidR="00124E6E" w:rsidRPr="00AB7C1B" w:rsidRDefault="00124E6E" w:rsidP="00124E6E">
            <w:pPr>
              <w:suppressAutoHyphens w:val="0"/>
              <w:spacing w:before="20" w:after="20" w:line="216" w:lineRule="auto"/>
              <w:ind w:left="1418" w:hanging="1411"/>
              <w:jc w:val="center"/>
              <w:rPr>
                <w:b/>
                <w:bCs/>
                <w:lang w:val="fr-FR"/>
              </w:rPr>
            </w:pPr>
            <w:r w:rsidRPr="00AB7C1B">
              <w:rPr>
                <w:b/>
                <w:bCs/>
                <w:lang w:val="fr-FR"/>
              </w:rPr>
              <w:t>(</w:t>
            </w:r>
            <w:proofErr w:type="gramStart"/>
            <w:r w:rsidRPr="00AB7C1B">
              <w:rPr>
                <w:b/>
                <w:bCs/>
                <w:lang w:val="fr-FR"/>
              </w:rPr>
              <w:t>kg</w:t>
            </w:r>
            <w:proofErr w:type="gramEnd"/>
            <w:r w:rsidRPr="00AB7C1B">
              <w:rPr>
                <w:b/>
                <w:bCs/>
                <w:lang w:val="fr-FR"/>
              </w:rPr>
              <w:t>)</w:t>
            </w:r>
            <w:r w:rsidRPr="00AB7C1B">
              <w:rPr>
                <w:b/>
                <w:bCs/>
                <w:vertAlign w:val="superscript"/>
                <w:lang w:val="fr-FR"/>
              </w:rPr>
              <w:t xml:space="preserve"> d</w:t>
            </w:r>
          </w:p>
        </w:tc>
        <w:tc>
          <w:tcPr>
            <w:tcW w:w="1086" w:type="dxa"/>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suppressAutoHyphens w:val="0"/>
              <w:spacing w:before="20" w:after="20" w:line="216" w:lineRule="auto"/>
              <w:ind w:left="49"/>
              <w:jc w:val="center"/>
              <w:rPr>
                <w:b/>
                <w:bCs/>
                <w:lang w:val="fr-FR"/>
              </w:rPr>
            </w:pPr>
            <w:r>
              <w:rPr>
                <w:b/>
                <w:bCs/>
                <w:lang w:val="fr-FR"/>
              </w:rPr>
              <w:t>Colis</w:t>
            </w:r>
          </w:p>
          <w:p w:rsidR="00124E6E" w:rsidRPr="00AB7C1B" w:rsidRDefault="00124E6E" w:rsidP="00124E6E">
            <w:pPr>
              <w:suppressAutoHyphens w:val="0"/>
              <w:spacing w:before="20" w:after="20" w:line="216" w:lineRule="auto"/>
              <w:ind w:left="43"/>
              <w:jc w:val="center"/>
              <w:rPr>
                <w:b/>
                <w:bCs/>
                <w:lang w:val="fr-FR"/>
              </w:rPr>
            </w:pPr>
            <w:r w:rsidRPr="00AB7C1B">
              <w:rPr>
                <w:b/>
                <w:bCs/>
                <w:lang w:val="fr-FR"/>
              </w:rPr>
              <w:t>(</w:t>
            </w:r>
            <w:proofErr w:type="gramStart"/>
            <w:r w:rsidRPr="00AB7C1B">
              <w:rPr>
                <w:b/>
                <w:bCs/>
                <w:lang w:val="fr-FR"/>
              </w:rPr>
              <w:t>kg</w:t>
            </w:r>
            <w:proofErr w:type="gramEnd"/>
            <w:r w:rsidRPr="00AB7C1B">
              <w:rPr>
                <w:b/>
                <w:bCs/>
                <w:lang w:val="fr-FR"/>
              </w:rPr>
              <w:t>)</w:t>
            </w:r>
          </w:p>
        </w:tc>
      </w:tr>
      <w:tr w:rsidR="00124E6E" w:rsidRPr="008E4947" w:rsidTr="00124E6E">
        <w:trPr>
          <w:cantSplit/>
          <w:jc w:val="center"/>
        </w:trPr>
        <w:tc>
          <w:tcPr>
            <w:tcW w:w="1134" w:type="dxa"/>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keepNext/>
              <w:keepLines/>
              <w:suppressAutoHyphens w:val="0"/>
              <w:spacing w:before="20" w:after="20" w:line="216" w:lineRule="auto"/>
              <w:ind w:left="1418" w:hanging="1418"/>
              <w:jc w:val="center"/>
              <w:rPr>
                <w:lang w:val="fr-FR"/>
              </w:rPr>
            </w:pPr>
            <w:r w:rsidRPr="00AB7C1B">
              <w:rPr>
                <w:lang w:val="fr-FR"/>
              </w:rPr>
              <w:t>1</w:t>
            </w:r>
          </w:p>
        </w:tc>
        <w:tc>
          <w:tcPr>
            <w:tcW w:w="1277" w:type="dxa"/>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keepNext/>
              <w:keepLines/>
              <w:suppressAutoHyphens w:val="0"/>
              <w:spacing w:before="20" w:after="20" w:line="216" w:lineRule="auto"/>
              <w:ind w:left="1418" w:hanging="1418"/>
              <w:jc w:val="center"/>
              <w:rPr>
                <w:lang w:val="fr-FR"/>
              </w:rPr>
            </w:pPr>
            <w:r w:rsidRPr="00AB7C1B">
              <w:rPr>
                <w:lang w:val="fr-FR"/>
              </w:rPr>
              <w:t>1.6</w:t>
            </w:r>
          </w:p>
        </w:tc>
        <w:tc>
          <w:tcPr>
            <w:tcW w:w="2270" w:type="dxa"/>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keepLines/>
              <w:suppressAutoHyphens w:val="0"/>
              <w:spacing w:before="20" w:after="20" w:line="216" w:lineRule="auto"/>
              <w:rPr>
                <w:lang w:val="fr-FR"/>
              </w:rPr>
            </w:pPr>
            <w:r>
              <w:rPr>
                <w:lang w:val="fr-FR"/>
              </w:rPr>
              <w:t>Objets explosibles</w:t>
            </w:r>
          </w:p>
        </w:tc>
        <w:tc>
          <w:tcPr>
            <w:tcW w:w="814" w:type="dxa"/>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keepNext/>
              <w:keepLines/>
              <w:suppressAutoHyphens w:val="0"/>
              <w:spacing w:before="20" w:after="20" w:line="216" w:lineRule="auto"/>
              <w:ind w:left="1418" w:hanging="1418"/>
              <w:jc w:val="center"/>
              <w:rPr>
                <w:lang w:val="fr-FR"/>
              </w:rPr>
            </w:pPr>
            <w:proofErr w:type="gramStart"/>
            <w:r w:rsidRPr="00AB7C1B">
              <w:rPr>
                <w:b/>
                <w:bCs/>
                <w:vertAlign w:val="superscript"/>
                <w:lang w:val="fr-FR"/>
              </w:rPr>
              <w:t>a</w:t>
            </w:r>
            <w:proofErr w:type="gramEnd"/>
          </w:p>
        </w:tc>
        <w:tc>
          <w:tcPr>
            <w:tcW w:w="1084" w:type="dxa"/>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keepNext/>
              <w:keepLines/>
              <w:suppressAutoHyphens w:val="0"/>
              <w:spacing w:before="20" w:after="20" w:line="216" w:lineRule="auto"/>
              <w:ind w:left="1418" w:hanging="1418"/>
              <w:jc w:val="center"/>
              <w:rPr>
                <w:lang w:val="fr-FR"/>
              </w:rPr>
            </w:pPr>
            <w:proofErr w:type="gramStart"/>
            <w:r w:rsidRPr="00AB7C1B">
              <w:rPr>
                <w:b/>
                <w:bCs/>
                <w:vertAlign w:val="superscript"/>
                <w:lang w:val="fr-FR"/>
              </w:rPr>
              <w:t>a</w:t>
            </w:r>
            <w:proofErr w:type="gramEnd"/>
          </w:p>
        </w:tc>
        <w:tc>
          <w:tcPr>
            <w:tcW w:w="1086" w:type="dxa"/>
            <w:tcBorders>
              <w:top w:val="single" w:sz="4" w:space="0" w:color="auto"/>
              <w:left w:val="single" w:sz="4" w:space="0" w:color="auto"/>
              <w:bottom w:val="single" w:sz="4" w:space="0" w:color="auto"/>
              <w:right w:val="single" w:sz="4" w:space="0" w:color="auto"/>
            </w:tcBorders>
            <w:hideMark/>
          </w:tcPr>
          <w:p w:rsidR="00124E6E" w:rsidRPr="00AB7C1B" w:rsidRDefault="00124E6E" w:rsidP="00124E6E">
            <w:pPr>
              <w:keepNext/>
              <w:keepLines/>
              <w:suppressAutoHyphens w:val="0"/>
              <w:spacing w:before="20" w:after="20" w:line="216" w:lineRule="auto"/>
              <w:ind w:left="1418" w:hanging="1418"/>
              <w:jc w:val="center"/>
              <w:rPr>
                <w:lang w:val="fr-FR"/>
              </w:rPr>
            </w:pPr>
            <w:r w:rsidRPr="00AB7C1B">
              <w:rPr>
                <w:lang w:val="fr-FR"/>
              </w:rPr>
              <w:t>0</w:t>
            </w:r>
          </w:p>
        </w:tc>
      </w:tr>
    </w:tbl>
    <w:p w:rsidR="00124E6E" w:rsidRDefault="00B926A4" w:rsidP="00B926A4">
      <w:pPr>
        <w:pStyle w:val="SingleTxtG"/>
        <w:tabs>
          <w:tab w:val="left" w:pos="2268"/>
        </w:tabs>
        <w:spacing w:before="120"/>
        <w:ind w:left="2257" w:hanging="1123"/>
        <w:rPr>
          <w:lang w:val="fr-FR"/>
        </w:rPr>
      </w:pPr>
      <w:r>
        <w:rPr>
          <w:lang w:val="fr-FR"/>
        </w:rPr>
        <w:tab/>
      </w:r>
      <w:r w:rsidR="00124E6E">
        <w:rPr>
          <w:lang w:val="fr-FR"/>
        </w:rPr>
        <w:t>Pour Classe</w:t>
      </w:r>
      <w:r w:rsidR="00124E6E" w:rsidRPr="006B0E45">
        <w:rPr>
          <w:lang w:val="fr-FR"/>
        </w:rPr>
        <w:t xml:space="preserve"> 6.2</w:t>
      </w:r>
      <w:r w:rsidR="00124E6E">
        <w:rPr>
          <w:lang w:val="fr-FR"/>
        </w:rPr>
        <w:t>, modifier le texte de la colonne « Matière ou objets »</w:t>
      </w:r>
      <w:r w:rsidR="00124E6E" w:rsidRPr="006B0E45">
        <w:rPr>
          <w:lang w:val="fr-FR"/>
        </w:rPr>
        <w:t xml:space="preserve"> pour lire :</w:t>
      </w:r>
      <w:r>
        <w:rPr>
          <w:lang w:val="fr-FR"/>
        </w:rPr>
        <w:t xml:space="preserve"> </w:t>
      </w:r>
      <w:r w:rsidR="00124E6E">
        <w:rPr>
          <w:lang w:val="fr-FR"/>
        </w:rPr>
        <w:t>« M</w:t>
      </w:r>
      <w:r w:rsidR="00124E6E" w:rsidRPr="006B0E45">
        <w:rPr>
          <w:lang w:val="fr-FR"/>
        </w:rPr>
        <w:t xml:space="preserve">atières infectieuses de la catégorie A (Nos ONU 2814 et 2900 </w:t>
      </w:r>
      <w:r w:rsidR="00124E6E">
        <w:rPr>
          <w:lang w:val="fr-FR"/>
        </w:rPr>
        <w:t>[, à l’exception du matériel</w:t>
      </w:r>
      <w:r w:rsidR="008A2A0E">
        <w:rPr>
          <w:lang w:val="fr-FR"/>
        </w:rPr>
        <w:t xml:space="preserve"> </w:t>
      </w:r>
      <w:r w:rsidR="00124E6E">
        <w:rPr>
          <w:lang w:val="fr-FR"/>
        </w:rPr>
        <w:t xml:space="preserve">animal]) </w:t>
      </w:r>
      <w:r w:rsidR="00124E6E" w:rsidRPr="006B0E45">
        <w:rPr>
          <w:lang w:val="fr-FR"/>
        </w:rPr>
        <w:t>et déchets médicaux de la catégorie A (No ONU 3549)</w:t>
      </w:r>
      <w:r w:rsidR="00124E6E">
        <w:rPr>
          <w:lang w:val="fr-FR"/>
        </w:rPr>
        <w:t> ».</w:t>
      </w:r>
    </w:p>
    <w:p w:rsidR="00124E6E" w:rsidRPr="00105570" w:rsidRDefault="00124E6E" w:rsidP="00A23C89">
      <w:pPr>
        <w:pStyle w:val="SingleTxtG"/>
        <w:tabs>
          <w:tab w:val="left" w:pos="2268"/>
        </w:tabs>
        <w:ind w:left="2259" w:hanging="1125"/>
        <w:rPr>
          <w:lang w:val="fr-FR"/>
        </w:rPr>
      </w:pPr>
      <w:r>
        <w:rPr>
          <w:lang w:val="fr-FR"/>
        </w:rPr>
        <w:t>1.10.5</w:t>
      </w:r>
      <w:r>
        <w:rPr>
          <w:lang w:val="fr-FR"/>
        </w:rPr>
        <w:tab/>
        <w:t>Remplacer « La protection physique des matières et des installations nucléaires » par « </w:t>
      </w:r>
      <w:bookmarkStart w:id="23" w:name="_Hlk2240340"/>
      <w:r>
        <w:t>Recommandations de sécurité nucléaire sur la protection physique des matières nucléaires et des installations nucléaires </w:t>
      </w:r>
      <w:bookmarkEnd w:id="23"/>
      <w:r>
        <w:t xml:space="preserve">». </w:t>
      </w:r>
      <w:r>
        <w:rPr>
          <w:lang w:val="fr-FR"/>
        </w:rPr>
        <w:t>Dans la note de bas de page 26/2, remplacer « </w:t>
      </w:r>
      <w:r w:rsidRPr="00DD20E7">
        <w:rPr>
          <w:lang w:val="fr-FR"/>
        </w:rPr>
        <w:t>INFCIRC/225/Rev.4 (rectifié), AIEA, Vienne (1999)</w:t>
      </w:r>
      <w:r>
        <w:rPr>
          <w:lang w:val="fr-FR"/>
        </w:rPr>
        <w:t> » par « </w:t>
      </w:r>
      <w:bookmarkStart w:id="24" w:name="_Hlk2240366"/>
      <w:r>
        <w:rPr>
          <w:lang w:val="fr-FR"/>
        </w:rPr>
        <w:t xml:space="preserve">INFCIRC/225/Rev.5, </w:t>
      </w:r>
      <w:r w:rsidRPr="00DD20E7">
        <w:rPr>
          <w:lang w:val="fr-FR"/>
        </w:rPr>
        <w:t>AIEA, Vienne (</w:t>
      </w:r>
      <w:r>
        <w:rPr>
          <w:lang w:val="fr-FR"/>
        </w:rPr>
        <w:t>2011</w:t>
      </w:r>
      <w:r w:rsidRPr="00DD20E7">
        <w:rPr>
          <w:lang w:val="fr-FR"/>
        </w:rPr>
        <w:t>)</w:t>
      </w:r>
      <w:r>
        <w:rPr>
          <w:lang w:val="fr-FR"/>
        </w:rPr>
        <w:t> </w:t>
      </w:r>
      <w:bookmarkEnd w:id="24"/>
      <w:r>
        <w:rPr>
          <w:lang w:val="fr-FR"/>
        </w:rPr>
        <w:t>».</w:t>
      </w:r>
      <w:r>
        <w:rPr>
          <w:bCs/>
          <w:i/>
          <w:iCs/>
          <w:lang w:val="fr-FR"/>
        </w:rPr>
        <w:t xml:space="preserve"> </w:t>
      </w:r>
    </w:p>
    <w:p w:rsidR="00124E6E" w:rsidRDefault="00124E6E" w:rsidP="00124E6E">
      <w:pPr>
        <w:pStyle w:val="H1G"/>
        <w:rPr>
          <w:lang w:val="fr-FR"/>
        </w:rPr>
      </w:pPr>
      <w:r>
        <w:rPr>
          <w:lang w:val="fr-FR"/>
        </w:rPr>
        <w:tab/>
      </w:r>
      <w:r>
        <w:rPr>
          <w:lang w:val="fr-FR"/>
        </w:rPr>
        <w:tab/>
        <w:t>Chapitre 2.1</w:t>
      </w:r>
    </w:p>
    <w:p w:rsidR="00124E6E" w:rsidRPr="00461782" w:rsidRDefault="00124E6E" w:rsidP="00A23C89">
      <w:pPr>
        <w:pStyle w:val="SingleTxtG"/>
        <w:tabs>
          <w:tab w:val="left" w:pos="2268"/>
        </w:tabs>
        <w:ind w:left="2259" w:hanging="1125"/>
      </w:pPr>
      <w:r>
        <w:t>2.1.5.4</w:t>
      </w:r>
      <w:r>
        <w:tab/>
      </w:r>
      <w:r w:rsidRPr="00461782">
        <w:tab/>
      </w:r>
      <w:r>
        <w:t>À la fin, ajouter la nouvelle phrase suivante : « </w:t>
      </w:r>
      <w:bookmarkStart w:id="25" w:name="_Hlk2243344"/>
      <w:r w:rsidRPr="00325BAE">
        <w:rPr>
          <w:lang w:val="fr-FR"/>
        </w:rPr>
        <w:t xml:space="preserve">Cependant, elle s’applique aux objets contenant des matières explosibles qui sont exclus de la classe 1, conformément </w:t>
      </w:r>
      <w:r>
        <w:rPr>
          <w:lang w:val="fr-FR"/>
        </w:rPr>
        <w:t>au</w:t>
      </w:r>
      <w:r w:rsidRPr="00325BAE">
        <w:rPr>
          <w:lang w:val="fr-FR"/>
        </w:rPr>
        <w:t xml:space="preserve"> </w:t>
      </w:r>
      <w:r>
        <w:rPr>
          <w:lang w:val="fr-FR"/>
        </w:rPr>
        <w:t>2.2.1.1.8.2</w:t>
      </w:r>
      <w:r w:rsidRPr="00325BAE">
        <w:rPr>
          <w:lang w:val="fr-FR"/>
        </w:rPr>
        <w:t>. </w:t>
      </w:r>
      <w:bookmarkEnd w:id="25"/>
      <w:r w:rsidRPr="00325BAE">
        <w:rPr>
          <w:lang w:val="fr-FR"/>
        </w:rPr>
        <w:t>».</w:t>
      </w:r>
    </w:p>
    <w:p w:rsidR="00124E6E" w:rsidRDefault="00124E6E" w:rsidP="00124E6E">
      <w:pPr>
        <w:pStyle w:val="H1G"/>
        <w:rPr>
          <w:lang w:val="fr-FR"/>
        </w:rPr>
      </w:pPr>
      <w:r>
        <w:rPr>
          <w:lang w:val="fr-FR"/>
        </w:rPr>
        <w:tab/>
      </w:r>
      <w:r>
        <w:rPr>
          <w:lang w:val="fr-FR"/>
        </w:rPr>
        <w:tab/>
        <w:t>Chapitre 2.2</w:t>
      </w:r>
    </w:p>
    <w:p w:rsidR="00B926A4" w:rsidRDefault="00124E6E" w:rsidP="00A23C89">
      <w:pPr>
        <w:pStyle w:val="SingleTxtG"/>
        <w:tabs>
          <w:tab w:val="left" w:pos="2268"/>
        </w:tabs>
        <w:ind w:left="2259" w:hanging="1125"/>
      </w:pPr>
      <w:r>
        <w:rPr>
          <w:b/>
          <w:bCs/>
        </w:rPr>
        <w:t xml:space="preserve">(ADR :) </w:t>
      </w:r>
      <w:r>
        <w:t>2.2.1.1.7.2</w:t>
      </w:r>
    </w:p>
    <w:p w:rsidR="00124E6E" w:rsidRDefault="00124E6E" w:rsidP="00A23C89">
      <w:pPr>
        <w:pStyle w:val="SingleTxtG"/>
        <w:tabs>
          <w:tab w:val="left" w:pos="2268"/>
        </w:tabs>
        <w:ind w:left="2259" w:hanging="1125"/>
        <w:rPr>
          <w:b/>
          <w:bCs/>
        </w:rPr>
      </w:pPr>
      <w:r>
        <w:lastRenderedPageBreak/>
        <w:tab/>
        <w:t>Dans la première phrase, remplacer « et 0336 » par « ou 0336 ».</w:t>
      </w:r>
    </w:p>
    <w:p w:rsidR="00124E6E" w:rsidRDefault="00124E6E" w:rsidP="00A23C89">
      <w:pPr>
        <w:pStyle w:val="SingleTxtG"/>
        <w:tabs>
          <w:tab w:val="left" w:pos="2268"/>
        </w:tabs>
        <w:ind w:left="2259" w:hanging="1125"/>
      </w:pPr>
      <w:r>
        <w:t>2.2.1.1.7.2</w:t>
      </w:r>
      <w:r>
        <w:tab/>
        <w:t xml:space="preserve">Dans la première phrase, après « 0336 », insérer </w:t>
      </w:r>
      <w:proofErr w:type="gramStart"/>
      <w:r>
        <w:t>« </w:t>
      </w:r>
      <w:bookmarkStart w:id="26" w:name="_Hlk2243465"/>
      <w:r>
        <w:t>,</w:t>
      </w:r>
      <w:proofErr w:type="gramEnd"/>
      <w:r>
        <w:t xml:space="preserve"> et</w:t>
      </w:r>
      <w:r w:rsidRPr="00D26332">
        <w:t xml:space="preserve"> </w:t>
      </w:r>
      <w:r>
        <w:t xml:space="preserve">l’affectation </w:t>
      </w:r>
      <w:r w:rsidRPr="00D26332">
        <w:t xml:space="preserve">au No ONU 0431 des objets destinés aux effets scéniques, </w:t>
      </w:r>
      <w:r>
        <w:t xml:space="preserve">répondant à un type décrit dans </w:t>
      </w:r>
      <w:r w:rsidRPr="00D26332">
        <w:t xml:space="preserve">le tableau de classification des artifices de divertissement du </w:t>
      </w:r>
      <w:r>
        <w:rPr>
          <w:lang w:eastAsia="en-GB"/>
        </w:rPr>
        <w:t>2.2.1.1.7.5</w:t>
      </w:r>
      <w:r>
        <w:t xml:space="preserve"> et aux caractéristiques permettant une classification en 1.4G suivant ce tableau,</w:t>
      </w:r>
      <w:bookmarkEnd w:id="26"/>
      <w:r>
        <w:t> </w:t>
      </w:r>
      <w:r w:rsidRPr="00D26332">
        <w:t>».</w:t>
      </w:r>
    </w:p>
    <w:p w:rsidR="00124E6E" w:rsidRPr="00724238" w:rsidRDefault="00124E6E" w:rsidP="00A23C89">
      <w:pPr>
        <w:pStyle w:val="SingleTxtG"/>
        <w:tabs>
          <w:tab w:val="left" w:pos="2268"/>
        </w:tabs>
        <w:ind w:left="2259" w:hanging="1125"/>
      </w:pPr>
      <w:r>
        <w:rPr>
          <w:lang w:val="fr-FR"/>
        </w:rPr>
        <w:t>2.2.1.1.8.2</w:t>
      </w:r>
      <w:r w:rsidRPr="00724238">
        <w:rPr>
          <w:lang w:val="fr-FR"/>
        </w:rPr>
        <w:t xml:space="preserve"> b)</w:t>
      </w:r>
      <w:r w:rsidRPr="00724238">
        <w:rPr>
          <w:lang w:val="fr-FR"/>
        </w:rPr>
        <w:tab/>
        <w:t xml:space="preserve">Dans le Nota, supprimer «, telle que décrite </w:t>
      </w:r>
      <w:r>
        <w:rPr>
          <w:lang w:val="fr-FR"/>
        </w:rPr>
        <w:t>dan</w:t>
      </w:r>
      <w:r w:rsidRPr="00724238">
        <w:rPr>
          <w:lang w:val="fr-FR"/>
        </w:rPr>
        <w:t>s la norme ISO 12097-3 »</w:t>
      </w:r>
      <w:r>
        <w:rPr>
          <w:lang w:val="fr-FR"/>
        </w:rPr>
        <w:t xml:space="preserve"> et a</w:t>
      </w:r>
      <w:r w:rsidRPr="00724238">
        <w:rPr>
          <w:lang w:val="fr-FR"/>
        </w:rPr>
        <w:t>jouter la nouvelle deuxième phrase suivante :</w:t>
      </w:r>
      <w:r>
        <w:rPr>
          <w:lang w:val="fr-FR"/>
        </w:rPr>
        <w:t xml:space="preserve"> </w:t>
      </w:r>
      <w:r w:rsidRPr="00724238">
        <w:rPr>
          <w:lang w:val="fr-FR"/>
        </w:rPr>
        <w:t>« </w:t>
      </w:r>
      <w:bookmarkStart w:id="27" w:name="_Hlk2243585"/>
      <w:r w:rsidRPr="00724238">
        <w:rPr>
          <w:i/>
          <w:w w:val="105"/>
          <w:lang w:val="fr-FR"/>
        </w:rPr>
        <w:t>Une telle méthode est décrite dans la norme ISO 14451-2 en appliquant une vitesse de chauffe de 80 K/min</w:t>
      </w:r>
      <w:r w:rsidRPr="00724238">
        <w:rPr>
          <w:i/>
          <w:lang w:val="fr-FR"/>
        </w:rPr>
        <w:t>.</w:t>
      </w:r>
      <w:r w:rsidRPr="00724238">
        <w:rPr>
          <w:lang w:val="fr-FR"/>
        </w:rPr>
        <w:t> </w:t>
      </w:r>
      <w:bookmarkEnd w:id="27"/>
      <w:r w:rsidRPr="00724238">
        <w:rPr>
          <w:lang w:val="fr-FR"/>
        </w:rPr>
        <w:t>».</w:t>
      </w:r>
    </w:p>
    <w:p w:rsidR="00124E6E" w:rsidRDefault="00124E6E" w:rsidP="00A23C89">
      <w:pPr>
        <w:pStyle w:val="SingleTxtG"/>
        <w:tabs>
          <w:tab w:val="left" w:pos="2268"/>
        </w:tabs>
        <w:ind w:left="2259" w:hanging="1125"/>
      </w:pPr>
      <w:r>
        <w:t>2.2.1.4</w:t>
      </w:r>
      <w:r>
        <w:tab/>
        <w:t>Pour « </w:t>
      </w:r>
      <w:r w:rsidRPr="00B91D67">
        <w:t>OBJETS EXPLOSIFS EXTRÊMEMENT PEU SENSIBLES (OBJETS EEPS)</w:t>
      </w:r>
      <w:r>
        <w:t> », remplacer « Objets ne contenant que des matières extrêmement peu sensibles » par « </w:t>
      </w:r>
      <w:r w:rsidRPr="005407D4">
        <w:t>Objets contenants principalement des matières extrêmement peu sensibles</w:t>
      </w:r>
      <w:r>
        <w:t> ».</w:t>
      </w:r>
    </w:p>
    <w:p w:rsidR="00B926A4" w:rsidRPr="00AB7C1B" w:rsidRDefault="00B926A4" w:rsidP="00B926A4">
      <w:pPr>
        <w:pStyle w:val="SingleTxtG"/>
        <w:tabs>
          <w:tab w:val="left" w:pos="2268"/>
        </w:tabs>
        <w:ind w:left="2259" w:hanging="1125"/>
        <w:rPr>
          <w:i/>
          <w:iCs/>
          <w:szCs w:val="24"/>
        </w:rPr>
      </w:pPr>
      <w:r w:rsidRPr="00AB7C1B">
        <w:rPr>
          <w:i/>
          <w:iCs/>
          <w:szCs w:val="24"/>
        </w:rPr>
        <w:t>(Correction à la vingtième édition révisée du Règlement type)</w:t>
      </w:r>
    </w:p>
    <w:p w:rsidR="00124E6E" w:rsidRDefault="00124E6E" w:rsidP="00A23C89">
      <w:pPr>
        <w:pStyle w:val="SingleTxtG"/>
        <w:tabs>
          <w:tab w:val="left" w:pos="2268"/>
        </w:tabs>
        <w:ind w:left="2259" w:hanging="1125"/>
      </w:pPr>
      <w:r>
        <w:t>2.2.1.4</w:t>
      </w:r>
      <w:r>
        <w:tab/>
      </w:r>
      <w:r>
        <w:tab/>
        <w:t>Après la définition de « </w:t>
      </w:r>
      <w:r w:rsidRPr="0019315D">
        <w:t>DÉTONATEURS de mine (de sautage) ÉLECTRIQUES</w:t>
      </w:r>
      <w:r>
        <w:t xml:space="preserve"> », ajouter la nouvelle définition suivante : </w:t>
      </w:r>
    </w:p>
    <w:p w:rsidR="00124E6E" w:rsidRDefault="00B926A4" w:rsidP="00A23C89">
      <w:pPr>
        <w:pStyle w:val="SingleTxtG"/>
        <w:tabs>
          <w:tab w:val="left" w:pos="2268"/>
        </w:tabs>
        <w:ind w:left="2259" w:hanging="1125"/>
      </w:pPr>
      <w:r>
        <w:tab/>
      </w:r>
      <w:r w:rsidR="00124E6E">
        <w:t>« </w:t>
      </w:r>
      <w:r w:rsidR="00124E6E" w:rsidRPr="00AB7C1B">
        <w:t xml:space="preserve">DÉTONATEURS de mine (de sautage) ÉLECTRONIQUES </w:t>
      </w:r>
      <w:proofErr w:type="gramStart"/>
      <w:r w:rsidR="00124E6E" w:rsidRPr="00AB7C1B">
        <w:t>programmables</w:t>
      </w:r>
      <w:r w:rsidR="00124E6E" w:rsidRPr="0019315D">
        <w:t>:</w:t>
      </w:r>
      <w:proofErr w:type="gramEnd"/>
      <w:r w:rsidR="00124E6E" w:rsidRPr="0019315D">
        <w:t xml:space="preserve"> Nos ONU 0</w:t>
      </w:r>
      <w:r w:rsidR="00124E6E">
        <w:t>511</w:t>
      </w:r>
      <w:r w:rsidR="00124E6E" w:rsidRPr="0019315D">
        <w:t>, 0</w:t>
      </w:r>
      <w:r w:rsidR="00124E6E">
        <w:t>512</w:t>
      </w:r>
      <w:r w:rsidR="00124E6E" w:rsidRPr="0019315D">
        <w:t xml:space="preserve"> et 0</w:t>
      </w:r>
      <w:r w:rsidR="00124E6E">
        <w:t>513</w:t>
      </w:r>
    </w:p>
    <w:p w:rsidR="00124E6E" w:rsidRDefault="00B926A4" w:rsidP="00A23C89">
      <w:pPr>
        <w:pStyle w:val="SingleTxtG"/>
        <w:tabs>
          <w:tab w:val="left" w:pos="2268"/>
        </w:tabs>
        <w:ind w:left="2259" w:hanging="1125"/>
        <w:rPr>
          <w:sz w:val="22"/>
          <w:szCs w:val="22"/>
        </w:rPr>
      </w:pPr>
      <w:r>
        <w:tab/>
      </w:r>
      <w:r w:rsidR="00124E6E">
        <w:t>Détonateurs dotés de dispositifs de sûreté et de sécurité améliorés, utilisant des composants électroniques pour transmettre un signal de mise à feu avec des commandes validées et des communications sécurisées. Les détonateurs de ce type ne peuvent pas être initiés par d'autres moyens. ».</w:t>
      </w:r>
    </w:p>
    <w:p w:rsidR="00124E6E" w:rsidRPr="00FB2D02" w:rsidRDefault="00124E6E" w:rsidP="00A23C89">
      <w:pPr>
        <w:pStyle w:val="SingleTxtG"/>
        <w:tabs>
          <w:tab w:val="left" w:pos="2268"/>
        </w:tabs>
        <w:ind w:left="2259" w:hanging="1125"/>
        <w:rPr>
          <w:lang w:val="fr-FR"/>
        </w:rPr>
      </w:pPr>
      <w:r>
        <w:rPr>
          <w:lang w:val="fr-FR"/>
        </w:rPr>
        <w:t>2.2.2.1.5</w:t>
      </w:r>
      <w:r>
        <w:rPr>
          <w:lang w:val="fr-FR"/>
        </w:rPr>
        <w:tab/>
        <w:t xml:space="preserve">Pour « Gaz inflammables » et pour « Gaz comburants », remplacer « ISO </w:t>
      </w:r>
      <w:proofErr w:type="gramStart"/>
      <w:r>
        <w:rPr>
          <w:lang w:val="fr-FR"/>
        </w:rPr>
        <w:t>10156:</w:t>
      </w:r>
      <w:proofErr w:type="gramEnd"/>
      <w:r>
        <w:rPr>
          <w:lang w:val="fr-FR"/>
        </w:rPr>
        <w:t>2010 » par « </w:t>
      </w:r>
      <w:bookmarkStart w:id="28" w:name="_Hlk2244511"/>
      <w:r>
        <w:rPr>
          <w:lang w:val="fr-FR"/>
        </w:rPr>
        <w:t>ISO 10156:2017 </w:t>
      </w:r>
      <w:bookmarkEnd w:id="28"/>
      <w:r>
        <w:rPr>
          <w:lang w:val="fr-FR"/>
        </w:rPr>
        <w:t>».</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2.2.41.1.4</w:t>
      </w:r>
      <w:r>
        <w:rPr>
          <w:rFonts w:asciiTheme="majorBidi" w:hAnsiTheme="majorBidi" w:cstheme="majorBidi"/>
        </w:rPr>
        <w:tab/>
        <w:t>Remplacer « </w:t>
      </w:r>
      <w:r>
        <w:t>sous-section 33.2.1 de la troisième partie »</w:t>
      </w:r>
      <w:r>
        <w:rPr>
          <w:rFonts w:asciiTheme="majorBidi" w:hAnsiTheme="majorBidi" w:cstheme="majorBidi"/>
          <w:lang w:eastAsia="en-GB"/>
        </w:rPr>
        <w:t xml:space="preserve"> par « </w:t>
      </w:r>
      <w:r>
        <w:t xml:space="preserve">sous-section 33.2 de la troisième partie » </w:t>
      </w:r>
      <w:r>
        <w:rPr>
          <w:rFonts w:asciiTheme="majorBidi" w:hAnsiTheme="majorBidi" w:cstheme="majorBidi"/>
          <w:lang w:eastAsia="en-GB"/>
        </w:rPr>
        <w:t>(deux fois).</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2.2.41.1.5</w:t>
      </w:r>
      <w:r>
        <w:rPr>
          <w:rFonts w:asciiTheme="majorBidi" w:hAnsiTheme="majorBidi" w:cstheme="majorBidi"/>
        </w:rPr>
        <w:tab/>
        <w:t>Remplacer « </w:t>
      </w:r>
      <w:r>
        <w:t>sous-section 33.2.1 de la troisième partie »</w:t>
      </w:r>
      <w:r>
        <w:rPr>
          <w:rFonts w:asciiTheme="majorBidi" w:hAnsiTheme="majorBidi" w:cstheme="majorBidi"/>
          <w:lang w:eastAsia="en-GB"/>
        </w:rPr>
        <w:t xml:space="preserve"> par « </w:t>
      </w:r>
      <w:r>
        <w:t>sous-section 33.2 de la troisième partie »</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2.2.41.1.6</w:t>
      </w:r>
      <w:r>
        <w:rPr>
          <w:rFonts w:asciiTheme="majorBidi" w:hAnsiTheme="majorBidi" w:cstheme="majorBidi"/>
        </w:rPr>
        <w:tab/>
        <w:t>Remplacer « </w:t>
      </w:r>
      <w:r>
        <w:t>sous-section 33.2.1 de la troisième partie »</w:t>
      </w:r>
      <w:r>
        <w:rPr>
          <w:rFonts w:asciiTheme="majorBidi" w:hAnsiTheme="majorBidi" w:cstheme="majorBidi"/>
          <w:lang w:eastAsia="en-GB"/>
        </w:rPr>
        <w:t xml:space="preserve"> par « </w:t>
      </w:r>
      <w:r>
        <w:t>sous-section 33.2 de la troisième partie »</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2.2.41.1.8</w:t>
      </w:r>
      <w:r>
        <w:rPr>
          <w:rFonts w:asciiTheme="majorBidi" w:hAnsiTheme="majorBidi" w:cstheme="majorBidi"/>
        </w:rPr>
        <w:tab/>
        <w:t>Remplacer « </w:t>
      </w:r>
      <w:r>
        <w:t>sous-section 33.2.1 de la troisième partie »</w:t>
      </w:r>
      <w:r>
        <w:rPr>
          <w:rFonts w:asciiTheme="majorBidi" w:hAnsiTheme="majorBidi" w:cstheme="majorBidi"/>
          <w:lang w:eastAsia="en-GB"/>
        </w:rPr>
        <w:t xml:space="preserve"> par « </w:t>
      </w:r>
      <w:r>
        <w:t>sous-section 33.2 de la troisième partie »</w:t>
      </w:r>
    </w:p>
    <w:p w:rsidR="00B926A4" w:rsidRDefault="00B926A4" w:rsidP="00B926A4">
      <w:pPr>
        <w:pStyle w:val="SingleTxtG"/>
        <w:tabs>
          <w:tab w:val="left" w:pos="2268"/>
        </w:tabs>
        <w:ind w:left="2259" w:hanging="1125"/>
        <w:rPr>
          <w:szCs w:val="24"/>
          <w:lang w:val="fr-FR"/>
        </w:rPr>
      </w:pPr>
      <w:r>
        <w:rPr>
          <w:lang w:val="fr-FR"/>
        </w:rPr>
        <w:t>2.2.41.1.10</w:t>
      </w:r>
      <w:r>
        <w:rPr>
          <w:lang w:val="fr-FR"/>
        </w:rPr>
        <w:tab/>
      </w:r>
      <w:r>
        <w:rPr>
          <w:szCs w:val="24"/>
          <w:lang w:val="fr-FR"/>
        </w:rPr>
        <w:t>L’amendement à la version anglaise est sans objet en français.</w:t>
      </w:r>
    </w:p>
    <w:p w:rsidR="00B926A4" w:rsidRPr="00AB7C1B" w:rsidRDefault="00B926A4" w:rsidP="00B926A4">
      <w:pPr>
        <w:pStyle w:val="SingleTxtG"/>
        <w:tabs>
          <w:tab w:val="left" w:pos="2268"/>
        </w:tabs>
        <w:ind w:left="2259" w:hanging="1125"/>
        <w:rPr>
          <w:i/>
          <w:iCs/>
          <w:szCs w:val="24"/>
        </w:rPr>
      </w:pPr>
      <w:r w:rsidRPr="00AB7C1B">
        <w:rPr>
          <w:i/>
          <w:iCs/>
          <w:szCs w:val="24"/>
        </w:rPr>
        <w:t>(Correction à la vingtième édition révisée du Règlement type)</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2.2.42.1.4</w:t>
      </w:r>
      <w:r>
        <w:rPr>
          <w:rFonts w:asciiTheme="majorBidi" w:hAnsiTheme="majorBidi" w:cstheme="majorBidi"/>
        </w:rPr>
        <w:tab/>
        <w:t>Remplacer « section 33.3 »</w:t>
      </w:r>
      <w:r>
        <w:rPr>
          <w:rFonts w:asciiTheme="majorBidi" w:hAnsiTheme="majorBidi" w:cstheme="majorBidi"/>
          <w:lang w:eastAsia="en-GB"/>
        </w:rPr>
        <w:t xml:space="preserve"> par « sous-section 33.4 » (deux fois ».</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2.2.42.1.5</w:t>
      </w:r>
      <w:r>
        <w:rPr>
          <w:rFonts w:asciiTheme="majorBidi" w:hAnsiTheme="majorBidi" w:cstheme="majorBidi"/>
        </w:rPr>
        <w:tab/>
        <w:t>Remplacer « section 33.3 »</w:t>
      </w:r>
      <w:r>
        <w:rPr>
          <w:rFonts w:asciiTheme="majorBidi" w:hAnsiTheme="majorBidi" w:cstheme="majorBidi"/>
          <w:lang w:eastAsia="en-GB"/>
        </w:rPr>
        <w:t xml:space="preserve"> par « sous-section 33.4 ».</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2.2.42.1.7</w:t>
      </w:r>
      <w:r>
        <w:rPr>
          <w:rFonts w:asciiTheme="majorBidi" w:hAnsiTheme="majorBidi" w:cstheme="majorBidi"/>
        </w:rPr>
        <w:tab/>
        <w:t>Remplacer « section 33.3 »</w:t>
      </w:r>
      <w:r>
        <w:rPr>
          <w:rFonts w:asciiTheme="majorBidi" w:hAnsiTheme="majorBidi" w:cstheme="majorBidi"/>
          <w:lang w:eastAsia="en-GB"/>
        </w:rPr>
        <w:t xml:space="preserve"> par « sous-section 33.4 ».</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2.2.42.1.8</w:t>
      </w:r>
      <w:r>
        <w:rPr>
          <w:rFonts w:asciiTheme="majorBidi" w:hAnsiTheme="majorBidi" w:cstheme="majorBidi"/>
        </w:rPr>
        <w:tab/>
        <w:t>Remplacer « section 33.3 »</w:t>
      </w:r>
      <w:r>
        <w:rPr>
          <w:rFonts w:asciiTheme="majorBidi" w:hAnsiTheme="majorBidi" w:cstheme="majorBidi"/>
          <w:lang w:eastAsia="en-GB"/>
        </w:rPr>
        <w:t xml:space="preserve"> par « sous-section 33.4 ».</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2.2.43.1.4</w:t>
      </w:r>
      <w:r>
        <w:rPr>
          <w:rFonts w:asciiTheme="majorBidi" w:hAnsiTheme="majorBidi" w:cstheme="majorBidi"/>
        </w:rPr>
        <w:tab/>
        <w:t>Remplacer « section 33.4 »</w:t>
      </w:r>
      <w:r>
        <w:rPr>
          <w:rFonts w:asciiTheme="majorBidi" w:hAnsiTheme="majorBidi" w:cstheme="majorBidi"/>
          <w:lang w:eastAsia="en-GB"/>
        </w:rPr>
        <w:t xml:space="preserve"> par « sous-section 33.5 ».</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2.2.43.1.5</w:t>
      </w:r>
      <w:r>
        <w:rPr>
          <w:rFonts w:asciiTheme="majorBidi" w:hAnsiTheme="majorBidi" w:cstheme="majorBidi"/>
        </w:rPr>
        <w:tab/>
        <w:t>Remplacer « section 33.4 »</w:t>
      </w:r>
      <w:r>
        <w:rPr>
          <w:rFonts w:asciiTheme="majorBidi" w:hAnsiTheme="majorBidi" w:cstheme="majorBidi"/>
          <w:lang w:eastAsia="en-GB"/>
        </w:rPr>
        <w:t xml:space="preserve"> par « sous-section 33.5 ».</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2.2.43.1.7</w:t>
      </w:r>
      <w:r>
        <w:rPr>
          <w:rFonts w:asciiTheme="majorBidi" w:hAnsiTheme="majorBidi" w:cstheme="majorBidi"/>
        </w:rPr>
        <w:tab/>
        <w:t>Remplacer « section 33.4 »</w:t>
      </w:r>
      <w:r>
        <w:rPr>
          <w:rFonts w:asciiTheme="majorBidi" w:hAnsiTheme="majorBidi" w:cstheme="majorBidi"/>
          <w:lang w:eastAsia="en-GB"/>
        </w:rPr>
        <w:t xml:space="preserve"> par « sous-section 33.5 ».</w:t>
      </w:r>
    </w:p>
    <w:p w:rsidR="00DA57DD" w:rsidRDefault="00DA57DD" w:rsidP="00A23C89">
      <w:pPr>
        <w:pStyle w:val="SingleTxtG"/>
        <w:tabs>
          <w:tab w:val="left" w:pos="2268"/>
        </w:tabs>
        <w:ind w:left="2259" w:hanging="1125"/>
        <w:rPr>
          <w:rFonts w:asciiTheme="majorBidi" w:hAnsiTheme="majorBidi" w:cstheme="majorBidi"/>
          <w:lang w:eastAsia="en-GB"/>
        </w:rPr>
      </w:pPr>
      <w:r>
        <w:rPr>
          <w:rFonts w:asciiTheme="majorBidi" w:hAnsiTheme="majorBidi" w:cstheme="majorBidi"/>
        </w:rPr>
        <w:t>2.2.43.1.8</w:t>
      </w:r>
      <w:r>
        <w:rPr>
          <w:rFonts w:asciiTheme="majorBidi" w:hAnsiTheme="majorBidi" w:cstheme="majorBidi"/>
        </w:rPr>
        <w:tab/>
        <w:t>Remplacer « section 33.4 »</w:t>
      </w:r>
      <w:r>
        <w:rPr>
          <w:rFonts w:asciiTheme="majorBidi" w:hAnsiTheme="majorBidi" w:cstheme="majorBidi"/>
          <w:lang w:eastAsia="en-GB"/>
        </w:rPr>
        <w:t xml:space="preserve"> par « sous-section 33.5 ».</w:t>
      </w:r>
    </w:p>
    <w:p w:rsidR="00B926A4" w:rsidRDefault="00DA57DD" w:rsidP="00A23C89">
      <w:pPr>
        <w:pStyle w:val="SingleTxtG"/>
        <w:tabs>
          <w:tab w:val="left" w:pos="2268"/>
        </w:tabs>
        <w:ind w:left="2259" w:hanging="1125"/>
      </w:pPr>
      <w:r w:rsidRPr="00124E6E">
        <w:rPr>
          <w:b/>
        </w:rPr>
        <w:t xml:space="preserve"> </w:t>
      </w:r>
      <w:r w:rsidR="00124E6E" w:rsidRPr="00124E6E">
        <w:rPr>
          <w:b/>
        </w:rPr>
        <w:t>(ADR/ADN :)</w:t>
      </w:r>
      <w:r w:rsidR="00124E6E">
        <w:t xml:space="preserve"> 2.2.52.4</w:t>
      </w:r>
    </w:p>
    <w:p w:rsidR="00124E6E" w:rsidRPr="00CA445C" w:rsidRDefault="00124E6E" w:rsidP="00A23C89">
      <w:pPr>
        <w:pStyle w:val="SingleTxtG"/>
        <w:tabs>
          <w:tab w:val="left" w:pos="2268"/>
        </w:tabs>
        <w:ind w:left="2259" w:hanging="1125"/>
      </w:pPr>
      <w:r>
        <w:tab/>
        <w:t>Dans le tableau, pour « </w:t>
      </w:r>
      <w:r w:rsidRPr="00CA445C">
        <w:t>PEROXYDICARBONATE DE BIS (tert-BUTYL-4 CYCLOHEXYLE)</w:t>
      </w:r>
      <w:r>
        <w:t> », à la concentration « </w:t>
      </w:r>
      <w:bookmarkStart w:id="29" w:name="_Hlk517850767"/>
      <w:r w:rsidRPr="00CA445C">
        <w:t>≤</w:t>
      </w:r>
      <w:r>
        <w:t xml:space="preserve"> </w:t>
      </w:r>
      <w:r w:rsidRPr="00CA445C">
        <w:t>42</w:t>
      </w:r>
      <w:bookmarkEnd w:id="29"/>
      <w:r w:rsidRPr="00CA445C">
        <w:t xml:space="preserve"> (pâte)</w:t>
      </w:r>
      <w:r>
        <w:t> », dans la colonne « Méthode d’emballage », remplacer « OP7 » par « OP8 » et dans la colonne « No ONU (rubrique générique) », remplacer « 3116 » par « 3118 ».</w:t>
      </w:r>
      <w:r w:rsidRPr="00CA445C">
        <w:t xml:space="preserve"> </w:t>
      </w:r>
    </w:p>
    <w:p w:rsidR="00B926A4" w:rsidRDefault="00124E6E" w:rsidP="00A23C89">
      <w:pPr>
        <w:pStyle w:val="SingleTxtG"/>
        <w:tabs>
          <w:tab w:val="left" w:pos="2268"/>
        </w:tabs>
        <w:ind w:left="2259" w:hanging="1125"/>
      </w:pPr>
      <w:r w:rsidRPr="00124E6E">
        <w:rPr>
          <w:b/>
        </w:rPr>
        <w:lastRenderedPageBreak/>
        <w:t>(RID :)</w:t>
      </w:r>
      <w:r>
        <w:t xml:space="preserve"> 2.2.52.4</w:t>
      </w:r>
    </w:p>
    <w:p w:rsidR="00124E6E" w:rsidRPr="00CA445C" w:rsidRDefault="00124E6E" w:rsidP="00A23C89">
      <w:pPr>
        <w:pStyle w:val="SingleTxtG"/>
        <w:tabs>
          <w:tab w:val="left" w:pos="2268"/>
        </w:tabs>
        <w:ind w:left="2259" w:hanging="1125"/>
      </w:pPr>
      <w:r>
        <w:tab/>
        <w:t>Dans le tableau, pour « </w:t>
      </w:r>
      <w:r w:rsidRPr="00CA445C">
        <w:t>PEROXYDICARBONATE DE BIS (tert-BUTYL-4 CYCLOHEXYLE)</w:t>
      </w:r>
      <w:r>
        <w:t> », à la concentration « </w:t>
      </w:r>
      <w:r w:rsidRPr="00CA445C">
        <w:t>≤</w:t>
      </w:r>
      <w:r>
        <w:t xml:space="preserve"> </w:t>
      </w:r>
      <w:r w:rsidRPr="00CA445C">
        <w:t>42 (pâte)</w:t>
      </w:r>
      <w:r>
        <w:t> », dans la colonne « No ONU (rubrique générique) », remplacer « 3116 » par « 3118 ».</w:t>
      </w:r>
      <w:r w:rsidRPr="00CA445C">
        <w:t xml:space="preserve"> </w:t>
      </w:r>
    </w:p>
    <w:p w:rsidR="00124E6E" w:rsidRPr="00A1192D" w:rsidRDefault="00124E6E" w:rsidP="00A23C89">
      <w:pPr>
        <w:pStyle w:val="SingleTxtG"/>
        <w:tabs>
          <w:tab w:val="left" w:pos="2268"/>
        </w:tabs>
        <w:ind w:left="2259" w:hanging="1125"/>
      </w:pPr>
      <w:r>
        <w:t>2.2.62.1.1</w:t>
      </w:r>
      <w:r w:rsidRPr="00A1192D">
        <w:tab/>
        <w:t>Supprimer « les rickettsies, ».</w:t>
      </w:r>
    </w:p>
    <w:p w:rsidR="00124E6E" w:rsidRPr="006B0E45" w:rsidRDefault="00124E6E" w:rsidP="00A23C89">
      <w:pPr>
        <w:pStyle w:val="SingleTxtG"/>
        <w:tabs>
          <w:tab w:val="left" w:pos="2268"/>
        </w:tabs>
        <w:ind w:left="2259" w:hanging="1125"/>
        <w:rPr>
          <w:b/>
          <w:bCs/>
          <w:lang w:val="fr-FR"/>
        </w:rPr>
      </w:pPr>
      <w:r>
        <w:rPr>
          <w:bCs/>
          <w:lang w:val="fr-FR"/>
        </w:rPr>
        <w:t>2.2.62.1.3</w:t>
      </w:r>
      <w:r w:rsidRPr="006B0E45">
        <w:rPr>
          <w:bCs/>
          <w:lang w:val="fr-FR"/>
        </w:rPr>
        <w:tab/>
        <w:t xml:space="preserve">Modifier </w:t>
      </w:r>
      <w:r>
        <w:rPr>
          <w:bCs/>
          <w:lang w:val="fr-FR"/>
        </w:rPr>
        <w:t>la définition de « D</w:t>
      </w:r>
      <w:r w:rsidRPr="00DE24D6">
        <w:rPr>
          <w:bCs/>
          <w:lang w:val="fr-FR"/>
        </w:rPr>
        <w:t>échets médicaux ou déchets d’hôpital</w:t>
      </w:r>
      <w:r>
        <w:rPr>
          <w:bCs/>
          <w:lang w:val="fr-FR"/>
        </w:rPr>
        <w:t> »</w:t>
      </w:r>
      <w:r w:rsidRPr="00DE24D6">
        <w:rPr>
          <w:bCs/>
          <w:lang w:val="fr-FR"/>
        </w:rPr>
        <w:t xml:space="preserve"> </w:t>
      </w:r>
      <w:r w:rsidRPr="006B0E45">
        <w:rPr>
          <w:bCs/>
          <w:lang w:val="fr-FR"/>
        </w:rPr>
        <w:t>pour lire comme suit :</w:t>
      </w:r>
    </w:p>
    <w:p w:rsidR="00124E6E" w:rsidRPr="006B0E45" w:rsidRDefault="00B926A4" w:rsidP="00A23C89">
      <w:pPr>
        <w:pStyle w:val="SingleTxtG"/>
        <w:tabs>
          <w:tab w:val="left" w:pos="2268"/>
        </w:tabs>
        <w:ind w:left="2259" w:hanging="1125"/>
        <w:rPr>
          <w:lang w:val="fr-FR"/>
        </w:rPr>
      </w:pPr>
      <w:r>
        <w:rPr>
          <w:lang w:val="fr-FR"/>
        </w:rPr>
        <w:tab/>
      </w:r>
      <w:r w:rsidR="00124E6E" w:rsidRPr="006B0E45">
        <w:rPr>
          <w:lang w:val="fr-FR"/>
        </w:rPr>
        <w:t>« </w:t>
      </w:r>
      <w:bookmarkStart w:id="30" w:name="_Hlk2244885"/>
      <w:r w:rsidR="00124E6E" w:rsidRPr="008B0490">
        <w:rPr>
          <w:i/>
          <w:iCs/>
          <w:lang w:val="fr-FR"/>
        </w:rPr>
        <w:t>“</w:t>
      </w:r>
      <w:r w:rsidR="00124E6E">
        <w:rPr>
          <w:i/>
          <w:iCs/>
          <w:lang w:val="fr-FR"/>
        </w:rPr>
        <w:t>D</w:t>
      </w:r>
      <w:r w:rsidR="00124E6E" w:rsidRPr="008B0490">
        <w:rPr>
          <w:i/>
          <w:iCs/>
          <w:lang w:val="fr-FR"/>
        </w:rPr>
        <w:t>échets médicaux ou déchets d’hôpital”,</w:t>
      </w:r>
      <w:r w:rsidR="00124E6E" w:rsidRPr="006B0E45">
        <w:rPr>
          <w:lang w:val="fr-FR"/>
        </w:rPr>
        <w:t xml:space="preserve"> des déchets provenant de traitements médicaux administrés à des êtres humains ou de traitements vétérinaires administrés à des animaux ou de la recherche biologique.</w:t>
      </w:r>
      <w:bookmarkEnd w:id="30"/>
      <w:r w:rsidR="00124E6E" w:rsidRPr="006B0E45">
        <w:rPr>
          <w:lang w:val="fr-FR"/>
        </w:rPr>
        <w:t> »</w:t>
      </w:r>
      <w:r>
        <w:rPr>
          <w:lang w:val="fr-FR"/>
        </w:rPr>
        <w:t>.</w:t>
      </w:r>
    </w:p>
    <w:p w:rsidR="00124E6E" w:rsidRDefault="00124E6E" w:rsidP="00A23C89">
      <w:pPr>
        <w:pStyle w:val="SingleTxtG"/>
        <w:tabs>
          <w:tab w:val="left" w:pos="2268"/>
        </w:tabs>
        <w:ind w:left="2259" w:hanging="1125"/>
        <w:rPr>
          <w:lang w:val="fr-FR"/>
        </w:rPr>
      </w:pPr>
      <w:r>
        <w:rPr>
          <w:lang w:val="fr-FR"/>
        </w:rPr>
        <w:t>2.2.62.1.4</w:t>
      </w:r>
      <w:r w:rsidRPr="006B0E45">
        <w:rPr>
          <w:lang w:val="fr-FR"/>
        </w:rPr>
        <w:tab/>
        <w:t xml:space="preserve">Remplacer « ou 3373 » par </w:t>
      </w:r>
      <w:proofErr w:type="gramStart"/>
      <w:r w:rsidRPr="006B0E45">
        <w:rPr>
          <w:lang w:val="fr-FR"/>
        </w:rPr>
        <w:t>« </w:t>
      </w:r>
      <w:bookmarkStart w:id="31" w:name="_Hlk2244910"/>
      <w:r w:rsidRPr="006B0E45">
        <w:rPr>
          <w:lang w:val="fr-FR"/>
        </w:rPr>
        <w:t>,</w:t>
      </w:r>
      <w:proofErr w:type="gramEnd"/>
      <w:r w:rsidRPr="006B0E45">
        <w:rPr>
          <w:lang w:val="fr-FR"/>
        </w:rPr>
        <w:t xml:space="preserve"> 3373 ou 3549 </w:t>
      </w:r>
      <w:bookmarkEnd w:id="31"/>
      <w:r w:rsidRPr="006B0E45">
        <w:rPr>
          <w:lang w:val="fr-FR"/>
        </w:rPr>
        <w:t>».</w:t>
      </w:r>
    </w:p>
    <w:p w:rsidR="00B926A4" w:rsidRDefault="00124E6E" w:rsidP="00A23C89">
      <w:pPr>
        <w:pStyle w:val="SingleTxtG"/>
        <w:tabs>
          <w:tab w:val="left" w:pos="2268"/>
        </w:tabs>
        <w:ind w:left="2259" w:hanging="1125"/>
      </w:pPr>
      <w:r>
        <w:t>2.2.62.1.4.1, Nota 1</w:t>
      </w:r>
    </w:p>
    <w:p w:rsidR="00124E6E" w:rsidRPr="006B0E45" w:rsidRDefault="00124E6E" w:rsidP="00A23C89">
      <w:pPr>
        <w:pStyle w:val="SingleTxtG"/>
        <w:tabs>
          <w:tab w:val="left" w:pos="2268"/>
        </w:tabs>
        <w:ind w:left="2259" w:hanging="1125"/>
        <w:rPr>
          <w:lang w:val="fr-FR"/>
        </w:rPr>
      </w:pPr>
      <w:r>
        <w:tab/>
        <w:t>Remplacer « La désignation officielle de transport » par « Le nom » (deux fois).</w:t>
      </w:r>
    </w:p>
    <w:p w:rsidR="00124E6E" w:rsidRPr="00A1192D" w:rsidRDefault="00124E6E" w:rsidP="00A23C89">
      <w:pPr>
        <w:pStyle w:val="SingleTxtG"/>
        <w:tabs>
          <w:tab w:val="left" w:pos="2268"/>
        </w:tabs>
        <w:ind w:left="2259" w:hanging="1125"/>
      </w:pPr>
      <w:r>
        <w:t>2.2.62.1.4.1</w:t>
      </w:r>
      <w:r>
        <w:tab/>
        <w:t xml:space="preserve">Au </w:t>
      </w:r>
      <w:r w:rsidRPr="004D1CA3">
        <w:t>Nota 3</w:t>
      </w:r>
      <w:r>
        <w:t>, s</w:t>
      </w:r>
      <w:r w:rsidRPr="00A1192D">
        <w:t>upprimer «</w:t>
      </w:r>
      <w:r>
        <w:t xml:space="preserve">, </w:t>
      </w:r>
      <w:r w:rsidRPr="00A1192D">
        <w:t>des mycoplasmes, des rickettsies ».</w:t>
      </w:r>
    </w:p>
    <w:p w:rsidR="00B926A4" w:rsidRDefault="00124E6E" w:rsidP="00A23C89">
      <w:pPr>
        <w:pStyle w:val="SingleTxtG"/>
        <w:tabs>
          <w:tab w:val="left" w:pos="2268"/>
        </w:tabs>
        <w:ind w:left="2259" w:hanging="1125"/>
      </w:pPr>
      <w:r>
        <w:t>2.2.62.1.4.</w:t>
      </w:r>
      <w:r w:rsidR="008A2A0E">
        <w:t>2</w:t>
      </w:r>
      <w:r>
        <w:t>, Nota</w:t>
      </w:r>
    </w:p>
    <w:p w:rsidR="00124E6E" w:rsidRPr="006B0E45" w:rsidRDefault="00124E6E" w:rsidP="00A23C89">
      <w:pPr>
        <w:pStyle w:val="SingleTxtG"/>
        <w:tabs>
          <w:tab w:val="left" w:pos="2268"/>
        </w:tabs>
        <w:ind w:left="2259" w:hanging="1125"/>
        <w:rPr>
          <w:lang w:val="fr-FR"/>
        </w:rPr>
      </w:pPr>
      <w:r>
        <w:tab/>
        <w:t>Remplacer « La désignation officielle de transport » par « Le nom ».</w:t>
      </w:r>
    </w:p>
    <w:p w:rsidR="00B926A4" w:rsidRDefault="00124E6E" w:rsidP="00A23C89">
      <w:pPr>
        <w:pStyle w:val="SingleTxtG"/>
        <w:tabs>
          <w:tab w:val="left" w:pos="2268"/>
        </w:tabs>
        <w:ind w:left="2259" w:hanging="1125"/>
        <w:rPr>
          <w:iCs/>
          <w:lang w:val="fr-FR"/>
        </w:rPr>
      </w:pPr>
      <w:r>
        <w:rPr>
          <w:lang w:eastAsia="en-GB"/>
        </w:rPr>
        <w:t>2.2.62.1.5.9</w:t>
      </w:r>
      <w:r w:rsidRPr="006B0E45">
        <w:rPr>
          <w:iCs/>
          <w:lang w:val="fr-FR"/>
        </w:rPr>
        <w:t xml:space="preserve"> a)</w:t>
      </w:r>
    </w:p>
    <w:p w:rsidR="00124E6E" w:rsidRPr="006B0E45" w:rsidRDefault="00124E6E" w:rsidP="00A23C89">
      <w:pPr>
        <w:pStyle w:val="SingleTxtG"/>
        <w:tabs>
          <w:tab w:val="left" w:pos="2268"/>
        </w:tabs>
        <w:ind w:left="2259" w:hanging="1125"/>
        <w:rPr>
          <w:iCs/>
          <w:lang w:val="fr-FR"/>
        </w:rPr>
      </w:pPr>
      <w:r w:rsidRPr="006B0E45">
        <w:rPr>
          <w:iCs/>
          <w:lang w:val="fr-FR"/>
        </w:rPr>
        <w:tab/>
      </w:r>
      <w:r w:rsidRPr="006B0E45">
        <w:rPr>
          <w:iCs/>
          <w:lang w:val="fr-FR"/>
        </w:rPr>
        <w:tab/>
      </w:r>
      <w:r>
        <w:rPr>
          <w:iCs/>
          <w:lang w:val="fr-FR"/>
        </w:rPr>
        <w:t>Dans</w:t>
      </w:r>
      <w:r w:rsidRPr="006B0E45">
        <w:rPr>
          <w:iCs/>
          <w:lang w:val="fr-FR"/>
        </w:rPr>
        <w:t xml:space="preserve"> le texte entre parenthèse, </w:t>
      </w:r>
      <w:r>
        <w:rPr>
          <w:iCs/>
          <w:lang w:val="fr-FR"/>
        </w:rPr>
        <w:t xml:space="preserve">remplacer « No ONU 3291 » par </w:t>
      </w:r>
      <w:r w:rsidRPr="006B0E45">
        <w:rPr>
          <w:iCs/>
          <w:lang w:val="fr-FR"/>
        </w:rPr>
        <w:t>« </w:t>
      </w:r>
      <w:bookmarkStart w:id="32" w:name="_Hlk2245512"/>
      <w:r w:rsidRPr="006B0E45">
        <w:rPr>
          <w:lang w:val="fr-FR"/>
        </w:rPr>
        <w:t>Nos ONU 3291 et 3549</w:t>
      </w:r>
      <w:bookmarkEnd w:id="32"/>
      <w:r w:rsidRPr="006B0E45">
        <w:rPr>
          <w:lang w:val="fr-FR"/>
        </w:rPr>
        <w:t> »</w:t>
      </w:r>
      <w:r>
        <w:rPr>
          <w:lang w:val="fr-FR"/>
        </w:rPr>
        <w:t>.</w:t>
      </w:r>
    </w:p>
    <w:p w:rsidR="00124E6E" w:rsidRPr="006B0E45" w:rsidRDefault="00124E6E" w:rsidP="00A23C89">
      <w:pPr>
        <w:pStyle w:val="SingleTxtG"/>
        <w:tabs>
          <w:tab w:val="left" w:pos="2268"/>
        </w:tabs>
        <w:ind w:left="2259" w:hanging="1125"/>
        <w:rPr>
          <w:iCs/>
          <w:lang w:val="fr-FR"/>
        </w:rPr>
      </w:pPr>
      <w:r>
        <w:rPr>
          <w:lang w:eastAsia="en-GB"/>
        </w:rPr>
        <w:t>2.2.62.1.11.1</w:t>
      </w:r>
      <w:r w:rsidRPr="006B0E45">
        <w:rPr>
          <w:iCs/>
          <w:lang w:val="fr-FR"/>
        </w:rPr>
        <w:tab/>
        <w:t>Modifier pour lire comme suit :</w:t>
      </w:r>
    </w:p>
    <w:p w:rsidR="00124E6E" w:rsidRPr="006B0E45" w:rsidRDefault="00124E6E" w:rsidP="00A23C89">
      <w:pPr>
        <w:pStyle w:val="SingleTxtG"/>
        <w:tabs>
          <w:tab w:val="left" w:pos="2268"/>
        </w:tabs>
        <w:ind w:left="2259" w:hanging="1125"/>
        <w:rPr>
          <w:lang w:val="fr-FR"/>
        </w:rPr>
      </w:pPr>
      <w:r>
        <w:rPr>
          <w:iCs/>
          <w:lang w:val="fr-FR"/>
        </w:rPr>
        <w:t>« </w:t>
      </w:r>
      <w:r>
        <w:rPr>
          <w:lang w:eastAsia="en-GB"/>
        </w:rPr>
        <w:t>2.2.62.1.11.1</w:t>
      </w:r>
      <w:r w:rsidRPr="006B0E45">
        <w:rPr>
          <w:iCs/>
          <w:lang w:val="fr-FR"/>
        </w:rPr>
        <w:tab/>
      </w:r>
      <w:bookmarkStart w:id="33" w:name="_Hlk2245656"/>
      <w:r w:rsidRPr="006B0E45">
        <w:rPr>
          <w:lang w:val="fr-FR"/>
        </w:rPr>
        <w:t>Les déchets médicaux ou déchets d’hôpital contenant :</w:t>
      </w:r>
      <w:bookmarkEnd w:id="33"/>
    </w:p>
    <w:p w:rsidR="00124E6E" w:rsidRPr="00B926A4" w:rsidRDefault="00124E6E" w:rsidP="00B926A4">
      <w:pPr>
        <w:pStyle w:val="SingleTxtG"/>
        <w:tabs>
          <w:tab w:val="left" w:pos="2835"/>
        </w:tabs>
        <w:ind w:left="2835" w:hanging="567"/>
        <w:rPr>
          <w:szCs w:val="24"/>
          <w:lang w:val="fr-FR"/>
        </w:rPr>
      </w:pPr>
      <w:bookmarkStart w:id="34" w:name="_Hlk2245670"/>
      <w:r w:rsidRPr="00B926A4">
        <w:rPr>
          <w:szCs w:val="24"/>
          <w:lang w:val="fr-FR"/>
        </w:rPr>
        <w:t>a)</w:t>
      </w:r>
      <w:r w:rsidRPr="00B926A4">
        <w:rPr>
          <w:szCs w:val="24"/>
          <w:lang w:val="fr-FR"/>
        </w:rPr>
        <w:tab/>
        <w:t>des matières infectieuses de la catégorie A doivent être affectés aux Nos ONU 2814, 2900 ou 3549, selon le cas. Les déchets médicaux solides contenant des matières infectieuses de la catégorie A générés par le traitement médical administré à des êtres humains ou par le traitement vétérinaire administré à des animaux peuvent être affectés au No ONU 3549. La rubrique ONU 3549 ne doit pas être utilisée pour les déchets provenant de la recherche biologique ou pour les déchets liquides ;</w:t>
      </w:r>
    </w:p>
    <w:p w:rsidR="00124E6E" w:rsidRPr="00B926A4" w:rsidRDefault="00124E6E" w:rsidP="00B926A4">
      <w:pPr>
        <w:pStyle w:val="SingleTxtG"/>
        <w:tabs>
          <w:tab w:val="left" w:pos="2835"/>
        </w:tabs>
        <w:ind w:left="2835" w:hanging="567"/>
        <w:rPr>
          <w:szCs w:val="24"/>
          <w:lang w:val="fr-FR"/>
        </w:rPr>
      </w:pPr>
      <w:r w:rsidRPr="00B926A4">
        <w:rPr>
          <w:szCs w:val="24"/>
          <w:lang w:val="fr-FR"/>
        </w:rPr>
        <w:t>b)</w:t>
      </w:r>
      <w:r w:rsidRPr="00B926A4">
        <w:rPr>
          <w:szCs w:val="24"/>
          <w:lang w:val="fr-FR"/>
        </w:rPr>
        <w:tab/>
        <w:t>des matières infectieuses de la catégorie B doivent être affectés au No ONU 3291.</w:t>
      </w:r>
    </w:p>
    <w:p w:rsidR="00124E6E" w:rsidRDefault="00124E6E" w:rsidP="00124E6E">
      <w:pPr>
        <w:pStyle w:val="SingleTxtG"/>
        <w:ind w:left="2268"/>
        <w:rPr>
          <w:lang w:val="fr-FR"/>
        </w:rPr>
      </w:pPr>
      <w:r w:rsidRPr="00AB7C1B">
        <w:rPr>
          <w:b/>
          <w:bCs/>
          <w:i/>
          <w:iCs/>
          <w:lang w:val="fr-FR"/>
        </w:rPr>
        <w:t xml:space="preserve">NOTA </w:t>
      </w:r>
      <w:proofErr w:type="gramStart"/>
      <w:r w:rsidRPr="00AB7C1B">
        <w:rPr>
          <w:b/>
          <w:bCs/>
          <w:i/>
          <w:iCs/>
          <w:lang w:val="fr-FR"/>
        </w:rPr>
        <w:t>1:</w:t>
      </w:r>
      <w:proofErr w:type="gramEnd"/>
      <w:r w:rsidRPr="00AB7C1B">
        <w:rPr>
          <w:i/>
          <w:iCs/>
          <w:lang w:val="fr-FR"/>
        </w:rPr>
        <w:t xml:space="preserve"> Le nom pour le No ONU 3549 est "</w:t>
      </w:r>
      <w:bookmarkEnd w:id="34"/>
      <w:r w:rsidRPr="00AB7C1B">
        <w:rPr>
          <w:i/>
          <w:iCs/>
          <w:lang w:val="fr-FR"/>
        </w:rPr>
        <w:t xml:space="preserve">DÉCHETS MÉDICAUX INFECTIEUX POUR L’HOMME, CATÉGORIE A, solides" ou "DÉCHETS MÉDICAUX INFECTIEUX POUR LES ANIMAUX uniquement, CATÉGORIE A, solides" </w:t>
      </w:r>
      <w:r w:rsidRPr="006B0E45">
        <w:rPr>
          <w:lang w:val="fr-FR"/>
        </w:rPr>
        <w:t>».</w:t>
      </w:r>
    </w:p>
    <w:p w:rsidR="00124E6E" w:rsidRPr="003D5C26" w:rsidRDefault="00124E6E" w:rsidP="00124E6E">
      <w:pPr>
        <w:pStyle w:val="SingleTxtG"/>
        <w:ind w:left="2268"/>
        <w:rPr>
          <w:lang w:val="fr-FR"/>
        </w:rPr>
      </w:pPr>
      <w:r w:rsidRPr="00AB7C1B">
        <w:rPr>
          <w:lang w:val="fr-FR"/>
        </w:rPr>
        <w:t>Renuméroter le Nota existant en tant que Nota 2.</w:t>
      </w:r>
    </w:p>
    <w:p w:rsidR="00124E6E" w:rsidRPr="00455982" w:rsidRDefault="00124E6E" w:rsidP="00A23C89">
      <w:pPr>
        <w:pStyle w:val="SingleTxtG"/>
        <w:tabs>
          <w:tab w:val="left" w:pos="2268"/>
        </w:tabs>
        <w:ind w:left="2259" w:hanging="1125"/>
        <w:rPr>
          <w:lang w:val="fr-FR"/>
        </w:rPr>
      </w:pPr>
      <w:r>
        <w:t xml:space="preserve">2.2.62.1.11.4 </w:t>
      </w:r>
      <w:r>
        <w:tab/>
        <w:t xml:space="preserve">Supprimer et ajouter « 2.2.62.1.11.4 </w:t>
      </w:r>
      <w:r w:rsidRPr="00AB7C1B">
        <w:rPr>
          <w:i/>
          <w:iCs/>
        </w:rPr>
        <w:t>(Supprimé) </w:t>
      </w:r>
      <w:r>
        <w:t>».</w:t>
      </w:r>
    </w:p>
    <w:p w:rsidR="00124E6E" w:rsidRDefault="00124E6E" w:rsidP="00A23C89">
      <w:pPr>
        <w:pStyle w:val="SingleTxtG"/>
        <w:tabs>
          <w:tab w:val="left" w:pos="2268"/>
        </w:tabs>
        <w:ind w:left="2259" w:hanging="1125"/>
      </w:pPr>
      <w:r>
        <w:t>2.2.62.3</w:t>
      </w:r>
      <w:r>
        <w:tab/>
        <w:t>Dans la liste des rubriques collectives, pour I3, ajouter les nouvelles rubriques suivantes :</w:t>
      </w:r>
    </w:p>
    <w:p w:rsidR="00124E6E" w:rsidRPr="00277B2A" w:rsidRDefault="00B926A4" w:rsidP="00A23C89">
      <w:pPr>
        <w:pStyle w:val="SingleTxtG"/>
        <w:tabs>
          <w:tab w:val="left" w:pos="2268"/>
        </w:tabs>
        <w:ind w:left="2259" w:hanging="1125"/>
      </w:pPr>
      <w:r>
        <w:tab/>
      </w:r>
      <w:r w:rsidR="00124E6E" w:rsidRPr="00277B2A">
        <w:t>« 3549</w:t>
      </w:r>
      <w:r w:rsidR="00124E6E" w:rsidRPr="00277B2A">
        <w:tab/>
      </w:r>
      <w:r w:rsidR="00124E6E" w:rsidRPr="00277B2A">
        <w:tab/>
        <w:t xml:space="preserve">DÉCHETS MÉDICAUX INFECTIEUX POUR L’HOMME, CATÉGORIE A, solides </w:t>
      </w:r>
      <w:proofErr w:type="gramStart"/>
      <w:r w:rsidR="00124E6E" w:rsidRPr="00277B2A">
        <w:t>ou</w:t>
      </w:r>
      <w:proofErr w:type="gramEnd"/>
    </w:p>
    <w:p w:rsidR="00124E6E" w:rsidRPr="00AB7C1B" w:rsidRDefault="00B926A4" w:rsidP="00A23C89">
      <w:pPr>
        <w:pStyle w:val="SingleTxtG"/>
        <w:tabs>
          <w:tab w:val="left" w:pos="2268"/>
        </w:tabs>
        <w:ind w:left="2259" w:hanging="1125"/>
      </w:pPr>
      <w:r>
        <w:tab/>
      </w:r>
      <w:r w:rsidR="00124E6E" w:rsidRPr="00277B2A">
        <w:t>3549</w:t>
      </w:r>
      <w:r w:rsidR="00124E6E">
        <w:tab/>
      </w:r>
      <w:r w:rsidR="00124E6E">
        <w:tab/>
      </w:r>
      <w:r w:rsidR="00124E6E" w:rsidRPr="00277B2A">
        <w:t>DÉCHETS MÉDICAUX INFECTIEUX POUR LES ANIMAUX uniquement, CATÉGORIE A, solides</w:t>
      </w:r>
      <w:r w:rsidR="00124E6E">
        <w:t> ».</w:t>
      </w:r>
    </w:p>
    <w:p w:rsidR="00B926A4" w:rsidRDefault="00124E6E" w:rsidP="00A23C89">
      <w:pPr>
        <w:pStyle w:val="SingleTxtG"/>
        <w:tabs>
          <w:tab w:val="left" w:pos="2268"/>
        </w:tabs>
        <w:ind w:left="2259" w:hanging="1125"/>
        <w:rPr>
          <w:lang w:eastAsia="en-GB"/>
        </w:rPr>
      </w:pPr>
      <w:r>
        <w:rPr>
          <w:szCs w:val="24"/>
          <w:lang w:val="fr-FR"/>
        </w:rPr>
        <w:t xml:space="preserve">Tableau </w:t>
      </w:r>
      <w:r>
        <w:rPr>
          <w:lang w:eastAsia="en-GB"/>
        </w:rPr>
        <w:t>2.2.7.2.1.1</w:t>
      </w:r>
    </w:p>
    <w:p w:rsidR="00124E6E" w:rsidRDefault="00124E6E" w:rsidP="00A23C89">
      <w:pPr>
        <w:pStyle w:val="SingleTxtG"/>
        <w:tabs>
          <w:tab w:val="left" w:pos="2268"/>
        </w:tabs>
        <w:ind w:left="2259" w:hanging="1125"/>
        <w:rPr>
          <w:szCs w:val="24"/>
          <w:lang w:val="fr-FR"/>
        </w:rPr>
      </w:pPr>
      <w:r>
        <w:rPr>
          <w:szCs w:val="24"/>
          <w:lang w:val="fr-FR"/>
        </w:rPr>
        <w:lastRenderedPageBreak/>
        <w:tab/>
        <w:t>Pour le No </w:t>
      </w:r>
      <w:r w:rsidRPr="00640C9E">
        <w:rPr>
          <w:szCs w:val="24"/>
          <w:lang w:val="fr-FR"/>
        </w:rPr>
        <w:t xml:space="preserve">ONU 2913, dans la colonne </w:t>
      </w:r>
      <w:r>
        <w:rPr>
          <w:szCs w:val="24"/>
          <w:lang w:val="fr-FR"/>
        </w:rPr>
        <w:t>« </w:t>
      </w:r>
      <w:r w:rsidRPr="00640C9E">
        <w:rPr>
          <w:szCs w:val="24"/>
          <w:lang w:val="fr-FR"/>
        </w:rPr>
        <w:t>Désignation officielle de transport</w:t>
      </w:r>
      <w:r>
        <w:rPr>
          <w:szCs w:val="24"/>
          <w:lang w:val="fr-FR"/>
        </w:rPr>
        <w:t> et description</w:t>
      </w:r>
      <w:r w:rsidR="00EB4D25">
        <w:rPr>
          <w:szCs w:val="24"/>
          <w:lang w:val="fr-FR"/>
        </w:rPr>
        <w:t> </w:t>
      </w:r>
      <w:r>
        <w:rPr>
          <w:szCs w:val="24"/>
          <w:lang w:val="fr-FR"/>
        </w:rPr>
        <w:t>»</w:t>
      </w:r>
      <w:r w:rsidRPr="00640C9E">
        <w:rPr>
          <w:szCs w:val="24"/>
          <w:lang w:val="fr-FR"/>
        </w:rPr>
        <w:t xml:space="preserve">, remplacer </w:t>
      </w:r>
      <w:r>
        <w:rPr>
          <w:szCs w:val="24"/>
          <w:lang w:val="fr-FR"/>
        </w:rPr>
        <w:t>« </w:t>
      </w:r>
      <w:r w:rsidRPr="00640C9E">
        <w:rPr>
          <w:szCs w:val="24"/>
          <w:lang w:val="fr-FR"/>
        </w:rPr>
        <w:t>SCO-I ou SCO-II</w:t>
      </w:r>
      <w:r>
        <w:rPr>
          <w:szCs w:val="24"/>
          <w:lang w:val="fr-FR"/>
        </w:rPr>
        <w:t> »</w:t>
      </w:r>
      <w:r w:rsidRPr="00640C9E">
        <w:rPr>
          <w:szCs w:val="24"/>
          <w:lang w:val="fr-FR"/>
        </w:rPr>
        <w:t xml:space="preserve"> par </w:t>
      </w:r>
      <w:r>
        <w:rPr>
          <w:szCs w:val="24"/>
          <w:lang w:val="fr-FR"/>
        </w:rPr>
        <w:t>« </w:t>
      </w:r>
      <w:r w:rsidRPr="00640C9E">
        <w:rPr>
          <w:szCs w:val="24"/>
          <w:lang w:val="fr-FR"/>
        </w:rPr>
        <w:t>SCO-I, SCO-II ou SCO-III</w:t>
      </w:r>
      <w:r>
        <w:rPr>
          <w:szCs w:val="24"/>
          <w:lang w:val="fr-FR"/>
        </w:rPr>
        <w:t> »</w:t>
      </w:r>
      <w:r w:rsidRPr="00640C9E">
        <w:rPr>
          <w:szCs w:val="24"/>
          <w:lang w:val="fr-FR"/>
        </w:rPr>
        <w:t>.</w:t>
      </w:r>
    </w:p>
    <w:p w:rsidR="00B926A4" w:rsidRDefault="00124E6E" w:rsidP="00A23C89">
      <w:pPr>
        <w:pStyle w:val="SingleTxtG"/>
        <w:tabs>
          <w:tab w:val="left" w:pos="2268"/>
        </w:tabs>
        <w:ind w:left="2259" w:hanging="1125"/>
        <w:rPr>
          <w:szCs w:val="24"/>
          <w:lang w:val="fr-FR"/>
        </w:rPr>
      </w:pPr>
      <w:r>
        <w:rPr>
          <w:szCs w:val="24"/>
          <w:lang w:val="fr-FR"/>
        </w:rPr>
        <w:t>Tableau 2.2.7.2.1.1</w:t>
      </w:r>
    </w:p>
    <w:p w:rsidR="00124E6E" w:rsidRDefault="00124E6E" w:rsidP="00A23C89">
      <w:pPr>
        <w:pStyle w:val="SingleTxtG"/>
        <w:tabs>
          <w:tab w:val="left" w:pos="2268"/>
        </w:tabs>
        <w:ind w:left="2259" w:hanging="1125"/>
        <w:rPr>
          <w:szCs w:val="24"/>
          <w:lang w:val="fr-FR"/>
        </w:rPr>
      </w:pPr>
      <w:r>
        <w:rPr>
          <w:szCs w:val="24"/>
          <w:lang w:val="fr-FR"/>
        </w:rPr>
        <w:tab/>
        <w:t>L’amendement à la version anglaise pour le No ONU 3325 est sans objet en français.</w:t>
      </w:r>
    </w:p>
    <w:p w:rsidR="00124E6E" w:rsidRPr="00AB7C1B" w:rsidRDefault="00124E6E" w:rsidP="00124E6E">
      <w:pPr>
        <w:pStyle w:val="SingleTxtG"/>
        <w:tabs>
          <w:tab w:val="left" w:pos="2268"/>
        </w:tabs>
        <w:rPr>
          <w:i/>
          <w:iCs/>
          <w:szCs w:val="24"/>
          <w:lang w:val="fr-FR"/>
        </w:rPr>
      </w:pPr>
      <w:r>
        <w:rPr>
          <w:i/>
          <w:iCs/>
          <w:szCs w:val="24"/>
          <w:lang w:val="fr-FR"/>
        </w:rPr>
        <w:t>(Modification éditoriale)</w:t>
      </w:r>
    </w:p>
    <w:p w:rsidR="00B926A4" w:rsidRDefault="00124E6E" w:rsidP="00A23C89">
      <w:pPr>
        <w:pStyle w:val="SingleTxtG"/>
        <w:tabs>
          <w:tab w:val="left" w:pos="2268"/>
        </w:tabs>
        <w:ind w:left="2259" w:hanging="1125"/>
        <w:rPr>
          <w:lang w:eastAsia="en-GB"/>
        </w:rPr>
      </w:pPr>
      <w:r w:rsidRPr="00640C9E">
        <w:rPr>
          <w:szCs w:val="24"/>
          <w:lang w:val="fr-FR"/>
        </w:rPr>
        <w:t xml:space="preserve">Tableau </w:t>
      </w:r>
      <w:r>
        <w:rPr>
          <w:lang w:eastAsia="en-GB"/>
        </w:rPr>
        <w:t>2.2.7.2.2.1</w:t>
      </w:r>
    </w:p>
    <w:p w:rsidR="00124E6E" w:rsidRPr="00640C9E" w:rsidRDefault="00124E6E" w:rsidP="00A23C89">
      <w:pPr>
        <w:pStyle w:val="SingleTxtG"/>
        <w:tabs>
          <w:tab w:val="left" w:pos="2268"/>
        </w:tabs>
        <w:ind w:left="2259" w:hanging="1125"/>
        <w:rPr>
          <w:szCs w:val="24"/>
        </w:rPr>
      </w:pPr>
      <w:r w:rsidRPr="00640C9E">
        <w:rPr>
          <w:szCs w:val="24"/>
          <w:lang w:val="fr-FR"/>
        </w:rPr>
        <w:tab/>
        <w:t>Ajouter les rubriques suivantes dans l</w:t>
      </w:r>
      <w:r>
        <w:rPr>
          <w:szCs w:val="24"/>
          <w:lang w:val="fr-FR"/>
        </w:rPr>
        <w:t>’</w:t>
      </w:r>
      <w:r w:rsidRPr="00640C9E">
        <w:rPr>
          <w:szCs w:val="24"/>
          <w:lang w:val="fr-FR"/>
        </w:rPr>
        <w:t>ordre approprié.</w:t>
      </w:r>
    </w:p>
    <w:tbl>
      <w:tblPr>
        <w:tblW w:w="5562"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1060"/>
        <w:gridCol w:w="992"/>
        <w:gridCol w:w="992"/>
        <w:gridCol w:w="992"/>
      </w:tblGrid>
      <w:tr w:rsidR="00124E6E" w:rsidRPr="007D36A1" w:rsidTr="00124E6E">
        <w:trPr>
          <w:trHeight w:hRule="exact" w:val="300"/>
        </w:trPr>
        <w:tc>
          <w:tcPr>
            <w:tcW w:w="1526" w:type="dxa"/>
            <w:shd w:val="clear" w:color="auto" w:fill="auto"/>
            <w:hideMark/>
          </w:tcPr>
          <w:p w:rsidR="00124E6E" w:rsidRPr="007D36A1" w:rsidRDefault="00124E6E" w:rsidP="00124E6E">
            <w:pPr>
              <w:ind w:left="57" w:right="57"/>
              <w:jc w:val="both"/>
              <w:rPr>
                <w:sz w:val="18"/>
                <w:szCs w:val="18"/>
                <w:lang w:eastAsia="en-GB"/>
              </w:rPr>
            </w:pPr>
            <w:r w:rsidRPr="007D36A1">
              <w:rPr>
                <w:color w:val="231F20"/>
                <w:sz w:val="18"/>
                <w:szCs w:val="18"/>
                <w:lang w:eastAsia="en-GB"/>
              </w:rPr>
              <w:t>Ba-135m</w:t>
            </w:r>
          </w:p>
        </w:tc>
        <w:tc>
          <w:tcPr>
            <w:tcW w:w="1060" w:type="dxa"/>
            <w:shd w:val="clear" w:color="auto" w:fill="auto"/>
            <w:hideMark/>
          </w:tcPr>
          <w:p w:rsidR="00124E6E" w:rsidRPr="007D36A1" w:rsidRDefault="00124E6E" w:rsidP="00124E6E">
            <w:pPr>
              <w:ind w:left="57" w:right="57"/>
              <w:rPr>
                <w:sz w:val="18"/>
                <w:lang w:eastAsia="en-GB"/>
              </w:rPr>
            </w:pPr>
            <w:r w:rsidRPr="007D36A1">
              <w:rPr>
                <w:color w:val="231F20"/>
                <w:sz w:val="18"/>
                <w:szCs w:val="18"/>
                <w:lang w:eastAsia="en-GB"/>
              </w:rPr>
              <w:t>2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rsidR="00124E6E" w:rsidRPr="007D36A1" w:rsidRDefault="00124E6E" w:rsidP="00124E6E">
            <w:pPr>
              <w:ind w:left="57" w:right="57"/>
              <w:rPr>
                <w:sz w:val="18"/>
                <w:lang w:eastAsia="en-GB"/>
              </w:rPr>
            </w:pPr>
            <w:r w:rsidRPr="007D36A1">
              <w:rPr>
                <w:color w:val="231F20"/>
                <w:sz w:val="18"/>
                <w:szCs w:val="18"/>
                <w:lang w:eastAsia="en-GB"/>
              </w:rPr>
              <w:t>6</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–1</w:t>
            </w:r>
          </w:p>
        </w:tc>
        <w:tc>
          <w:tcPr>
            <w:tcW w:w="992" w:type="dxa"/>
            <w:shd w:val="clear" w:color="auto" w:fill="auto"/>
            <w:hideMark/>
          </w:tcPr>
          <w:p w:rsidR="00124E6E" w:rsidRPr="007D36A1" w:rsidRDefault="00124E6E" w:rsidP="00124E6E">
            <w:pPr>
              <w:ind w:left="57" w:right="57"/>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2</w:t>
            </w:r>
          </w:p>
        </w:tc>
        <w:tc>
          <w:tcPr>
            <w:tcW w:w="992" w:type="dxa"/>
            <w:shd w:val="clear" w:color="auto" w:fill="auto"/>
            <w:hideMark/>
          </w:tcPr>
          <w:p w:rsidR="00124E6E" w:rsidRPr="007D36A1" w:rsidRDefault="00124E6E" w:rsidP="00124E6E">
            <w:pPr>
              <w:ind w:left="57" w:right="57" w:firstLine="205"/>
              <w:jc w:val="both"/>
              <w:rPr>
                <w:sz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124E6E" w:rsidRPr="007D36A1" w:rsidTr="00124E6E">
        <w:trPr>
          <w:trHeight w:val="301"/>
        </w:trPr>
        <w:tc>
          <w:tcPr>
            <w:tcW w:w="1526" w:type="dxa"/>
            <w:shd w:val="clear" w:color="auto" w:fill="auto"/>
          </w:tcPr>
          <w:p w:rsidR="00124E6E" w:rsidRPr="007D36A1" w:rsidRDefault="00124E6E" w:rsidP="00124E6E">
            <w:pPr>
              <w:tabs>
                <w:tab w:val="left" w:pos="2460"/>
                <w:tab w:val="left" w:pos="3640"/>
                <w:tab w:val="left" w:pos="4700"/>
                <w:tab w:val="left" w:pos="6040"/>
              </w:tabs>
              <w:ind w:left="57" w:right="57"/>
              <w:rPr>
                <w:color w:val="231F20"/>
                <w:sz w:val="18"/>
                <w:szCs w:val="18"/>
                <w:lang w:eastAsia="en-GB"/>
              </w:rPr>
            </w:pPr>
            <w:r w:rsidRPr="007D36A1">
              <w:rPr>
                <w:color w:val="231F20"/>
                <w:sz w:val="18"/>
                <w:szCs w:val="18"/>
                <w:lang w:eastAsia="en-GB"/>
              </w:rPr>
              <w:t>Ge-69</w:t>
            </w:r>
          </w:p>
        </w:tc>
        <w:tc>
          <w:tcPr>
            <w:tcW w:w="1060" w:type="dxa"/>
            <w:shd w:val="clear" w:color="auto" w:fill="auto"/>
          </w:tcPr>
          <w:p w:rsidR="00124E6E" w:rsidRPr="007D36A1" w:rsidRDefault="00124E6E" w:rsidP="00124E6E">
            <w:pPr>
              <w:spacing w:line="280" w:lineRule="atLeast"/>
              <w:ind w:left="57" w:right="57"/>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w:t>
            </w:r>
            <w:r w:rsidRPr="007D36A1">
              <w:rPr>
                <w:spacing w:val="-1"/>
                <w:sz w:val="18"/>
                <w:szCs w:val="18"/>
              </w:rPr>
              <w:t>0</w:t>
            </w:r>
            <w:r w:rsidRPr="009D1347">
              <w:rPr>
                <w:color w:val="231F20"/>
                <w:sz w:val="18"/>
                <w:vertAlign w:val="superscript"/>
                <w:lang w:eastAsia="en-GB"/>
              </w:rPr>
              <w:t>0</w:t>
            </w:r>
          </w:p>
        </w:tc>
        <w:tc>
          <w:tcPr>
            <w:tcW w:w="992" w:type="dxa"/>
            <w:shd w:val="clear" w:color="auto" w:fill="auto"/>
          </w:tcPr>
          <w:p w:rsidR="00124E6E" w:rsidRPr="007D36A1" w:rsidRDefault="00124E6E" w:rsidP="00124E6E">
            <w:pPr>
              <w:spacing w:line="280" w:lineRule="atLeast"/>
              <w:ind w:left="57" w:right="57"/>
              <w:rPr>
                <w:sz w:val="18"/>
                <w:szCs w:val="18"/>
              </w:rPr>
            </w:pPr>
            <w:r w:rsidRPr="007D36A1">
              <w:rPr>
                <w:sz w:val="18"/>
                <w:szCs w:val="18"/>
              </w:rPr>
              <w:t>1</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9D1347">
              <w:rPr>
                <w:color w:val="231F20"/>
                <w:sz w:val="18"/>
                <w:vertAlign w:val="superscript"/>
                <w:lang w:eastAsia="en-GB"/>
              </w:rPr>
              <w:t>0</w:t>
            </w:r>
          </w:p>
        </w:tc>
        <w:tc>
          <w:tcPr>
            <w:tcW w:w="992" w:type="dxa"/>
            <w:shd w:val="clear" w:color="auto" w:fill="auto"/>
          </w:tcPr>
          <w:p w:rsidR="00124E6E" w:rsidRPr="007D36A1" w:rsidRDefault="00124E6E" w:rsidP="00124E6E">
            <w:pPr>
              <w:spacing w:line="280" w:lineRule="atLeast"/>
              <w:ind w:left="57" w:right="57"/>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9D1347">
              <w:rPr>
                <w:color w:val="231F20"/>
                <w:sz w:val="18"/>
                <w:vertAlign w:val="superscript"/>
                <w:lang w:eastAsia="en-GB"/>
              </w:rPr>
              <w:t>1</w:t>
            </w:r>
          </w:p>
        </w:tc>
        <w:tc>
          <w:tcPr>
            <w:tcW w:w="992" w:type="dxa"/>
            <w:shd w:val="clear" w:color="auto" w:fill="auto"/>
          </w:tcPr>
          <w:p w:rsidR="00124E6E" w:rsidRPr="007D36A1" w:rsidRDefault="00124E6E" w:rsidP="00124E6E">
            <w:pPr>
              <w:tabs>
                <w:tab w:val="left" w:pos="2460"/>
                <w:tab w:val="left" w:pos="3640"/>
                <w:tab w:val="left" w:pos="4700"/>
                <w:tab w:val="left" w:pos="6040"/>
              </w:tabs>
              <w:ind w:left="57" w:right="57"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124E6E" w:rsidRPr="007D36A1" w:rsidTr="00124E6E">
        <w:trPr>
          <w:trHeight w:val="301"/>
        </w:trPr>
        <w:tc>
          <w:tcPr>
            <w:tcW w:w="1526" w:type="dxa"/>
            <w:shd w:val="clear" w:color="auto" w:fill="auto"/>
          </w:tcPr>
          <w:p w:rsidR="00124E6E" w:rsidRPr="007D36A1" w:rsidRDefault="00124E6E" w:rsidP="00124E6E">
            <w:pPr>
              <w:tabs>
                <w:tab w:val="left" w:pos="2460"/>
                <w:tab w:val="left" w:pos="3640"/>
                <w:tab w:val="left" w:pos="4700"/>
                <w:tab w:val="left" w:pos="6040"/>
              </w:tabs>
              <w:ind w:left="57" w:right="57"/>
              <w:rPr>
                <w:sz w:val="18"/>
                <w:szCs w:val="18"/>
                <w:lang w:eastAsia="en-GB"/>
              </w:rPr>
            </w:pPr>
            <w:r w:rsidRPr="007D36A1">
              <w:rPr>
                <w:color w:val="231F20"/>
                <w:sz w:val="18"/>
                <w:szCs w:val="18"/>
                <w:lang w:eastAsia="en-GB"/>
              </w:rPr>
              <w:t>I</w:t>
            </w:r>
            <w:r w:rsidRPr="007D36A1">
              <w:rPr>
                <w:color w:val="231F20"/>
                <w:spacing w:val="-5"/>
                <w:sz w:val="18"/>
                <w:szCs w:val="18"/>
                <w:lang w:eastAsia="en-GB"/>
              </w:rPr>
              <w:t>r</w:t>
            </w:r>
            <w:r w:rsidRPr="007D36A1">
              <w:rPr>
                <w:color w:val="231F20"/>
                <w:sz w:val="18"/>
                <w:szCs w:val="18"/>
                <w:lang w:eastAsia="en-GB"/>
              </w:rPr>
              <w:t>-193m</w:t>
            </w:r>
          </w:p>
        </w:tc>
        <w:tc>
          <w:tcPr>
            <w:tcW w:w="1060" w:type="dxa"/>
            <w:shd w:val="clear" w:color="auto" w:fill="auto"/>
          </w:tcPr>
          <w:p w:rsidR="00124E6E" w:rsidRPr="007D36A1" w:rsidRDefault="00124E6E" w:rsidP="00124E6E">
            <w:pPr>
              <w:spacing w:line="280" w:lineRule="atLeast"/>
              <w:ind w:left="57" w:right="57"/>
              <w:rPr>
                <w:sz w:val="18"/>
                <w:szCs w:val="18"/>
              </w:rPr>
            </w:pPr>
            <w:r w:rsidRPr="007D36A1">
              <w:rPr>
                <w:sz w:val="18"/>
                <w:szCs w:val="18"/>
              </w:rPr>
              <w:t>4 ×</w:t>
            </w:r>
            <w:r w:rsidRPr="007D36A1">
              <w:rPr>
                <w:spacing w:val="-1"/>
                <w:sz w:val="18"/>
                <w:szCs w:val="18"/>
              </w:rPr>
              <w:t xml:space="preserve"> </w:t>
            </w:r>
            <w:r w:rsidRPr="007D36A1">
              <w:rPr>
                <w:sz w:val="18"/>
                <w:szCs w:val="18"/>
              </w:rPr>
              <w:t>1</w:t>
            </w:r>
            <w:r w:rsidRPr="007D36A1">
              <w:rPr>
                <w:spacing w:val="-1"/>
                <w:sz w:val="18"/>
                <w:szCs w:val="18"/>
              </w:rPr>
              <w:t>0</w:t>
            </w:r>
            <w:r w:rsidRPr="009D1347">
              <w:rPr>
                <w:color w:val="231F20"/>
                <w:sz w:val="18"/>
                <w:vertAlign w:val="superscript"/>
                <w:lang w:eastAsia="en-GB"/>
              </w:rPr>
              <w:t>1</w:t>
            </w:r>
          </w:p>
        </w:tc>
        <w:tc>
          <w:tcPr>
            <w:tcW w:w="992" w:type="dxa"/>
            <w:shd w:val="clear" w:color="auto" w:fill="auto"/>
          </w:tcPr>
          <w:p w:rsidR="00124E6E" w:rsidRPr="007D36A1" w:rsidRDefault="00124E6E" w:rsidP="00124E6E">
            <w:pPr>
              <w:spacing w:line="280" w:lineRule="atLeast"/>
              <w:ind w:left="57" w:right="57"/>
              <w:rPr>
                <w:sz w:val="18"/>
                <w:szCs w:val="18"/>
              </w:rPr>
            </w:pPr>
            <w:r w:rsidRPr="007D36A1">
              <w:rPr>
                <w:sz w:val="18"/>
                <w:szCs w:val="18"/>
              </w:rPr>
              <w:t>4</w:t>
            </w:r>
            <w:r w:rsidRPr="007D36A1">
              <w:rPr>
                <w:spacing w:val="-1"/>
                <w:sz w:val="18"/>
                <w:szCs w:val="18"/>
              </w:rPr>
              <w:t xml:space="preserve"> </w:t>
            </w:r>
            <w:r w:rsidRPr="007D36A1">
              <w:rPr>
                <w:sz w:val="18"/>
                <w:szCs w:val="18"/>
              </w:rPr>
              <w:t>×</w:t>
            </w:r>
            <w:r w:rsidRPr="007D36A1">
              <w:rPr>
                <w:spacing w:val="-1"/>
                <w:sz w:val="18"/>
                <w:szCs w:val="18"/>
              </w:rPr>
              <w:t xml:space="preserve"> </w:t>
            </w:r>
            <w:r w:rsidRPr="007D36A1">
              <w:rPr>
                <w:sz w:val="18"/>
                <w:szCs w:val="18"/>
              </w:rPr>
              <w:t>10</w:t>
            </w:r>
            <w:r w:rsidRPr="009D1347">
              <w:rPr>
                <w:color w:val="231F20"/>
                <w:sz w:val="18"/>
                <w:vertAlign w:val="superscript"/>
                <w:lang w:eastAsia="en-GB"/>
              </w:rPr>
              <w:t>0</w:t>
            </w:r>
          </w:p>
        </w:tc>
        <w:tc>
          <w:tcPr>
            <w:tcW w:w="992" w:type="dxa"/>
            <w:shd w:val="clear" w:color="auto" w:fill="auto"/>
          </w:tcPr>
          <w:p w:rsidR="00124E6E" w:rsidRPr="007D36A1" w:rsidRDefault="00124E6E" w:rsidP="00124E6E">
            <w:pPr>
              <w:spacing w:line="280" w:lineRule="atLeast"/>
              <w:ind w:left="57" w:right="57"/>
              <w:jc w:val="both"/>
              <w:rPr>
                <w:sz w:val="18"/>
                <w:szCs w:val="18"/>
              </w:rPr>
            </w:pPr>
            <w:r w:rsidRPr="007D36A1">
              <w:rPr>
                <w:sz w:val="18"/>
                <w:szCs w:val="18"/>
              </w:rPr>
              <w:t>1 ×</w:t>
            </w:r>
            <w:r w:rsidRPr="007D36A1">
              <w:rPr>
                <w:spacing w:val="-1"/>
                <w:sz w:val="18"/>
                <w:szCs w:val="18"/>
              </w:rPr>
              <w:t xml:space="preserve"> </w:t>
            </w:r>
            <w:r w:rsidRPr="007D36A1">
              <w:rPr>
                <w:sz w:val="18"/>
                <w:szCs w:val="18"/>
              </w:rPr>
              <w:t>10</w:t>
            </w:r>
            <w:r w:rsidRPr="009D1347">
              <w:rPr>
                <w:color w:val="231F20"/>
                <w:sz w:val="18"/>
                <w:vertAlign w:val="superscript"/>
                <w:lang w:eastAsia="en-GB"/>
              </w:rPr>
              <w:t>4</w:t>
            </w:r>
          </w:p>
        </w:tc>
        <w:tc>
          <w:tcPr>
            <w:tcW w:w="992" w:type="dxa"/>
            <w:shd w:val="clear" w:color="auto" w:fill="auto"/>
          </w:tcPr>
          <w:p w:rsidR="00124E6E" w:rsidRPr="007D36A1" w:rsidRDefault="00124E6E" w:rsidP="00124E6E">
            <w:pPr>
              <w:tabs>
                <w:tab w:val="left" w:pos="2460"/>
                <w:tab w:val="left" w:pos="3640"/>
                <w:tab w:val="left" w:pos="4700"/>
                <w:tab w:val="left" w:pos="6040"/>
              </w:tabs>
              <w:ind w:left="57" w:right="57" w:firstLine="205"/>
              <w:rPr>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7</w:t>
            </w:r>
          </w:p>
        </w:tc>
      </w:tr>
      <w:tr w:rsidR="00124E6E" w:rsidRPr="007D36A1" w:rsidTr="00124E6E">
        <w:trPr>
          <w:trHeight w:hRule="exact" w:val="300"/>
        </w:trPr>
        <w:tc>
          <w:tcPr>
            <w:tcW w:w="1526" w:type="dxa"/>
            <w:shd w:val="clear" w:color="auto" w:fill="auto"/>
          </w:tcPr>
          <w:p w:rsidR="00124E6E" w:rsidRPr="007D36A1" w:rsidRDefault="00124E6E" w:rsidP="00124E6E">
            <w:pPr>
              <w:ind w:left="57" w:right="57"/>
              <w:rPr>
                <w:color w:val="231F20"/>
                <w:sz w:val="18"/>
                <w:szCs w:val="18"/>
                <w:lang w:eastAsia="en-GB"/>
              </w:rPr>
            </w:pPr>
            <w:r w:rsidRPr="007D36A1">
              <w:rPr>
                <w:color w:val="231F20"/>
                <w:sz w:val="18"/>
                <w:szCs w:val="18"/>
                <w:lang w:eastAsia="en-GB"/>
              </w:rPr>
              <w:t>Ni-57</w:t>
            </w:r>
          </w:p>
        </w:tc>
        <w:tc>
          <w:tcPr>
            <w:tcW w:w="1060" w:type="dxa"/>
            <w:shd w:val="clear" w:color="auto" w:fill="auto"/>
          </w:tcPr>
          <w:p w:rsidR="00124E6E" w:rsidRPr="007D36A1" w:rsidRDefault="00124E6E" w:rsidP="00124E6E">
            <w:pPr>
              <w:ind w:left="57" w:right="57"/>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124E6E" w:rsidRPr="007D36A1" w:rsidRDefault="00124E6E" w:rsidP="00124E6E">
            <w:pPr>
              <w:ind w:left="57" w:right="57"/>
              <w:rPr>
                <w:color w:val="231F20"/>
                <w:sz w:val="18"/>
                <w:szCs w:val="18"/>
                <w:lang w:eastAsia="en-GB"/>
              </w:rPr>
            </w:pPr>
            <w:r w:rsidRPr="007D36A1">
              <w:rPr>
                <w:color w:val="231F20"/>
                <w:sz w:val="18"/>
                <w:szCs w:val="18"/>
                <w:lang w:eastAsia="en-GB"/>
              </w:rPr>
              <w:t>6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rsidR="00124E6E" w:rsidRPr="007D36A1" w:rsidRDefault="00124E6E" w:rsidP="00124E6E">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hideMark/>
          </w:tcPr>
          <w:p w:rsidR="00124E6E" w:rsidRPr="007D36A1" w:rsidRDefault="00124E6E" w:rsidP="00124E6E">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124E6E" w:rsidRPr="007D36A1" w:rsidTr="00124E6E">
        <w:trPr>
          <w:trHeight w:hRule="exact" w:val="300"/>
        </w:trPr>
        <w:tc>
          <w:tcPr>
            <w:tcW w:w="1526" w:type="dxa"/>
            <w:shd w:val="clear" w:color="auto" w:fill="auto"/>
            <w:hideMark/>
          </w:tcPr>
          <w:p w:rsidR="00124E6E" w:rsidRPr="007D36A1" w:rsidRDefault="00124E6E" w:rsidP="00124E6E">
            <w:pPr>
              <w:ind w:left="57" w:right="57"/>
              <w:rPr>
                <w:color w:val="231F20"/>
                <w:sz w:val="18"/>
                <w:szCs w:val="18"/>
                <w:lang w:eastAsia="en-GB"/>
              </w:rPr>
            </w:pPr>
            <w:r w:rsidRPr="007D36A1">
              <w:rPr>
                <w:color w:val="231F20"/>
                <w:sz w:val="18"/>
                <w:szCs w:val="18"/>
                <w:lang w:eastAsia="en-GB"/>
              </w:rPr>
              <w:t>S</w:t>
            </w:r>
            <w:r w:rsidRPr="007D36A1">
              <w:rPr>
                <w:color w:val="231F20"/>
                <w:spacing w:val="-4"/>
                <w:sz w:val="18"/>
                <w:szCs w:val="18"/>
                <w:lang w:eastAsia="en-GB"/>
              </w:rPr>
              <w:t>r</w:t>
            </w:r>
            <w:r w:rsidRPr="007D36A1">
              <w:rPr>
                <w:color w:val="231F20"/>
                <w:sz w:val="18"/>
                <w:szCs w:val="18"/>
                <w:lang w:eastAsia="en-GB"/>
              </w:rPr>
              <w:t>-83</w:t>
            </w:r>
          </w:p>
        </w:tc>
        <w:tc>
          <w:tcPr>
            <w:tcW w:w="1060" w:type="dxa"/>
            <w:shd w:val="clear" w:color="auto" w:fill="auto"/>
            <w:hideMark/>
          </w:tcPr>
          <w:p w:rsidR="00124E6E" w:rsidRPr="007D36A1" w:rsidRDefault="00124E6E" w:rsidP="00124E6E">
            <w:pPr>
              <w:ind w:left="57" w:right="57"/>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9D1347">
              <w:rPr>
                <w:color w:val="231F20"/>
                <w:sz w:val="18"/>
                <w:vertAlign w:val="superscript"/>
                <w:lang w:eastAsia="en-GB"/>
              </w:rPr>
              <w:t>0</w:t>
            </w:r>
          </w:p>
        </w:tc>
        <w:tc>
          <w:tcPr>
            <w:tcW w:w="992" w:type="dxa"/>
            <w:shd w:val="clear" w:color="auto" w:fill="auto"/>
            <w:hideMark/>
          </w:tcPr>
          <w:p w:rsidR="00124E6E" w:rsidRPr="007D36A1" w:rsidRDefault="00124E6E" w:rsidP="00124E6E">
            <w:pPr>
              <w:ind w:left="57" w:right="57"/>
              <w:rPr>
                <w:color w:val="231F20"/>
                <w:sz w:val="18"/>
                <w:szCs w:val="18"/>
                <w:lang w:eastAsia="en-GB"/>
              </w:rPr>
            </w:pPr>
            <w:r w:rsidRPr="007D36A1">
              <w:rPr>
                <w:color w:val="231F20"/>
                <w:sz w:val="18"/>
                <w:szCs w:val="18"/>
                <w:lang w:eastAsia="en-GB"/>
              </w:rPr>
              <w:t>1</w:t>
            </w:r>
            <w:r w:rsidRPr="007D36A1">
              <w:rPr>
                <w:color w:val="231F20"/>
                <w:spacing w:val="1"/>
                <w:sz w:val="18"/>
                <w:szCs w:val="18"/>
                <w:lang w:eastAsia="en-GB"/>
              </w:rPr>
              <w:t xml:space="preserve"> </w:t>
            </w:r>
            <w:r w:rsidRPr="007D36A1">
              <w:rPr>
                <w:color w:val="231F20"/>
                <w:sz w:val="18"/>
                <w:szCs w:val="18"/>
                <w:lang w:eastAsia="en-GB"/>
              </w:rPr>
              <w:t>×</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2"/>
                <w:sz w:val="18"/>
                <w:szCs w:val="18"/>
                <w:lang w:eastAsia="en-GB"/>
              </w:rPr>
              <w:t>0</w:t>
            </w:r>
            <w:r w:rsidRPr="009D1347">
              <w:rPr>
                <w:color w:val="231F20"/>
                <w:sz w:val="18"/>
                <w:vertAlign w:val="superscript"/>
                <w:lang w:eastAsia="en-GB"/>
              </w:rPr>
              <w:t>0</w:t>
            </w:r>
          </w:p>
        </w:tc>
        <w:tc>
          <w:tcPr>
            <w:tcW w:w="992" w:type="dxa"/>
            <w:shd w:val="clear" w:color="auto" w:fill="auto"/>
            <w:hideMark/>
          </w:tcPr>
          <w:p w:rsidR="00124E6E" w:rsidRPr="007D36A1" w:rsidRDefault="00124E6E" w:rsidP="00124E6E">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1</w:t>
            </w:r>
          </w:p>
        </w:tc>
        <w:tc>
          <w:tcPr>
            <w:tcW w:w="992" w:type="dxa"/>
            <w:shd w:val="clear" w:color="auto" w:fill="auto"/>
            <w:hideMark/>
          </w:tcPr>
          <w:p w:rsidR="00124E6E" w:rsidRPr="007D36A1" w:rsidRDefault="00124E6E" w:rsidP="00124E6E">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10</w:t>
            </w:r>
            <w:r w:rsidRPr="009D1347">
              <w:rPr>
                <w:color w:val="231F20"/>
                <w:sz w:val="18"/>
                <w:vertAlign w:val="superscript"/>
                <w:lang w:eastAsia="en-GB"/>
              </w:rPr>
              <w:t>6</w:t>
            </w:r>
          </w:p>
        </w:tc>
      </w:tr>
      <w:tr w:rsidR="00124E6E" w:rsidRPr="007D36A1" w:rsidTr="00124E6E">
        <w:trPr>
          <w:trHeight w:hRule="exact" w:val="300"/>
        </w:trPr>
        <w:tc>
          <w:tcPr>
            <w:tcW w:w="1526" w:type="dxa"/>
            <w:shd w:val="clear" w:color="auto" w:fill="auto"/>
          </w:tcPr>
          <w:p w:rsidR="00124E6E" w:rsidRPr="007D36A1" w:rsidRDefault="00124E6E" w:rsidP="00124E6E">
            <w:pPr>
              <w:ind w:left="57" w:right="57"/>
              <w:rPr>
                <w:color w:val="231F20"/>
                <w:sz w:val="18"/>
                <w:szCs w:val="18"/>
                <w:lang w:eastAsia="en-GB"/>
              </w:rPr>
            </w:pPr>
            <w:r w:rsidRPr="007D36A1">
              <w:rPr>
                <w:color w:val="231F20"/>
                <w:sz w:val="18"/>
                <w:szCs w:val="18"/>
                <w:lang w:eastAsia="en-GB"/>
              </w:rPr>
              <w:t>Tb-149</w:t>
            </w:r>
          </w:p>
        </w:tc>
        <w:tc>
          <w:tcPr>
            <w:tcW w:w="1060" w:type="dxa"/>
            <w:shd w:val="clear" w:color="auto" w:fill="auto"/>
          </w:tcPr>
          <w:p w:rsidR="00124E6E" w:rsidRPr="007D36A1" w:rsidRDefault="00124E6E" w:rsidP="00124E6E">
            <w:pPr>
              <w:ind w:left="57" w:right="57"/>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124E6E" w:rsidRPr="007D36A1" w:rsidRDefault="00124E6E" w:rsidP="00124E6E">
            <w:pPr>
              <w:ind w:left="57" w:right="57"/>
              <w:rPr>
                <w:color w:val="231F20"/>
                <w:sz w:val="18"/>
                <w:szCs w:val="18"/>
                <w:lang w:eastAsia="en-GB"/>
              </w:rPr>
            </w:pPr>
            <w:r w:rsidRPr="007D36A1">
              <w:rPr>
                <w:color w:val="231F20"/>
                <w:sz w:val="18"/>
                <w:szCs w:val="18"/>
                <w:lang w:eastAsia="en-GB"/>
              </w:rPr>
              <w:t>8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124E6E" w:rsidRPr="007D36A1" w:rsidRDefault="00124E6E" w:rsidP="00124E6E">
            <w:pPr>
              <w:ind w:left="57" w:right="57"/>
              <w:jc w:val="both"/>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1</w:t>
            </w:r>
          </w:p>
        </w:tc>
        <w:tc>
          <w:tcPr>
            <w:tcW w:w="992" w:type="dxa"/>
            <w:shd w:val="clear" w:color="auto" w:fill="auto"/>
          </w:tcPr>
          <w:p w:rsidR="00124E6E" w:rsidRPr="007D36A1" w:rsidRDefault="00124E6E" w:rsidP="00124E6E">
            <w:pPr>
              <w:ind w:left="57" w:right="57" w:firstLine="205"/>
              <w:rPr>
                <w:color w:val="231F20"/>
                <w:sz w:val="18"/>
                <w:szCs w:val="18"/>
                <w:lang w:eastAsia="en-GB"/>
              </w:rPr>
            </w:pPr>
            <w:r w:rsidRPr="007D36A1">
              <w:rPr>
                <w:color w:val="231F20"/>
                <w:sz w:val="18"/>
                <w:szCs w:val="18"/>
                <w:lang w:eastAsia="en-GB"/>
              </w:rPr>
              <w:t>1 ×</w:t>
            </w:r>
            <w:r w:rsidRPr="007D36A1">
              <w:rPr>
                <w:color w:val="231F20"/>
                <w:spacing w:val="-1"/>
                <w:sz w:val="18"/>
                <w:szCs w:val="18"/>
                <w:lang w:eastAsia="en-GB"/>
              </w:rPr>
              <w:t xml:space="preserve"> </w:t>
            </w:r>
            <w:r w:rsidRPr="007D36A1">
              <w:rPr>
                <w:color w:val="231F20"/>
                <w:sz w:val="18"/>
                <w:szCs w:val="18"/>
                <w:lang w:eastAsia="en-GB"/>
              </w:rPr>
              <w:t>1</w:t>
            </w:r>
            <w:r w:rsidRPr="007D36A1">
              <w:rPr>
                <w:color w:val="231F20"/>
                <w:spacing w:val="-1"/>
                <w:sz w:val="18"/>
                <w:szCs w:val="18"/>
                <w:lang w:eastAsia="en-GB"/>
              </w:rPr>
              <w:t>0</w:t>
            </w:r>
            <w:r w:rsidRPr="009D1347">
              <w:rPr>
                <w:color w:val="231F20"/>
                <w:sz w:val="18"/>
                <w:vertAlign w:val="superscript"/>
                <w:lang w:eastAsia="en-GB"/>
              </w:rPr>
              <w:t>6</w:t>
            </w:r>
          </w:p>
        </w:tc>
      </w:tr>
      <w:tr w:rsidR="00124E6E" w:rsidRPr="007D36A1" w:rsidTr="00124E6E">
        <w:trPr>
          <w:trHeight w:hRule="exact" w:val="288"/>
        </w:trPr>
        <w:tc>
          <w:tcPr>
            <w:tcW w:w="1526" w:type="dxa"/>
            <w:shd w:val="clear" w:color="auto" w:fill="auto"/>
          </w:tcPr>
          <w:p w:rsidR="00124E6E" w:rsidRPr="007D36A1" w:rsidRDefault="00124E6E" w:rsidP="00124E6E">
            <w:pPr>
              <w:ind w:left="57" w:right="57"/>
              <w:rPr>
                <w:color w:val="231F20"/>
                <w:sz w:val="18"/>
                <w:szCs w:val="18"/>
                <w:lang w:eastAsia="en-GB"/>
              </w:rPr>
            </w:pPr>
            <w:r w:rsidRPr="007D36A1">
              <w:rPr>
                <w:color w:val="231F20"/>
                <w:sz w:val="18"/>
                <w:szCs w:val="18"/>
                <w:lang w:eastAsia="en-GB"/>
              </w:rPr>
              <w:t>Tb-161</w:t>
            </w:r>
          </w:p>
        </w:tc>
        <w:tc>
          <w:tcPr>
            <w:tcW w:w="1060" w:type="dxa"/>
            <w:shd w:val="clear" w:color="auto" w:fill="auto"/>
          </w:tcPr>
          <w:p w:rsidR="00124E6E" w:rsidRPr="007D36A1" w:rsidRDefault="00124E6E" w:rsidP="00124E6E">
            <w:pPr>
              <w:ind w:left="57" w:right="57"/>
              <w:rPr>
                <w:color w:val="231F20"/>
                <w:sz w:val="18"/>
                <w:szCs w:val="18"/>
                <w:lang w:eastAsia="en-GB"/>
              </w:rPr>
            </w:pPr>
            <w:r w:rsidRPr="007D36A1">
              <w:rPr>
                <w:color w:val="231F20"/>
                <w:sz w:val="18"/>
                <w:szCs w:val="18"/>
                <w:lang w:eastAsia="en-GB"/>
              </w:rPr>
              <w:t>3 × 10</w:t>
            </w:r>
            <w:r w:rsidRPr="009D1347">
              <w:rPr>
                <w:color w:val="231F20"/>
                <w:sz w:val="18"/>
                <w:vertAlign w:val="superscript"/>
                <w:lang w:eastAsia="en-GB"/>
              </w:rPr>
              <w:t>1</w:t>
            </w:r>
          </w:p>
        </w:tc>
        <w:tc>
          <w:tcPr>
            <w:tcW w:w="992" w:type="dxa"/>
            <w:shd w:val="clear" w:color="auto" w:fill="auto"/>
          </w:tcPr>
          <w:p w:rsidR="00124E6E" w:rsidRPr="007D36A1" w:rsidRDefault="00124E6E" w:rsidP="00124E6E">
            <w:pPr>
              <w:ind w:left="57" w:right="57"/>
              <w:rPr>
                <w:color w:val="231F20"/>
                <w:sz w:val="18"/>
                <w:szCs w:val="18"/>
                <w:lang w:eastAsia="en-GB"/>
              </w:rPr>
            </w:pPr>
            <w:r w:rsidRPr="007D36A1">
              <w:rPr>
                <w:color w:val="231F20"/>
                <w:sz w:val="18"/>
                <w:szCs w:val="18"/>
                <w:lang w:eastAsia="en-GB"/>
              </w:rPr>
              <w:t>7 × 10</w:t>
            </w:r>
            <w:r w:rsidRPr="007D36A1">
              <w:rPr>
                <w:color w:val="231F20"/>
                <w:sz w:val="18"/>
                <w:szCs w:val="18"/>
                <w:vertAlign w:val="superscript"/>
                <w:lang w:eastAsia="en-GB"/>
              </w:rPr>
              <w:t>-1</w:t>
            </w:r>
          </w:p>
        </w:tc>
        <w:tc>
          <w:tcPr>
            <w:tcW w:w="992" w:type="dxa"/>
            <w:shd w:val="clear" w:color="auto" w:fill="auto"/>
          </w:tcPr>
          <w:p w:rsidR="00124E6E" w:rsidRPr="007D36A1" w:rsidRDefault="00124E6E" w:rsidP="00124E6E">
            <w:pPr>
              <w:ind w:left="57" w:right="57"/>
              <w:jc w:val="both"/>
              <w:rPr>
                <w:color w:val="231F20"/>
                <w:sz w:val="18"/>
                <w:szCs w:val="18"/>
                <w:lang w:eastAsia="en-GB"/>
              </w:rPr>
            </w:pPr>
            <w:r w:rsidRPr="007D36A1">
              <w:rPr>
                <w:color w:val="231F20"/>
                <w:sz w:val="18"/>
                <w:szCs w:val="18"/>
                <w:lang w:eastAsia="en-GB"/>
              </w:rPr>
              <w:t>1 × 10</w:t>
            </w:r>
            <w:r w:rsidRPr="009D1347">
              <w:rPr>
                <w:color w:val="231F20"/>
                <w:sz w:val="18"/>
                <w:vertAlign w:val="superscript"/>
                <w:lang w:eastAsia="en-GB"/>
              </w:rPr>
              <w:t>3</w:t>
            </w:r>
          </w:p>
        </w:tc>
        <w:tc>
          <w:tcPr>
            <w:tcW w:w="992" w:type="dxa"/>
            <w:shd w:val="clear" w:color="auto" w:fill="auto"/>
          </w:tcPr>
          <w:p w:rsidR="00124E6E" w:rsidRPr="007D36A1" w:rsidRDefault="00124E6E" w:rsidP="00124E6E">
            <w:pPr>
              <w:ind w:left="57" w:right="57" w:firstLine="205"/>
              <w:rPr>
                <w:color w:val="231F20"/>
                <w:sz w:val="18"/>
                <w:szCs w:val="18"/>
                <w:lang w:eastAsia="en-GB"/>
              </w:rPr>
            </w:pPr>
            <w:r w:rsidRPr="007D36A1">
              <w:rPr>
                <w:color w:val="231F20"/>
                <w:sz w:val="18"/>
                <w:szCs w:val="18"/>
                <w:lang w:eastAsia="en-GB"/>
              </w:rPr>
              <w:t>1 × 10</w:t>
            </w:r>
            <w:r w:rsidRPr="009D1347">
              <w:rPr>
                <w:color w:val="231F20"/>
                <w:sz w:val="18"/>
                <w:vertAlign w:val="superscript"/>
                <w:lang w:eastAsia="en-GB"/>
              </w:rPr>
              <w:t>6</w:t>
            </w:r>
          </w:p>
        </w:tc>
      </w:tr>
    </w:tbl>
    <w:p w:rsidR="00B926A4" w:rsidRDefault="00124E6E" w:rsidP="00B926A4">
      <w:pPr>
        <w:pStyle w:val="SingleTxtG"/>
        <w:tabs>
          <w:tab w:val="left" w:pos="2268"/>
        </w:tabs>
        <w:spacing w:before="120"/>
        <w:ind w:left="2257" w:hanging="1123"/>
        <w:rPr>
          <w:lang w:eastAsia="en-GB"/>
        </w:rPr>
      </w:pPr>
      <w:r w:rsidRPr="00640C9E">
        <w:rPr>
          <w:szCs w:val="24"/>
          <w:lang w:val="fr-FR"/>
        </w:rPr>
        <w:t xml:space="preserve">Tableau </w:t>
      </w:r>
      <w:r>
        <w:rPr>
          <w:lang w:eastAsia="en-GB"/>
        </w:rPr>
        <w:t>2.2.7.2.2.1</w:t>
      </w:r>
    </w:p>
    <w:p w:rsidR="00124E6E" w:rsidRPr="00640C9E" w:rsidRDefault="00124E6E" w:rsidP="00A23C89">
      <w:pPr>
        <w:pStyle w:val="SingleTxtG"/>
        <w:tabs>
          <w:tab w:val="left" w:pos="2268"/>
        </w:tabs>
        <w:ind w:left="2259" w:hanging="1125"/>
        <w:rPr>
          <w:szCs w:val="24"/>
        </w:rPr>
      </w:pPr>
      <w:r>
        <w:rPr>
          <w:lang w:eastAsia="en-GB"/>
        </w:rPr>
        <w:tab/>
      </w:r>
      <w:r w:rsidRPr="00640C9E">
        <w:rPr>
          <w:szCs w:val="24"/>
          <w:lang w:val="fr-FR"/>
        </w:rPr>
        <w:t xml:space="preserve">Dans </w:t>
      </w:r>
      <w:r>
        <w:rPr>
          <w:szCs w:val="24"/>
          <w:lang w:val="fr-FR"/>
        </w:rPr>
        <w:t xml:space="preserve">la note </w:t>
      </w:r>
      <w:r w:rsidRPr="00640C9E">
        <w:rPr>
          <w:szCs w:val="24"/>
          <w:lang w:val="fr-FR"/>
        </w:rPr>
        <w:t>b) du tableau, ajouter, à la fin de la phrase d</w:t>
      </w:r>
      <w:r>
        <w:rPr>
          <w:szCs w:val="24"/>
          <w:lang w:val="fr-FR"/>
        </w:rPr>
        <w:t>’</w:t>
      </w:r>
      <w:r w:rsidRPr="00640C9E">
        <w:rPr>
          <w:szCs w:val="24"/>
          <w:lang w:val="fr-FR"/>
        </w:rPr>
        <w:t xml:space="preserve">introduction </w:t>
      </w:r>
      <w:r>
        <w:rPr>
          <w:szCs w:val="24"/>
          <w:lang w:val="fr-FR"/>
        </w:rPr>
        <w:t>« </w:t>
      </w:r>
      <w:bookmarkStart w:id="35" w:name="_Hlk2256472"/>
      <w:r w:rsidRPr="00640C9E">
        <w:rPr>
          <w:szCs w:val="24"/>
          <w:lang w:val="fr-FR"/>
        </w:rPr>
        <w:t>(l</w:t>
      </w:r>
      <w:r>
        <w:rPr>
          <w:szCs w:val="24"/>
          <w:lang w:val="fr-FR"/>
        </w:rPr>
        <w:t>’</w:t>
      </w:r>
      <w:r w:rsidRPr="00640C9E">
        <w:rPr>
          <w:szCs w:val="24"/>
          <w:lang w:val="fr-FR"/>
        </w:rPr>
        <w:t xml:space="preserve">activité à prendre en considération est celle du </w:t>
      </w:r>
      <w:r>
        <w:rPr>
          <w:szCs w:val="24"/>
          <w:lang w:val="fr-FR"/>
        </w:rPr>
        <w:t>nucléide parent</w:t>
      </w:r>
      <w:r w:rsidRPr="00640C9E">
        <w:rPr>
          <w:szCs w:val="24"/>
          <w:lang w:val="fr-FR"/>
        </w:rPr>
        <w:t xml:space="preserve"> uniquement)</w:t>
      </w:r>
      <w:bookmarkEnd w:id="35"/>
      <w:r>
        <w:rPr>
          <w:szCs w:val="24"/>
          <w:lang w:val="fr-FR"/>
        </w:rPr>
        <w:t> »</w:t>
      </w:r>
      <w:r w:rsidRPr="00640C9E">
        <w:rPr>
          <w:szCs w:val="24"/>
          <w:lang w:val="fr-FR"/>
        </w:rPr>
        <w:t xml:space="preserve">. Après </w:t>
      </w:r>
      <w:r>
        <w:rPr>
          <w:szCs w:val="24"/>
          <w:lang w:val="fr-FR"/>
        </w:rPr>
        <w:t>« </w:t>
      </w:r>
      <w:r w:rsidRPr="00640C9E">
        <w:rPr>
          <w:szCs w:val="24"/>
          <w:lang w:val="fr-FR"/>
        </w:rPr>
        <w:t>Th-</w:t>
      </w:r>
      <w:proofErr w:type="spellStart"/>
      <w:r w:rsidRPr="00640C9E">
        <w:rPr>
          <w:szCs w:val="24"/>
          <w:lang w:val="fr-FR"/>
        </w:rPr>
        <w:t>nat</w:t>
      </w:r>
      <w:proofErr w:type="spellEnd"/>
      <w:r>
        <w:rPr>
          <w:szCs w:val="24"/>
          <w:lang w:val="fr-FR"/>
        </w:rPr>
        <w:t> »</w:t>
      </w:r>
      <w:r w:rsidRPr="00640C9E">
        <w:rPr>
          <w:szCs w:val="24"/>
          <w:lang w:val="fr-FR"/>
        </w:rPr>
        <w:t xml:space="preserve"> et </w:t>
      </w:r>
      <w:r>
        <w:rPr>
          <w:szCs w:val="24"/>
          <w:lang w:val="fr-FR"/>
        </w:rPr>
        <w:t>« </w:t>
      </w:r>
      <w:r w:rsidRPr="00640C9E">
        <w:rPr>
          <w:szCs w:val="24"/>
          <w:lang w:val="fr-FR"/>
        </w:rPr>
        <w:t>U-</w:t>
      </w:r>
      <w:proofErr w:type="spellStart"/>
      <w:r w:rsidRPr="00640C9E">
        <w:rPr>
          <w:szCs w:val="24"/>
          <w:lang w:val="fr-FR"/>
        </w:rPr>
        <w:t>nat</w:t>
      </w:r>
      <w:proofErr w:type="spellEnd"/>
      <w:r>
        <w:rPr>
          <w:szCs w:val="24"/>
          <w:lang w:val="fr-FR"/>
        </w:rPr>
        <w:t> »</w:t>
      </w:r>
      <w:r w:rsidRPr="00640C9E">
        <w:rPr>
          <w:szCs w:val="24"/>
          <w:lang w:val="fr-FR"/>
        </w:rPr>
        <w:t>, insérer un appel de note de bas de page</w:t>
      </w:r>
      <w:r>
        <w:rPr>
          <w:szCs w:val="24"/>
          <w:lang w:val="fr-FR"/>
        </w:rPr>
        <w:t>. La note de bas de page</w:t>
      </w:r>
      <w:r w:rsidRPr="00640C9E">
        <w:rPr>
          <w:szCs w:val="24"/>
          <w:lang w:val="fr-FR"/>
        </w:rPr>
        <w:t xml:space="preserve"> se lit comme suit</w:t>
      </w:r>
      <w:r>
        <w:rPr>
          <w:szCs w:val="24"/>
          <w:lang w:val="fr-FR"/>
        </w:rPr>
        <w:t> :</w:t>
      </w:r>
      <w:r w:rsidRPr="00640C9E">
        <w:rPr>
          <w:szCs w:val="24"/>
          <w:lang w:val="fr-FR"/>
        </w:rPr>
        <w:t xml:space="preserve"> </w:t>
      </w:r>
      <w:r>
        <w:rPr>
          <w:szCs w:val="24"/>
          <w:lang w:val="fr-FR"/>
        </w:rPr>
        <w:t>« </w:t>
      </w:r>
      <w:bookmarkStart w:id="36" w:name="_Hlk2256668"/>
      <w:r w:rsidRPr="00640C9E">
        <w:rPr>
          <w:szCs w:val="24"/>
          <w:lang w:val="fr-FR"/>
        </w:rPr>
        <w:t xml:space="preserve">Dans le cas du </w:t>
      </w:r>
      <w:r>
        <w:rPr>
          <w:szCs w:val="24"/>
          <w:lang w:val="fr-FR"/>
        </w:rPr>
        <w:t xml:space="preserve">thorium </w:t>
      </w:r>
      <w:r w:rsidRPr="00640C9E">
        <w:rPr>
          <w:szCs w:val="24"/>
          <w:lang w:val="fr-FR"/>
        </w:rPr>
        <w:t xml:space="preserve">naturel, le </w:t>
      </w:r>
      <w:r>
        <w:rPr>
          <w:szCs w:val="24"/>
          <w:lang w:val="fr-FR"/>
        </w:rPr>
        <w:t>nucléide parent</w:t>
      </w:r>
      <w:r w:rsidRPr="00640C9E">
        <w:rPr>
          <w:szCs w:val="24"/>
          <w:lang w:val="fr-FR"/>
        </w:rPr>
        <w:t xml:space="preserve"> est Th-232</w:t>
      </w:r>
      <w:r>
        <w:rPr>
          <w:szCs w:val="24"/>
          <w:lang w:val="fr-FR"/>
        </w:rPr>
        <w:t> ;</w:t>
      </w:r>
      <w:r w:rsidRPr="00640C9E">
        <w:rPr>
          <w:szCs w:val="24"/>
          <w:lang w:val="fr-FR"/>
        </w:rPr>
        <w:t xml:space="preserve"> dans le cas de l</w:t>
      </w:r>
      <w:r>
        <w:rPr>
          <w:szCs w:val="24"/>
          <w:lang w:val="fr-FR"/>
        </w:rPr>
        <w:t xml:space="preserve">’uranium </w:t>
      </w:r>
      <w:r w:rsidRPr="00640C9E">
        <w:rPr>
          <w:szCs w:val="24"/>
          <w:lang w:val="fr-FR"/>
        </w:rPr>
        <w:t xml:space="preserve">naturel, le </w:t>
      </w:r>
      <w:r>
        <w:rPr>
          <w:szCs w:val="24"/>
          <w:lang w:val="fr-FR"/>
        </w:rPr>
        <w:t>nucléide parent</w:t>
      </w:r>
      <w:r w:rsidRPr="00640C9E">
        <w:rPr>
          <w:szCs w:val="24"/>
          <w:lang w:val="fr-FR"/>
        </w:rPr>
        <w:t xml:space="preserve"> est U-238.</w:t>
      </w:r>
      <w:r>
        <w:rPr>
          <w:szCs w:val="24"/>
          <w:lang w:val="fr-FR"/>
        </w:rPr>
        <w:t> </w:t>
      </w:r>
      <w:bookmarkEnd w:id="36"/>
      <w:r>
        <w:rPr>
          <w:szCs w:val="24"/>
          <w:lang w:val="fr-FR"/>
        </w:rPr>
        <w:t>»</w:t>
      </w:r>
      <w:r w:rsidRPr="00640C9E">
        <w:rPr>
          <w:szCs w:val="24"/>
          <w:lang w:val="fr-FR"/>
        </w:rPr>
        <w:t>.</w:t>
      </w:r>
    </w:p>
    <w:p w:rsidR="00B926A4" w:rsidRDefault="00124E6E" w:rsidP="00A23C89">
      <w:pPr>
        <w:pStyle w:val="SingleTxtG"/>
        <w:tabs>
          <w:tab w:val="left" w:pos="2268"/>
        </w:tabs>
        <w:ind w:left="2259" w:hanging="1125"/>
        <w:rPr>
          <w:lang w:eastAsia="en-GB"/>
        </w:rPr>
      </w:pPr>
      <w:r w:rsidRPr="00640C9E">
        <w:rPr>
          <w:szCs w:val="24"/>
          <w:lang w:val="fr-FR"/>
        </w:rPr>
        <w:t xml:space="preserve">Tableau </w:t>
      </w:r>
      <w:r>
        <w:rPr>
          <w:lang w:eastAsia="en-GB"/>
        </w:rPr>
        <w:t>2.2.7.2.2.1</w:t>
      </w:r>
    </w:p>
    <w:p w:rsidR="00124E6E" w:rsidRDefault="00124E6E" w:rsidP="00A23C89">
      <w:pPr>
        <w:pStyle w:val="SingleTxtG"/>
        <w:tabs>
          <w:tab w:val="left" w:pos="2268"/>
        </w:tabs>
        <w:ind w:left="2259" w:hanging="1125"/>
        <w:rPr>
          <w:szCs w:val="24"/>
          <w:lang w:val="fr-FR"/>
        </w:rPr>
      </w:pPr>
      <w:r>
        <w:rPr>
          <w:lang w:eastAsia="en-GB"/>
        </w:rPr>
        <w:tab/>
        <w:t xml:space="preserve">Dans la note de bas de tableau c), remplacer </w:t>
      </w:r>
      <w:r>
        <w:rPr>
          <w:szCs w:val="24"/>
          <w:lang w:val="fr-FR"/>
        </w:rPr>
        <w:t>« de 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xml:space="preserve">« du </w:t>
      </w:r>
      <w:r w:rsidRPr="00640C9E">
        <w:rPr>
          <w:szCs w:val="24"/>
          <w:lang w:val="fr-FR"/>
        </w:rPr>
        <w:t>débit de dose</w:t>
      </w:r>
      <w:r>
        <w:rPr>
          <w:szCs w:val="24"/>
          <w:lang w:val="fr-FR"/>
        </w:rPr>
        <w:t> »</w:t>
      </w:r>
      <w:r w:rsidRPr="00640C9E">
        <w:rPr>
          <w:szCs w:val="24"/>
          <w:lang w:val="fr-FR"/>
        </w:rPr>
        <w:t>.</w:t>
      </w:r>
    </w:p>
    <w:p w:rsidR="00124E6E" w:rsidRPr="00640C9E" w:rsidRDefault="00124E6E" w:rsidP="00A23C89">
      <w:pPr>
        <w:pStyle w:val="SingleTxtG"/>
        <w:tabs>
          <w:tab w:val="left" w:pos="2268"/>
        </w:tabs>
        <w:ind w:left="2259" w:hanging="1125"/>
        <w:rPr>
          <w:szCs w:val="24"/>
        </w:rPr>
      </w:pPr>
      <w:r>
        <w:rPr>
          <w:szCs w:val="24"/>
          <w:lang w:val="fr-FR"/>
        </w:rPr>
        <w:t xml:space="preserve">2.2.7.2.2.2 </w:t>
      </w:r>
      <w:r>
        <w:rPr>
          <w:szCs w:val="24"/>
          <w:lang w:val="fr-FR"/>
        </w:rPr>
        <w:tab/>
        <w:t>À l’alinéa a), r</w:t>
      </w:r>
      <w:r w:rsidRPr="00640C9E">
        <w:rPr>
          <w:szCs w:val="24"/>
          <w:lang w:val="fr-FR"/>
        </w:rPr>
        <w:t xml:space="preserve">emplacer </w:t>
      </w:r>
      <w:r>
        <w:rPr>
          <w:szCs w:val="24"/>
          <w:lang w:val="fr-FR"/>
        </w:rPr>
        <w:t xml:space="preserve">« ‶les </w:t>
      </w:r>
      <w:r w:rsidRPr="00AB7C1B">
        <w:rPr>
          <w:iCs/>
          <w:szCs w:val="24"/>
          <w:lang w:val="fr-FR"/>
        </w:rPr>
        <w:t>Normes fondamentales internationales de protection contre les rayonnements ionisants et de sûreté des sources de rayonnements</w:t>
      </w:r>
      <w:r>
        <w:rPr>
          <w:i/>
          <w:iCs/>
          <w:szCs w:val="24"/>
          <w:lang w:val="fr-FR"/>
        </w:rPr>
        <w:t>″</w:t>
      </w:r>
      <w:r w:rsidRPr="00640C9E">
        <w:rPr>
          <w:i/>
          <w:iCs/>
          <w:szCs w:val="24"/>
          <w:lang w:val="fr-FR"/>
        </w:rPr>
        <w:t xml:space="preserve">, </w:t>
      </w:r>
      <w:r>
        <w:rPr>
          <w:szCs w:val="24"/>
          <w:lang w:val="fr-FR"/>
        </w:rPr>
        <w:t>C</w:t>
      </w:r>
      <w:r w:rsidRPr="00640C9E">
        <w:rPr>
          <w:szCs w:val="24"/>
          <w:lang w:val="fr-FR"/>
        </w:rPr>
        <w:t>ollection Sécurité, n</w:t>
      </w:r>
      <w:r w:rsidRPr="00146890">
        <w:rPr>
          <w:szCs w:val="24"/>
          <w:vertAlign w:val="superscript"/>
          <w:lang w:val="fr-FR"/>
        </w:rPr>
        <w:t>o</w:t>
      </w:r>
      <w:r>
        <w:rPr>
          <w:szCs w:val="24"/>
          <w:lang w:val="fr-FR"/>
        </w:rPr>
        <w:t> </w:t>
      </w:r>
      <w:r w:rsidRPr="00146890">
        <w:rPr>
          <w:szCs w:val="24"/>
          <w:lang w:val="fr-FR"/>
        </w:rPr>
        <w:t>1</w:t>
      </w:r>
      <w:r w:rsidRPr="00640C9E">
        <w:rPr>
          <w:szCs w:val="24"/>
          <w:lang w:val="fr-FR"/>
        </w:rPr>
        <w:t>15, AIEA, Vienne (1996)</w:t>
      </w:r>
      <w:r>
        <w:rPr>
          <w:szCs w:val="24"/>
          <w:lang w:val="fr-FR"/>
        </w:rPr>
        <w:t> »</w:t>
      </w:r>
      <w:r w:rsidRPr="00640C9E">
        <w:rPr>
          <w:szCs w:val="24"/>
          <w:lang w:val="fr-FR"/>
        </w:rPr>
        <w:t xml:space="preserve"> par </w:t>
      </w:r>
      <w:r>
        <w:rPr>
          <w:szCs w:val="24"/>
          <w:lang w:val="fr-FR"/>
        </w:rPr>
        <w:t>« </w:t>
      </w:r>
      <w:bookmarkStart w:id="37" w:name="_Hlk2246306"/>
      <w:r>
        <w:rPr>
          <w:szCs w:val="24"/>
          <w:lang w:val="fr-FR"/>
        </w:rPr>
        <w:t>‶</w:t>
      </w:r>
      <w:r w:rsidRPr="002C586B">
        <w:rPr>
          <w:i/>
          <w:szCs w:val="24"/>
          <w:lang w:val="fr-FR"/>
        </w:rPr>
        <w:t>R</w:t>
      </w:r>
      <w:r w:rsidRPr="00B50E93">
        <w:rPr>
          <w:i/>
          <w:iCs/>
          <w:szCs w:val="24"/>
          <w:lang w:val="fr-FR"/>
        </w:rPr>
        <w:t>a</w:t>
      </w:r>
      <w:r w:rsidRPr="00640C9E">
        <w:rPr>
          <w:i/>
          <w:iCs/>
          <w:szCs w:val="24"/>
          <w:lang w:val="fr-FR"/>
        </w:rPr>
        <w:t>dioprotection et sûreté des sources de rayonnements</w:t>
      </w:r>
      <w:r>
        <w:rPr>
          <w:i/>
          <w:iCs/>
          <w:szCs w:val="24"/>
          <w:lang w:val="fr-FR"/>
        </w:rPr>
        <w:t> :</w:t>
      </w:r>
      <w:r w:rsidRPr="00640C9E">
        <w:rPr>
          <w:i/>
          <w:iCs/>
          <w:szCs w:val="24"/>
          <w:lang w:val="fr-FR"/>
        </w:rPr>
        <w:t xml:space="preserve"> normes fondamentales internationales de sûreté</w:t>
      </w:r>
      <w:r>
        <w:rPr>
          <w:i/>
          <w:iCs/>
          <w:szCs w:val="24"/>
          <w:lang w:val="fr-FR"/>
        </w:rPr>
        <w:t>″</w:t>
      </w:r>
      <w:r w:rsidRPr="002C586B">
        <w:rPr>
          <w:iCs/>
          <w:szCs w:val="24"/>
          <w:lang w:val="fr-FR"/>
        </w:rPr>
        <w:t>,</w:t>
      </w:r>
      <w:r w:rsidRPr="00640C9E">
        <w:rPr>
          <w:i/>
          <w:iCs/>
          <w:szCs w:val="24"/>
          <w:lang w:val="fr-FR"/>
        </w:rPr>
        <w:t xml:space="preserve"> </w:t>
      </w:r>
      <w:r w:rsidRPr="00640C9E">
        <w:rPr>
          <w:szCs w:val="24"/>
          <w:lang w:val="fr-FR"/>
        </w:rPr>
        <w:t>collection Normes de sûreté de l</w:t>
      </w:r>
      <w:r>
        <w:rPr>
          <w:szCs w:val="24"/>
          <w:lang w:val="fr-FR"/>
        </w:rPr>
        <w:t>’</w:t>
      </w:r>
      <w:r w:rsidRPr="00640C9E">
        <w:rPr>
          <w:szCs w:val="24"/>
          <w:lang w:val="fr-FR"/>
        </w:rPr>
        <w:t xml:space="preserve">AIEA, </w:t>
      </w:r>
      <w:r w:rsidRPr="002C586B">
        <w:rPr>
          <w:rFonts w:eastAsia="MS Mincho"/>
          <w:szCs w:val="22"/>
          <w:lang w:val="fr-FR"/>
        </w:rPr>
        <w:t>n</w:t>
      </w:r>
      <w:r w:rsidRPr="002C586B">
        <w:rPr>
          <w:rFonts w:eastAsia="MS Mincho"/>
          <w:szCs w:val="22"/>
          <w:vertAlign w:val="superscript"/>
          <w:lang w:val="fr-FR"/>
        </w:rPr>
        <w:t>o</w:t>
      </w:r>
      <w:r>
        <w:rPr>
          <w:szCs w:val="24"/>
          <w:lang w:val="fr-FR"/>
        </w:rPr>
        <w:t> </w:t>
      </w:r>
      <w:r w:rsidRPr="00146890">
        <w:rPr>
          <w:szCs w:val="24"/>
          <w:lang w:val="fr-FR"/>
        </w:rPr>
        <w:t>G</w:t>
      </w:r>
      <w:r w:rsidRPr="00640C9E">
        <w:rPr>
          <w:szCs w:val="24"/>
          <w:lang w:val="fr-FR"/>
        </w:rPr>
        <w:t>SR Part</w:t>
      </w:r>
      <w:r>
        <w:rPr>
          <w:szCs w:val="24"/>
          <w:lang w:val="fr-FR"/>
        </w:rPr>
        <w:t>ie</w:t>
      </w:r>
      <w:r w:rsidRPr="00640C9E">
        <w:rPr>
          <w:szCs w:val="24"/>
          <w:lang w:val="fr-FR"/>
        </w:rPr>
        <w:t> 3, AIEA, Vienne (2014)</w:t>
      </w:r>
      <w:bookmarkEnd w:id="37"/>
      <w:r>
        <w:rPr>
          <w:szCs w:val="24"/>
          <w:lang w:val="fr-FR"/>
        </w:rPr>
        <w:t> »</w:t>
      </w:r>
      <w:r w:rsidRPr="00640C9E">
        <w:rPr>
          <w:szCs w:val="24"/>
          <w:lang w:val="fr-FR"/>
        </w:rPr>
        <w:t>.</w:t>
      </w:r>
    </w:p>
    <w:p w:rsidR="00124E6E" w:rsidRPr="00640C9E" w:rsidRDefault="00B926A4" w:rsidP="00A23C89">
      <w:pPr>
        <w:pStyle w:val="SingleTxtG"/>
        <w:tabs>
          <w:tab w:val="left" w:pos="2268"/>
        </w:tabs>
        <w:ind w:left="2259" w:hanging="1125"/>
        <w:rPr>
          <w:szCs w:val="24"/>
        </w:rPr>
      </w:pPr>
      <w:r>
        <w:rPr>
          <w:szCs w:val="24"/>
          <w:lang w:val="fr-FR"/>
        </w:rPr>
        <w:tab/>
      </w:r>
      <w:r w:rsidR="00124E6E">
        <w:rPr>
          <w:szCs w:val="24"/>
          <w:lang w:val="fr-FR"/>
        </w:rPr>
        <w:t>À</w:t>
      </w:r>
      <w:r w:rsidR="00124E6E" w:rsidRPr="00640C9E">
        <w:rPr>
          <w:szCs w:val="24"/>
          <w:lang w:val="fr-FR"/>
        </w:rPr>
        <w:t xml:space="preserve"> la fin de l</w:t>
      </w:r>
      <w:r w:rsidR="00124E6E">
        <w:rPr>
          <w:szCs w:val="24"/>
          <w:lang w:val="fr-FR"/>
        </w:rPr>
        <w:t>’</w:t>
      </w:r>
      <w:r w:rsidR="00124E6E" w:rsidRPr="00640C9E">
        <w:rPr>
          <w:szCs w:val="24"/>
          <w:lang w:val="fr-FR"/>
        </w:rPr>
        <w:t xml:space="preserve">alinéa b), remplacer </w:t>
      </w:r>
      <w:r w:rsidR="00124E6E">
        <w:rPr>
          <w:iCs/>
          <w:szCs w:val="24"/>
          <w:lang w:val="fr-FR"/>
        </w:rPr>
        <w:t>« </w:t>
      </w:r>
      <w:r w:rsidR="00124E6E" w:rsidRPr="00AB7C1B">
        <w:rPr>
          <w:szCs w:val="24"/>
          <w:lang w:val="fr-FR"/>
        </w:rPr>
        <w:t>Normes fondamentales internationales de protection contre les rayonnements ionisants et de sûreté des sources de rayonnement</w:t>
      </w:r>
      <w:r w:rsidR="00124E6E" w:rsidRPr="009F0478">
        <w:rPr>
          <w:szCs w:val="24"/>
          <w:lang w:val="fr-FR"/>
        </w:rPr>
        <w:t>s</w:t>
      </w:r>
      <w:r w:rsidR="00124E6E" w:rsidRPr="00640C9E">
        <w:rPr>
          <w:szCs w:val="24"/>
          <w:lang w:val="fr-FR"/>
        </w:rPr>
        <w:t xml:space="preserve">, </w:t>
      </w:r>
      <w:r w:rsidR="00124E6E">
        <w:rPr>
          <w:szCs w:val="24"/>
          <w:lang w:val="fr-FR"/>
        </w:rPr>
        <w:t>C</w:t>
      </w:r>
      <w:r w:rsidR="00124E6E" w:rsidRPr="00640C9E">
        <w:rPr>
          <w:szCs w:val="24"/>
          <w:lang w:val="fr-FR"/>
        </w:rPr>
        <w:t xml:space="preserve">ollection Sécurité, </w:t>
      </w:r>
      <w:r w:rsidR="00124E6E" w:rsidRPr="00D04B9F">
        <w:rPr>
          <w:szCs w:val="24"/>
          <w:lang w:val="fr-FR"/>
        </w:rPr>
        <w:t>n</w:t>
      </w:r>
      <w:r w:rsidR="00124E6E" w:rsidRPr="00D04B9F">
        <w:rPr>
          <w:szCs w:val="24"/>
          <w:vertAlign w:val="superscript"/>
          <w:lang w:val="fr-FR"/>
        </w:rPr>
        <w:t>o</w:t>
      </w:r>
      <w:r w:rsidR="00124E6E" w:rsidRPr="00640C9E">
        <w:rPr>
          <w:szCs w:val="24"/>
          <w:lang w:val="fr-FR"/>
        </w:rPr>
        <w:t> 115, AIEA, Vienne (1996)</w:t>
      </w:r>
      <w:r w:rsidR="00124E6E">
        <w:rPr>
          <w:szCs w:val="24"/>
          <w:lang w:val="fr-FR"/>
        </w:rPr>
        <w:t> »</w:t>
      </w:r>
      <w:r w:rsidR="00124E6E" w:rsidRPr="00640C9E">
        <w:rPr>
          <w:szCs w:val="24"/>
          <w:lang w:val="fr-FR"/>
        </w:rPr>
        <w:t xml:space="preserve"> par </w:t>
      </w:r>
      <w:r w:rsidR="00124E6E">
        <w:rPr>
          <w:szCs w:val="24"/>
          <w:lang w:val="fr-FR"/>
        </w:rPr>
        <w:t>« </w:t>
      </w:r>
      <w:bookmarkStart w:id="38" w:name="_Hlk2246516"/>
      <w:r w:rsidR="00124E6E" w:rsidRPr="00640C9E">
        <w:rPr>
          <w:szCs w:val="24"/>
          <w:lang w:val="fr-FR"/>
        </w:rPr>
        <w:t>GSR Part</w:t>
      </w:r>
      <w:r w:rsidR="00124E6E">
        <w:rPr>
          <w:szCs w:val="24"/>
          <w:lang w:val="fr-FR"/>
        </w:rPr>
        <w:t>ie</w:t>
      </w:r>
      <w:r w:rsidR="00124E6E" w:rsidRPr="00640C9E">
        <w:rPr>
          <w:szCs w:val="24"/>
          <w:lang w:val="fr-FR"/>
        </w:rPr>
        <w:t> 3</w:t>
      </w:r>
      <w:r w:rsidR="00124E6E">
        <w:rPr>
          <w:szCs w:val="24"/>
          <w:lang w:val="fr-FR"/>
        </w:rPr>
        <w:t> </w:t>
      </w:r>
      <w:bookmarkEnd w:id="38"/>
      <w:r w:rsidR="00124E6E">
        <w:rPr>
          <w:szCs w:val="24"/>
          <w:lang w:val="fr-FR"/>
        </w:rPr>
        <w:t>»</w:t>
      </w:r>
    </w:p>
    <w:p w:rsidR="00124E6E" w:rsidRPr="00640C9E" w:rsidRDefault="00124E6E" w:rsidP="00A23C89">
      <w:pPr>
        <w:pStyle w:val="SingleTxtG"/>
        <w:tabs>
          <w:tab w:val="left" w:pos="2268"/>
        </w:tabs>
        <w:ind w:left="2259" w:hanging="1125"/>
        <w:rPr>
          <w:szCs w:val="24"/>
        </w:rPr>
      </w:pPr>
      <w:r>
        <w:rPr>
          <w:szCs w:val="24"/>
          <w:lang w:val="fr-FR"/>
        </w:rPr>
        <w:t>2.2.7.2.2.3</w:t>
      </w:r>
      <w:r w:rsidRPr="00640C9E">
        <w:rPr>
          <w:szCs w:val="24"/>
          <w:lang w:val="fr-FR"/>
        </w:rPr>
        <w:tab/>
      </w:r>
      <w:r>
        <w:rPr>
          <w:szCs w:val="24"/>
          <w:lang w:val="fr-FR"/>
        </w:rPr>
        <w:t>L’amendement à la version anglaise est sans objet en français.</w:t>
      </w:r>
    </w:p>
    <w:p w:rsidR="00B926A4" w:rsidRDefault="00124E6E" w:rsidP="00A23C89">
      <w:pPr>
        <w:pStyle w:val="SingleTxtG"/>
        <w:tabs>
          <w:tab w:val="left" w:pos="2268"/>
        </w:tabs>
        <w:ind w:left="2259" w:hanging="1125"/>
        <w:rPr>
          <w:szCs w:val="24"/>
          <w:lang w:val="fr-FR"/>
        </w:rPr>
      </w:pPr>
      <w:r>
        <w:rPr>
          <w:lang w:eastAsia="en-GB"/>
        </w:rPr>
        <w:t>2.2.7.2.3.1.2</w:t>
      </w:r>
      <w:r>
        <w:rPr>
          <w:szCs w:val="24"/>
          <w:lang w:val="fr-FR"/>
        </w:rPr>
        <w:t xml:space="preserve"> </w:t>
      </w:r>
      <w:r w:rsidRPr="00640C9E">
        <w:rPr>
          <w:szCs w:val="24"/>
          <w:lang w:val="fr-FR"/>
        </w:rPr>
        <w:t>c)</w:t>
      </w:r>
    </w:p>
    <w:p w:rsidR="00124E6E" w:rsidRDefault="00124E6E" w:rsidP="00A23C89">
      <w:pPr>
        <w:pStyle w:val="SingleTxtG"/>
        <w:tabs>
          <w:tab w:val="left" w:pos="2268"/>
        </w:tabs>
        <w:ind w:left="2259" w:hanging="1125"/>
        <w:rPr>
          <w:szCs w:val="24"/>
          <w:lang w:val="fr-FR"/>
        </w:rPr>
      </w:pPr>
      <w:r>
        <w:rPr>
          <w:szCs w:val="24"/>
          <w:lang w:val="fr-FR"/>
        </w:rPr>
        <w:tab/>
        <w:t>S</w:t>
      </w:r>
      <w:r w:rsidRPr="00640C9E">
        <w:rPr>
          <w:szCs w:val="24"/>
          <w:lang w:val="fr-FR"/>
        </w:rPr>
        <w:t xml:space="preserve">upprimer </w:t>
      </w:r>
      <w:r>
        <w:rPr>
          <w:szCs w:val="24"/>
          <w:lang w:val="fr-FR"/>
        </w:rPr>
        <w:t>« </w:t>
      </w:r>
      <w:r w:rsidRPr="00640C9E">
        <w:rPr>
          <w:szCs w:val="24"/>
          <w:lang w:val="fr-FR"/>
        </w:rPr>
        <w:t xml:space="preserve">satisfaisant aux prescriptions du </w:t>
      </w:r>
      <w:r>
        <w:rPr>
          <w:szCs w:val="24"/>
          <w:lang w:val="fr-FR"/>
        </w:rPr>
        <w:t>2.2.7.2.3.1.3</w:t>
      </w:r>
      <w:r w:rsidRPr="00640C9E">
        <w:rPr>
          <w:szCs w:val="24"/>
          <w:lang w:val="fr-FR"/>
        </w:rPr>
        <w:t>,</w:t>
      </w:r>
      <w:r>
        <w:rPr>
          <w:szCs w:val="24"/>
          <w:lang w:val="fr-FR"/>
        </w:rPr>
        <w:t> »</w:t>
      </w:r>
      <w:r w:rsidRPr="00640C9E">
        <w:rPr>
          <w:szCs w:val="24"/>
          <w:lang w:val="fr-FR"/>
        </w:rPr>
        <w:t>. Supprimer le point i</w:t>
      </w:r>
      <w:r>
        <w:rPr>
          <w:szCs w:val="24"/>
          <w:lang w:val="fr-FR"/>
        </w:rPr>
        <w:t>i</w:t>
      </w:r>
      <w:r w:rsidRPr="00640C9E">
        <w:rPr>
          <w:szCs w:val="24"/>
          <w:lang w:val="fr-FR"/>
        </w:rPr>
        <w:t xml:space="preserve">) et </w:t>
      </w:r>
      <w:r>
        <w:rPr>
          <w:szCs w:val="24"/>
          <w:lang w:val="fr-FR"/>
        </w:rPr>
        <w:t>renuméroter (iii) en tant que (ii)</w:t>
      </w:r>
      <w:r w:rsidRPr="00640C9E">
        <w:rPr>
          <w:szCs w:val="24"/>
          <w:lang w:val="fr-FR"/>
        </w:rPr>
        <w:t xml:space="preserve">. </w:t>
      </w:r>
    </w:p>
    <w:p w:rsidR="00124E6E" w:rsidRDefault="00124E6E" w:rsidP="00A23C89">
      <w:pPr>
        <w:pStyle w:val="SingleTxtG"/>
        <w:tabs>
          <w:tab w:val="left" w:pos="2268"/>
        </w:tabs>
        <w:ind w:left="2259" w:hanging="1125"/>
        <w:rPr>
          <w:szCs w:val="24"/>
          <w:lang w:val="fr-FR"/>
        </w:rPr>
      </w:pPr>
      <w:r>
        <w:rPr>
          <w:szCs w:val="24"/>
          <w:lang w:val="fr-FR"/>
        </w:rPr>
        <w:t>2.2.7.2.3.1.3</w:t>
      </w:r>
      <w:r>
        <w:rPr>
          <w:szCs w:val="24"/>
          <w:lang w:val="fr-FR"/>
        </w:rPr>
        <w:tab/>
        <w:t>Supprimer et ajouter « 2.2.8.2.3.1.3</w:t>
      </w:r>
      <w:r w:rsidRPr="00640C9E">
        <w:rPr>
          <w:szCs w:val="24"/>
          <w:lang w:val="fr-FR"/>
        </w:rPr>
        <w:t xml:space="preserve"> </w:t>
      </w:r>
      <w:r w:rsidRPr="00640C9E">
        <w:rPr>
          <w:szCs w:val="24"/>
          <w:lang w:val="fr-FR"/>
        </w:rPr>
        <w:tab/>
      </w:r>
      <w:r>
        <w:rPr>
          <w:i/>
          <w:iCs/>
          <w:szCs w:val="24"/>
          <w:lang w:val="fr-FR"/>
        </w:rPr>
        <w:t>(</w:t>
      </w:r>
      <w:r w:rsidRPr="00640C9E">
        <w:rPr>
          <w:i/>
          <w:iCs/>
          <w:szCs w:val="24"/>
          <w:lang w:val="fr-FR"/>
        </w:rPr>
        <w:t>Supprimé</w:t>
      </w:r>
      <w:r>
        <w:rPr>
          <w:i/>
          <w:iCs/>
          <w:szCs w:val="24"/>
          <w:lang w:val="fr-FR"/>
        </w:rPr>
        <w:t>)</w:t>
      </w:r>
      <w:r>
        <w:rPr>
          <w:szCs w:val="24"/>
          <w:lang w:val="fr-FR"/>
        </w:rPr>
        <w:t> »</w:t>
      </w:r>
      <w:r w:rsidRPr="00640C9E">
        <w:rPr>
          <w:szCs w:val="24"/>
          <w:lang w:val="fr-FR"/>
        </w:rPr>
        <w:t>.</w:t>
      </w:r>
    </w:p>
    <w:p w:rsidR="00124E6E" w:rsidRPr="00640C9E" w:rsidRDefault="00124E6E" w:rsidP="00A23C89">
      <w:pPr>
        <w:pStyle w:val="SingleTxtG"/>
        <w:tabs>
          <w:tab w:val="left" w:pos="2268"/>
        </w:tabs>
        <w:ind w:left="2259" w:hanging="1125"/>
        <w:rPr>
          <w:szCs w:val="24"/>
        </w:rPr>
      </w:pPr>
      <w:r>
        <w:t>2.2.7.2.3.2</w:t>
      </w:r>
      <w:r w:rsidRPr="00640C9E">
        <w:rPr>
          <w:szCs w:val="24"/>
          <w:lang w:val="fr-FR"/>
        </w:rPr>
        <w:tab/>
        <w:t>Dans la phrase d</w:t>
      </w:r>
      <w:r>
        <w:rPr>
          <w:szCs w:val="24"/>
          <w:lang w:val="fr-FR"/>
        </w:rPr>
        <w:t>’</w:t>
      </w:r>
      <w:r w:rsidRPr="00640C9E">
        <w:rPr>
          <w:szCs w:val="24"/>
          <w:lang w:val="fr-FR"/>
        </w:rPr>
        <w:t>introduction précédant l</w:t>
      </w:r>
      <w:r>
        <w:rPr>
          <w:szCs w:val="24"/>
          <w:lang w:val="fr-FR"/>
        </w:rPr>
        <w:t>’</w:t>
      </w:r>
      <w:r w:rsidRPr="00640C9E">
        <w:rPr>
          <w:szCs w:val="24"/>
          <w:lang w:val="fr-FR"/>
        </w:rPr>
        <w:t xml:space="preserve">alinéa a), remplacer </w:t>
      </w:r>
      <w:r>
        <w:rPr>
          <w:szCs w:val="24"/>
          <w:lang w:val="fr-FR"/>
        </w:rPr>
        <w:t>« </w:t>
      </w:r>
      <w:r w:rsidRPr="00640C9E">
        <w:rPr>
          <w:szCs w:val="24"/>
          <w:lang w:val="fr-FR"/>
        </w:rPr>
        <w:t>deux</w:t>
      </w:r>
      <w:r>
        <w:rPr>
          <w:szCs w:val="24"/>
          <w:lang w:val="fr-FR"/>
        </w:rPr>
        <w:t> »</w:t>
      </w:r>
      <w:r w:rsidRPr="00640C9E">
        <w:rPr>
          <w:szCs w:val="24"/>
          <w:lang w:val="fr-FR"/>
        </w:rPr>
        <w:t xml:space="preserve"> par </w:t>
      </w:r>
      <w:r>
        <w:rPr>
          <w:szCs w:val="24"/>
          <w:lang w:val="fr-FR"/>
        </w:rPr>
        <w:t>« </w:t>
      </w:r>
      <w:r w:rsidRPr="00640C9E">
        <w:rPr>
          <w:szCs w:val="24"/>
          <w:lang w:val="fr-FR"/>
        </w:rPr>
        <w:t>trois</w:t>
      </w:r>
      <w:r>
        <w:rPr>
          <w:szCs w:val="24"/>
          <w:lang w:val="fr-FR"/>
        </w:rPr>
        <w:t> »</w:t>
      </w:r>
      <w:r w:rsidRPr="00640C9E">
        <w:rPr>
          <w:szCs w:val="24"/>
          <w:lang w:val="fr-FR"/>
        </w:rPr>
        <w:t>. Ajouter un nouvel alinéa c), comme suit</w:t>
      </w:r>
      <w:r>
        <w:rPr>
          <w:szCs w:val="24"/>
          <w:lang w:val="fr-FR"/>
        </w:rPr>
        <w:t> :</w:t>
      </w:r>
    </w:p>
    <w:p w:rsidR="00124E6E" w:rsidRPr="00640C9E" w:rsidRDefault="00124E6E" w:rsidP="00124E6E">
      <w:pPr>
        <w:pStyle w:val="SingleTxtG"/>
        <w:tabs>
          <w:tab w:val="left" w:pos="2268"/>
        </w:tabs>
        <w:ind w:left="2268"/>
        <w:rPr>
          <w:szCs w:val="24"/>
        </w:rPr>
      </w:pPr>
      <w:bookmarkStart w:id="39" w:name="_Hlk2257168"/>
      <w:r>
        <w:rPr>
          <w:szCs w:val="24"/>
          <w:lang w:val="fr-FR"/>
        </w:rPr>
        <w:t>« </w:t>
      </w:r>
      <w:proofErr w:type="gramStart"/>
      <w:r w:rsidRPr="00640C9E">
        <w:rPr>
          <w:szCs w:val="24"/>
          <w:lang w:val="fr-FR"/>
        </w:rPr>
        <w:t>c</w:t>
      </w:r>
      <w:proofErr w:type="gramEnd"/>
      <w:r w:rsidRPr="00640C9E">
        <w:rPr>
          <w:szCs w:val="24"/>
          <w:lang w:val="fr-FR"/>
        </w:rPr>
        <w:t>)</w:t>
      </w:r>
      <w:r w:rsidRPr="00640C9E">
        <w:rPr>
          <w:szCs w:val="24"/>
          <w:lang w:val="fr-FR"/>
        </w:rPr>
        <w:tab/>
        <w:t>SCO-III</w:t>
      </w:r>
      <w:r>
        <w:rPr>
          <w:szCs w:val="24"/>
          <w:lang w:val="fr-FR"/>
        </w:rPr>
        <w:t> :</w:t>
      </w:r>
      <w:r w:rsidRPr="00640C9E">
        <w:rPr>
          <w:szCs w:val="24"/>
          <w:lang w:val="fr-FR"/>
        </w:rPr>
        <w:t xml:space="preserve"> Objet</w:t>
      </w:r>
      <w:r>
        <w:rPr>
          <w:szCs w:val="24"/>
          <w:lang w:val="fr-FR"/>
        </w:rPr>
        <w:t xml:space="preserve"> </w:t>
      </w:r>
      <w:r w:rsidRPr="00640C9E">
        <w:rPr>
          <w:szCs w:val="24"/>
          <w:lang w:val="fr-FR"/>
        </w:rPr>
        <w:t xml:space="preserve">solide </w:t>
      </w:r>
      <w:r>
        <w:rPr>
          <w:szCs w:val="24"/>
          <w:lang w:val="fr-FR"/>
        </w:rPr>
        <w:t xml:space="preserve">de grande taille </w:t>
      </w:r>
      <w:r w:rsidRPr="00640C9E">
        <w:rPr>
          <w:szCs w:val="24"/>
          <w:lang w:val="fr-FR"/>
        </w:rPr>
        <w:t>qui, en raison de</w:t>
      </w:r>
      <w:r>
        <w:rPr>
          <w:szCs w:val="24"/>
          <w:lang w:val="fr-FR"/>
        </w:rPr>
        <w:t xml:space="preserve"> celle-ci</w:t>
      </w:r>
      <w:r w:rsidRPr="00640C9E">
        <w:rPr>
          <w:szCs w:val="24"/>
          <w:lang w:val="fr-FR"/>
        </w:rPr>
        <w:t>, ne peut être transporté dans un</w:t>
      </w:r>
      <w:r>
        <w:rPr>
          <w:szCs w:val="24"/>
          <w:lang w:val="fr-FR"/>
        </w:rPr>
        <w:t xml:space="preserve"> colis du</w:t>
      </w:r>
      <w:r w:rsidRPr="00640C9E">
        <w:rPr>
          <w:szCs w:val="24"/>
          <w:lang w:val="fr-FR"/>
        </w:rPr>
        <w:t xml:space="preserve"> type</w:t>
      </w:r>
      <w:r>
        <w:rPr>
          <w:szCs w:val="24"/>
          <w:lang w:val="fr-FR"/>
        </w:rPr>
        <w:t xml:space="preserve"> </w:t>
      </w:r>
      <w:r w:rsidRPr="00640C9E">
        <w:rPr>
          <w:szCs w:val="24"/>
          <w:lang w:val="fr-FR"/>
        </w:rPr>
        <w:t xml:space="preserve">décrit dans le </w:t>
      </w:r>
      <w:r>
        <w:rPr>
          <w:szCs w:val="24"/>
          <w:lang w:val="fr-FR"/>
        </w:rPr>
        <w:t>RID/l’ADR/l’ADN</w:t>
      </w:r>
      <w:r w:rsidRPr="00640C9E">
        <w:rPr>
          <w:szCs w:val="24"/>
          <w:lang w:val="fr-FR"/>
        </w:rPr>
        <w:t xml:space="preserve"> et dont</w:t>
      </w:r>
      <w:r>
        <w:rPr>
          <w:szCs w:val="24"/>
          <w:lang w:val="fr-FR"/>
        </w:rPr>
        <w:t> :</w:t>
      </w:r>
    </w:p>
    <w:p w:rsidR="00124E6E" w:rsidRPr="00640C9E" w:rsidRDefault="00124E6E" w:rsidP="00124E6E">
      <w:pPr>
        <w:pStyle w:val="SingleTxtG"/>
        <w:tabs>
          <w:tab w:val="left" w:pos="2268"/>
        </w:tabs>
        <w:ind w:left="3402" w:hanging="567"/>
        <w:rPr>
          <w:szCs w:val="24"/>
        </w:rPr>
      </w:pPr>
      <w:r w:rsidRPr="00640C9E">
        <w:rPr>
          <w:szCs w:val="24"/>
          <w:lang w:val="fr-FR"/>
        </w:rPr>
        <w:t>i)</w:t>
      </w:r>
      <w:r w:rsidRPr="00640C9E">
        <w:rPr>
          <w:szCs w:val="24"/>
          <w:lang w:val="fr-FR"/>
        </w:rPr>
        <w:tab/>
        <w:t xml:space="preserve">Tous les </w:t>
      </w:r>
      <w:r>
        <w:rPr>
          <w:szCs w:val="24"/>
          <w:lang w:val="fr-FR"/>
        </w:rPr>
        <w:t>orifices</w:t>
      </w:r>
      <w:r w:rsidRPr="00640C9E">
        <w:rPr>
          <w:szCs w:val="24"/>
          <w:lang w:val="fr-FR"/>
        </w:rPr>
        <w:t xml:space="preserve"> sont scellés pour éviter </w:t>
      </w:r>
      <w:r>
        <w:rPr>
          <w:szCs w:val="24"/>
          <w:lang w:val="fr-FR"/>
        </w:rPr>
        <w:t>la libération</w:t>
      </w:r>
      <w:r w:rsidRPr="00640C9E">
        <w:rPr>
          <w:szCs w:val="24"/>
          <w:lang w:val="fr-FR"/>
        </w:rPr>
        <w:t xml:space="preserve"> de matières radioactives dans les conditions définies </w:t>
      </w:r>
      <w:r>
        <w:rPr>
          <w:szCs w:val="24"/>
          <w:lang w:val="fr-FR"/>
        </w:rPr>
        <w:t>au 4.1.9.2.4 e) (ADN : de l’ADR) ;</w:t>
      </w:r>
    </w:p>
    <w:p w:rsidR="00124E6E" w:rsidRPr="00640C9E" w:rsidRDefault="00124E6E" w:rsidP="00124E6E">
      <w:pPr>
        <w:pStyle w:val="SingleTxtG"/>
        <w:tabs>
          <w:tab w:val="left" w:pos="2268"/>
        </w:tabs>
        <w:ind w:left="3402" w:hanging="567"/>
        <w:rPr>
          <w:szCs w:val="24"/>
        </w:rPr>
      </w:pPr>
      <w:r>
        <w:rPr>
          <w:szCs w:val="24"/>
          <w:lang w:val="fr-FR"/>
        </w:rPr>
        <w:lastRenderedPageBreak/>
        <w:t>ii)</w:t>
      </w:r>
      <w:r w:rsidRPr="00640C9E">
        <w:rPr>
          <w:szCs w:val="24"/>
          <w:lang w:val="fr-FR"/>
        </w:rPr>
        <w:tab/>
        <w:t>L</w:t>
      </w:r>
      <w:r>
        <w:rPr>
          <w:szCs w:val="24"/>
          <w:lang w:val="fr-FR"/>
        </w:rPr>
        <w:t>’</w:t>
      </w:r>
      <w:r w:rsidRPr="00640C9E">
        <w:rPr>
          <w:szCs w:val="24"/>
          <w:lang w:val="fr-FR"/>
        </w:rPr>
        <w:t>intérieur</w:t>
      </w:r>
      <w:r>
        <w:rPr>
          <w:szCs w:val="24"/>
          <w:lang w:val="fr-FR"/>
        </w:rPr>
        <w:t xml:space="preserve"> de l’objet est le plus sec possible ;</w:t>
      </w:r>
    </w:p>
    <w:p w:rsidR="00124E6E" w:rsidRPr="00640C9E" w:rsidRDefault="00124E6E" w:rsidP="00124E6E">
      <w:pPr>
        <w:pStyle w:val="SingleTxtG"/>
        <w:tabs>
          <w:tab w:val="left" w:pos="2268"/>
        </w:tabs>
        <w:ind w:left="3402" w:hanging="567"/>
        <w:rPr>
          <w:szCs w:val="24"/>
        </w:rPr>
      </w:pPr>
      <w:r w:rsidRPr="00640C9E">
        <w:rPr>
          <w:szCs w:val="24"/>
          <w:lang w:val="fr-FR"/>
        </w:rPr>
        <w:t>iii)</w:t>
      </w:r>
      <w:r w:rsidRPr="00640C9E">
        <w:rPr>
          <w:szCs w:val="24"/>
          <w:lang w:val="fr-FR"/>
        </w:rPr>
        <w:tab/>
        <w:t>La contamination non fixée sur les surfaces externes ne dépasse pas les limites spécifiées au 4.1.9.1.2</w:t>
      </w:r>
      <w:r>
        <w:rPr>
          <w:szCs w:val="24"/>
          <w:lang w:val="fr-FR"/>
        </w:rPr>
        <w:t xml:space="preserve"> (ADN : de l’ADR) ; et</w:t>
      </w:r>
    </w:p>
    <w:p w:rsidR="00124E6E" w:rsidRPr="00640C9E" w:rsidRDefault="00124E6E" w:rsidP="00124E6E">
      <w:pPr>
        <w:pStyle w:val="SingleTxtG"/>
        <w:tabs>
          <w:tab w:val="left" w:pos="2268"/>
        </w:tabs>
        <w:ind w:left="3402" w:hanging="567"/>
        <w:rPr>
          <w:szCs w:val="24"/>
        </w:rPr>
      </w:pPr>
      <w:r>
        <w:rPr>
          <w:szCs w:val="24"/>
          <w:lang w:val="fr-FR"/>
        </w:rPr>
        <w:t xml:space="preserve">iv) </w:t>
      </w:r>
      <w:r>
        <w:rPr>
          <w:szCs w:val="24"/>
          <w:lang w:val="fr-FR"/>
        </w:rPr>
        <w:tab/>
      </w:r>
      <w:r w:rsidRPr="00640C9E">
        <w:rPr>
          <w:szCs w:val="24"/>
          <w:lang w:val="fr-FR"/>
        </w:rPr>
        <w:t>Pour la surface inaccessible, la moyenne de la contamination non fixée et de la contamination fixée sur 300</w:t>
      </w:r>
      <w:r>
        <w:rPr>
          <w:szCs w:val="24"/>
          <w:lang w:val="fr-FR"/>
        </w:rPr>
        <w:t> </w:t>
      </w:r>
      <w:r w:rsidRPr="00640C9E">
        <w:rPr>
          <w:szCs w:val="24"/>
          <w:lang w:val="fr-FR"/>
        </w:rPr>
        <w:t>cm</w:t>
      </w:r>
      <w:r w:rsidRPr="00640C9E">
        <w:rPr>
          <w:szCs w:val="24"/>
          <w:vertAlign w:val="superscript"/>
          <w:lang w:val="fr-FR"/>
        </w:rPr>
        <w:t>2</w:t>
      </w:r>
      <w:r>
        <w:rPr>
          <w:szCs w:val="24"/>
          <w:lang w:val="fr-FR"/>
        </w:rPr>
        <w:t xml:space="preserve"> </w:t>
      </w:r>
      <w:r w:rsidRPr="00640C9E">
        <w:rPr>
          <w:szCs w:val="24"/>
          <w:lang w:val="fr-FR"/>
        </w:rPr>
        <w:t>ne dépasse pas 8</w:t>
      </w:r>
      <w:r>
        <w:rPr>
          <w:szCs w:val="24"/>
          <w:lang w:val="fr-FR"/>
        </w:rPr>
        <w:t> </w:t>
      </w:r>
      <w:r w:rsidRPr="00640C9E">
        <w:rPr>
          <w:szCs w:val="24"/>
          <w:lang w:val="fr-FR"/>
        </w:rPr>
        <w:t>×</w:t>
      </w:r>
      <w:r>
        <w:rPr>
          <w:szCs w:val="24"/>
          <w:lang w:val="fr-FR"/>
        </w:rPr>
        <w:t> </w:t>
      </w:r>
      <w:r w:rsidRPr="00640C9E">
        <w:rPr>
          <w:szCs w:val="24"/>
          <w:lang w:val="fr-FR"/>
        </w:rPr>
        <w:t>10</w:t>
      </w:r>
      <w:r w:rsidRPr="002C586B">
        <w:rPr>
          <w:szCs w:val="24"/>
          <w:vertAlign w:val="superscript"/>
          <w:lang w:val="fr-FR"/>
        </w:rPr>
        <w:t>5</w:t>
      </w:r>
      <w:r>
        <w:rPr>
          <w:szCs w:val="24"/>
          <w:lang w:val="fr-FR"/>
        </w:rPr>
        <w:t> </w:t>
      </w:r>
      <w:r w:rsidRPr="00640C9E">
        <w:rPr>
          <w:szCs w:val="24"/>
          <w:lang w:val="fr-FR"/>
        </w:rPr>
        <w:t>Bq/cm</w:t>
      </w:r>
      <w:r w:rsidRPr="00640C9E">
        <w:rPr>
          <w:szCs w:val="24"/>
          <w:vertAlign w:val="superscript"/>
          <w:lang w:val="fr-FR"/>
        </w:rPr>
        <w:t>2</w:t>
      </w:r>
      <w:r w:rsidRPr="00640C9E">
        <w:rPr>
          <w:szCs w:val="24"/>
          <w:lang w:val="fr-FR"/>
        </w:rPr>
        <w:t xml:space="preserve"> pour les émetteurs bêta et gamma et les émetteurs alpha de faible toxicité ou 8</w:t>
      </w:r>
      <w:r>
        <w:rPr>
          <w:szCs w:val="24"/>
          <w:lang w:val="fr-FR"/>
        </w:rPr>
        <w:t> </w:t>
      </w:r>
      <w:r w:rsidRPr="00640C9E">
        <w:rPr>
          <w:szCs w:val="24"/>
          <w:lang w:val="fr-FR"/>
        </w:rPr>
        <w:t>×</w:t>
      </w:r>
      <w:r>
        <w:rPr>
          <w:szCs w:val="24"/>
          <w:lang w:val="fr-FR"/>
        </w:rPr>
        <w:t> </w:t>
      </w:r>
      <w:r w:rsidRPr="00640C9E">
        <w:rPr>
          <w:szCs w:val="24"/>
          <w:lang w:val="fr-FR"/>
        </w:rPr>
        <w:t>10</w:t>
      </w:r>
      <w:r w:rsidRPr="002C586B">
        <w:rPr>
          <w:szCs w:val="24"/>
          <w:vertAlign w:val="superscript"/>
          <w:lang w:val="fr-FR"/>
        </w:rPr>
        <w:t>4</w:t>
      </w:r>
      <w:r>
        <w:rPr>
          <w:szCs w:val="24"/>
          <w:lang w:val="fr-FR"/>
        </w:rPr>
        <w:t> </w:t>
      </w:r>
      <w:r w:rsidRPr="00640C9E">
        <w:rPr>
          <w:szCs w:val="24"/>
          <w:lang w:val="fr-FR"/>
        </w:rPr>
        <w:t>Bq/cm</w:t>
      </w:r>
      <w:r w:rsidRPr="00640C9E">
        <w:rPr>
          <w:szCs w:val="24"/>
          <w:vertAlign w:val="superscript"/>
          <w:lang w:val="fr-FR"/>
        </w:rPr>
        <w:t>2</w:t>
      </w:r>
      <w:r w:rsidRPr="00640C9E">
        <w:rPr>
          <w:szCs w:val="24"/>
          <w:lang w:val="fr-FR"/>
        </w:rPr>
        <w:t xml:space="preserve"> pour tous les autres émetteurs alpha.</w:t>
      </w:r>
      <w:bookmarkEnd w:id="39"/>
      <w:r>
        <w:rPr>
          <w:szCs w:val="24"/>
          <w:lang w:val="fr-FR"/>
        </w:rPr>
        <w:t> »</w:t>
      </w:r>
      <w:r w:rsidRPr="00640C9E">
        <w:rPr>
          <w:szCs w:val="24"/>
          <w:lang w:val="fr-FR"/>
        </w:rPr>
        <w:t>.</w:t>
      </w:r>
    </w:p>
    <w:p w:rsidR="00B926A4" w:rsidRDefault="00124E6E" w:rsidP="00A23C89">
      <w:pPr>
        <w:pStyle w:val="SingleTxtG"/>
        <w:tabs>
          <w:tab w:val="left" w:pos="2268"/>
        </w:tabs>
        <w:ind w:left="2259" w:hanging="1125"/>
        <w:rPr>
          <w:szCs w:val="24"/>
          <w:lang w:val="fr-FR"/>
        </w:rPr>
      </w:pPr>
      <w:r>
        <w:rPr>
          <w:lang w:eastAsia="en-GB"/>
        </w:rPr>
        <w:t>2.2.7.2.3.3.5</w:t>
      </w:r>
      <w:r w:rsidRPr="00640C9E">
        <w:rPr>
          <w:szCs w:val="24"/>
          <w:lang w:val="fr-FR"/>
        </w:rPr>
        <w:t xml:space="preserve"> b)</w:t>
      </w:r>
    </w:p>
    <w:p w:rsidR="00124E6E" w:rsidRPr="00640C9E" w:rsidRDefault="00124E6E" w:rsidP="00A23C89">
      <w:pPr>
        <w:pStyle w:val="SingleTxtG"/>
        <w:tabs>
          <w:tab w:val="left" w:pos="2268"/>
        </w:tabs>
        <w:ind w:left="2259" w:hanging="1125"/>
        <w:rPr>
          <w:szCs w:val="24"/>
        </w:rPr>
      </w:pPr>
      <w:r w:rsidRPr="00640C9E">
        <w:rPr>
          <w:szCs w:val="24"/>
          <w:lang w:val="fr-FR"/>
        </w:rPr>
        <w:tab/>
      </w:r>
      <w:r>
        <w:rPr>
          <w:szCs w:val="24"/>
          <w:lang w:val="fr-FR"/>
        </w:rPr>
        <w:t>L’amendement à la version anglaise est sans objet en français.</w:t>
      </w:r>
    </w:p>
    <w:p w:rsidR="00B926A4" w:rsidRDefault="00124E6E" w:rsidP="00A23C89">
      <w:pPr>
        <w:pStyle w:val="SingleTxtG"/>
        <w:tabs>
          <w:tab w:val="left" w:pos="2268"/>
        </w:tabs>
        <w:ind w:left="2259" w:hanging="1125"/>
        <w:rPr>
          <w:szCs w:val="24"/>
          <w:lang w:val="fr-FR"/>
        </w:rPr>
      </w:pPr>
      <w:r>
        <w:rPr>
          <w:lang w:eastAsia="en-GB"/>
        </w:rPr>
        <w:t xml:space="preserve">2.2.7.2.3.3.5 </w:t>
      </w:r>
      <w:r w:rsidRPr="00640C9E">
        <w:rPr>
          <w:szCs w:val="24"/>
          <w:lang w:val="fr-FR"/>
        </w:rPr>
        <w:t>c)</w:t>
      </w:r>
    </w:p>
    <w:p w:rsidR="00124E6E" w:rsidRPr="00640C9E" w:rsidRDefault="00124E6E" w:rsidP="00A23C89">
      <w:pPr>
        <w:pStyle w:val="SingleTxtG"/>
        <w:tabs>
          <w:tab w:val="left" w:pos="2268"/>
        </w:tabs>
        <w:ind w:left="2259" w:hanging="1125"/>
        <w:rPr>
          <w:szCs w:val="24"/>
        </w:rPr>
      </w:pPr>
      <w:r w:rsidRPr="00640C9E">
        <w:rPr>
          <w:szCs w:val="24"/>
          <w:lang w:val="fr-FR"/>
        </w:rPr>
        <w:tab/>
      </w:r>
      <w:r>
        <w:rPr>
          <w:szCs w:val="24"/>
          <w:lang w:val="fr-FR"/>
        </w:rPr>
        <w:t>L’amendement à la version anglaise est sans objet en français.</w:t>
      </w:r>
    </w:p>
    <w:p w:rsidR="00124E6E" w:rsidRPr="00640C9E" w:rsidRDefault="00124E6E" w:rsidP="00A23C89">
      <w:pPr>
        <w:pStyle w:val="SingleTxtG"/>
        <w:tabs>
          <w:tab w:val="left" w:pos="2268"/>
        </w:tabs>
        <w:ind w:left="2259" w:hanging="1125"/>
        <w:rPr>
          <w:szCs w:val="24"/>
        </w:rPr>
      </w:pPr>
      <w:r>
        <w:rPr>
          <w:szCs w:val="24"/>
          <w:lang w:val="fr-FR"/>
        </w:rPr>
        <w:t>2.2.7.2.3.3.7</w:t>
      </w:r>
      <w:r w:rsidRPr="00640C9E">
        <w:rPr>
          <w:szCs w:val="24"/>
          <w:lang w:val="fr-FR"/>
        </w:rPr>
        <w:tab/>
      </w:r>
      <w:r>
        <w:rPr>
          <w:szCs w:val="24"/>
          <w:lang w:val="fr-FR"/>
        </w:rPr>
        <w:t>L’amendement à la version anglaise est sans objet en français.</w:t>
      </w:r>
    </w:p>
    <w:p w:rsidR="00B926A4" w:rsidRDefault="00124E6E" w:rsidP="00A23C89">
      <w:pPr>
        <w:pStyle w:val="SingleTxtG"/>
        <w:tabs>
          <w:tab w:val="left" w:pos="2268"/>
        </w:tabs>
        <w:ind w:left="2259" w:hanging="1125"/>
        <w:rPr>
          <w:szCs w:val="24"/>
          <w:lang w:val="fr-FR"/>
        </w:rPr>
      </w:pPr>
      <w:r>
        <w:rPr>
          <w:szCs w:val="24"/>
          <w:lang w:val="fr-FR"/>
        </w:rPr>
        <w:t>2.2.7.2.3.3.8 a) ii)</w:t>
      </w:r>
    </w:p>
    <w:p w:rsidR="00124E6E" w:rsidRPr="00640C9E" w:rsidRDefault="00124E6E" w:rsidP="00A23C89">
      <w:pPr>
        <w:pStyle w:val="SingleTxtG"/>
        <w:tabs>
          <w:tab w:val="left" w:pos="2268"/>
        </w:tabs>
        <w:ind w:left="2259" w:hanging="1125"/>
        <w:rPr>
          <w:szCs w:val="24"/>
        </w:rPr>
      </w:pPr>
      <w:r w:rsidRPr="00D35BC2">
        <w:rPr>
          <w:szCs w:val="24"/>
          <w:lang w:val="fr-FR"/>
        </w:rPr>
        <w:tab/>
      </w:r>
      <w:r>
        <w:rPr>
          <w:szCs w:val="24"/>
          <w:lang w:val="fr-FR"/>
        </w:rPr>
        <w:t>L’amendement à la version anglaise est sans objet en français.</w:t>
      </w:r>
    </w:p>
    <w:p w:rsidR="00B926A4" w:rsidRDefault="00124E6E" w:rsidP="00A23C89">
      <w:pPr>
        <w:pStyle w:val="SingleTxtG"/>
        <w:tabs>
          <w:tab w:val="left" w:pos="2268"/>
        </w:tabs>
        <w:ind w:left="2259" w:hanging="1125"/>
        <w:rPr>
          <w:szCs w:val="24"/>
          <w:lang w:val="fr-FR"/>
        </w:rPr>
      </w:pPr>
      <w:r>
        <w:rPr>
          <w:szCs w:val="24"/>
          <w:lang w:val="fr-FR"/>
        </w:rPr>
        <w:t>2.2.7.2.3.4.1 a)</w:t>
      </w:r>
    </w:p>
    <w:p w:rsidR="00124E6E" w:rsidRPr="00640C9E" w:rsidRDefault="00124E6E" w:rsidP="00A23C89">
      <w:pPr>
        <w:pStyle w:val="SingleTxtG"/>
        <w:tabs>
          <w:tab w:val="left" w:pos="2268"/>
        </w:tabs>
        <w:ind w:left="2259" w:hanging="1125"/>
        <w:rPr>
          <w:szCs w:val="24"/>
        </w:rPr>
      </w:pPr>
      <w:r w:rsidRPr="00640C9E">
        <w:rPr>
          <w:szCs w:val="24"/>
          <w:lang w:val="fr-FR"/>
        </w:rPr>
        <w:tab/>
      </w:r>
      <w:r>
        <w:rPr>
          <w:szCs w:val="24"/>
          <w:lang w:val="fr-FR"/>
        </w:rPr>
        <w:t>R</w:t>
      </w:r>
      <w:r w:rsidRPr="00640C9E">
        <w:rPr>
          <w:szCs w:val="24"/>
          <w:lang w:val="fr-FR"/>
        </w:rPr>
        <w:t xml:space="preserve">emplacer </w:t>
      </w:r>
      <w:r>
        <w:rPr>
          <w:szCs w:val="24"/>
          <w:lang w:val="fr-FR"/>
        </w:rPr>
        <w:t>« 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w:t>
      </w:r>
      <w:r w:rsidRPr="00640C9E">
        <w:rPr>
          <w:szCs w:val="24"/>
          <w:lang w:val="fr-FR"/>
        </w:rPr>
        <w:t>.</w:t>
      </w:r>
    </w:p>
    <w:p w:rsidR="00124E6E" w:rsidRPr="00640C9E" w:rsidRDefault="00124E6E" w:rsidP="00A23C89">
      <w:pPr>
        <w:pStyle w:val="SingleTxtG"/>
        <w:tabs>
          <w:tab w:val="left" w:pos="2268"/>
        </w:tabs>
        <w:ind w:left="2259" w:hanging="1125"/>
        <w:rPr>
          <w:szCs w:val="24"/>
        </w:rPr>
      </w:pPr>
      <w:r>
        <w:t xml:space="preserve">2.2.7.2.3.5 </w:t>
      </w:r>
      <w:r w:rsidRPr="00640C9E">
        <w:rPr>
          <w:szCs w:val="24"/>
          <w:lang w:val="fr-FR"/>
        </w:rPr>
        <w:t>e)</w:t>
      </w:r>
      <w:r>
        <w:rPr>
          <w:szCs w:val="24"/>
          <w:lang w:val="fr-FR"/>
        </w:rPr>
        <w:tab/>
        <w:t>R</w:t>
      </w:r>
      <w:r w:rsidRPr="00640C9E">
        <w:rPr>
          <w:szCs w:val="24"/>
          <w:lang w:val="fr-FR"/>
        </w:rPr>
        <w:t xml:space="preserve">emplacer </w:t>
      </w:r>
      <w:r>
        <w:rPr>
          <w:szCs w:val="24"/>
          <w:lang w:val="fr-FR"/>
        </w:rPr>
        <w:t>« </w:t>
      </w:r>
      <w:r w:rsidRPr="00640C9E">
        <w:rPr>
          <w:szCs w:val="24"/>
          <w:lang w:val="fr-FR"/>
        </w:rPr>
        <w:t>limites prévues au</w:t>
      </w:r>
      <w:r>
        <w:rPr>
          <w:szCs w:val="24"/>
          <w:lang w:val="fr-FR"/>
        </w:rPr>
        <w:t> »</w:t>
      </w:r>
      <w:r w:rsidRPr="00640C9E">
        <w:rPr>
          <w:szCs w:val="24"/>
          <w:lang w:val="fr-FR"/>
        </w:rPr>
        <w:t xml:space="preserve"> par </w:t>
      </w:r>
      <w:r>
        <w:rPr>
          <w:szCs w:val="24"/>
          <w:lang w:val="fr-FR"/>
        </w:rPr>
        <w:t>« </w:t>
      </w:r>
      <w:r w:rsidRPr="00640C9E">
        <w:rPr>
          <w:szCs w:val="24"/>
          <w:lang w:val="fr-FR"/>
        </w:rPr>
        <w:t>prescriptions du</w:t>
      </w:r>
      <w:r>
        <w:rPr>
          <w:szCs w:val="24"/>
          <w:lang w:val="fr-FR"/>
        </w:rPr>
        <w:t> »</w:t>
      </w:r>
      <w:r w:rsidRPr="00640C9E">
        <w:rPr>
          <w:szCs w:val="24"/>
          <w:lang w:val="fr-FR"/>
        </w:rPr>
        <w:t>.</w:t>
      </w:r>
    </w:p>
    <w:p w:rsidR="00124E6E" w:rsidRPr="00640C9E" w:rsidRDefault="00124E6E" w:rsidP="00A23C89">
      <w:pPr>
        <w:pStyle w:val="SingleTxtG"/>
        <w:tabs>
          <w:tab w:val="left" w:pos="2268"/>
        </w:tabs>
        <w:ind w:left="2259" w:hanging="1125"/>
        <w:rPr>
          <w:szCs w:val="24"/>
        </w:rPr>
      </w:pPr>
      <w:r>
        <w:rPr>
          <w:lang w:eastAsia="en-GB"/>
        </w:rPr>
        <w:t>2.2.7.2.3.6</w:t>
      </w:r>
      <w:r w:rsidRPr="00640C9E">
        <w:rPr>
          <w:szCs w:val="24"/>
          <w:lang w:val="fr-FR"/>
        </w:rPr>
        <w:tab/>
      </w:r>
      <w:r>
        <w:rPr>
          <w:szCs w:val="24"/>
          <w:lang w:val="fr-FR"/>
        </w:rPr>
        <w:t>L’amendement à la version anglaise est sans objet en français.</w:t>
      </w:r>
    </w:p>
    <w:p w:rsidR="00124E6E" w:rsidRPr="00640C9E" w:rsidRDefault="00124E6E" w:rsidP="00A23C89">
      <w:pPr>
        <w:pStyle w:val="SingleTxtG"/>
        <w:tabs>
          <w:tab w:val="left" w:pos="2268"/>
        </w:tabs>
        <w:ind w:left="2259" w:hanging="1125"/>
        <w:rPr>
          <w:szCs w:val="24"/>
        </w:rPr>
      </w:pPr>
      <w:r>
        <w:t>2.2.7.2.4.1.2</w:t>
      </w:r>
      <w:r w:rsidRPr="00640C9E">
        <w:rPr>
          <w:szCs w:val="24"/>
          <w:lang w:val="fr-FR"/>
        </w:rPr>
        <w:tab/>
      </w:r>
      <w:r>
        <w:rPr>
          <w:szCs w:val="24"/>
          <w:lang w:val="fr-FR"/>
        </w:rPr>
        <w:t>R</w:t>
      </w:r>
      <w:r w:rsidRPr="00640C9E">
        <w:rPr>
          <w:szCs w:val="24"/>
          <w:lang w:val="fr-FR"/>
        </w:rPr>
        <w:t xml:space="preserve">emplacer </w:t>
      </w:r>
      <w:r>
        <w:rPr>
          <w:szCs w:val="24"/>
          <w:lang w:val="fr-FR"/>
        </w:rPr>
        <w:t>« 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w:t>
      </w:r>
      <w:r w:rsidRPr="00640C9E">
        <w:rPr>
          <w:szCs w:val="24"/>
          <w:lang w:val="fr-FR"/>
        </w:rPr>
        <w:t>.</w:t>
      </w:r>
    </w:p>
    <w:p w:rsidR="00B926A4" w:rsidRDefault="00124E6E" w:rsidP="00A23C89">
      <w:pPr>
        <w:pStyle w:val="SingleTxtG"/>
        <w:tabs>
          <w:tab w:val="left" w:pos="2268"/>
        </w:tabs>
        <w:ind w:left="2259" w:hanging="1125"/>
        <w:rPr>
          <w:szCs w:val="24"/>
          <w:lang w:val="fr-FR"/>
        </w:rPr>
      </w:pPr>
      <w:r>
        <w:t>2.2.7.2.4.1.3</w:t>
      </w:r>
      <w:r>
        <w:rPr>
          <w:szCs w:val="24"/>
          <w:lang w:val="fr-FR"/>
        </w:rPr>
        <w:t xml:space="preserve"> a)</w:t>
      </w:r>
    </w:p>
    <w:p w:rsidR="00124E6E" w:rsidRPr="00640C9E" w:rsidRDefault="00124E6E" w:rsidP="00A23C89">
      <w:pPr>
        <w:pStyle w:val="SingleTxtG"/>
        <w:tabs>
          <w:tab w:val="left" w:pos="2268"/>
        </w:tabs>
        <w:ind w:left="2259" w:hanging="1125"/>
        <w:rPr>
          <w:szCs w:val="24"/>
        </w:rPr>
      </w:pPr>
      <w:r w:rsidRPr="00640C9E">
        <w:rPr>
          <w:szCs w:val="24"/>
          <w:lang w:val="fr-FR"/>
        </w:rPr>
        <w:tab/>
      </w:r>
      <w:r>
        <w:rPr>
          <w:szCs w:val="24"/>
          <w:lang w:val="fr-FR"/>
        </w:rPr>
        <w:t>R</w:t>
      </w:r>
      <w:r w:rsidRPr="00640C9E">
        <w:rPr>
          <w:szCs w:val="24"/>
          <w:lang w:val="fr-FR"/>
        </w:rPr>
        <w:t xml:space="preserve">emplacer </w:t>
      </w:r>
      <w:r>
        <w:rPr>
          <w:szCs w:val="24"/>
          <w:lang w:val="fr-FR"/>
        </w:rPr>
        <w:t>« 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w:t>
      </w:r>
      <w:r w:rsidRPr="00CB52CA">
        <w:rPr>
          <w:szCs w:val="24"/>
          <w:lang w:val="fr-FR"/>
        </w:rPr>
        <w:t xml:space="preserve"> </w:t>
      </w:r>
      <w:r>
        <w:rPr>
          <w:szCs w:val="24"/>
          <w:lang w:val="fr-FR"/>
        </w:rPr>
        <w:t>et remplacer « supérieure » par « supérieur »</w:t>
      </w:r>
      <w:r w:rsidRPr="00640C9E">
        <w:rPr>
          <w:szCs w:val="24"/>
          <w:lang w:val="fr-FR"/>
        </w:rPr>
        <w:t>.</w:t>
      </w:r>
    </w:p>
    <w:p w:rsidR="00124E6E" w:rsidRPr="00120B9C" w:rsidRDefault="00124E6E" w:rsidP="00A23C89">
      <w:pPr>
        <w:pStyle w:val="SingleTxtG"/>
        <w:tabs>
          <w:tab w:val="left" w:pos="2268"/>
        </w:tabs>
        <w:ind w:left="2259" w:hanging="1125"/>
        <w:rPr>
          <w:szCs w:val="24"/>
          <w:lang w:val="fr-FR"/>
        </w:rPr>
      </w:pPr>
      <w:r>
        <w:rPr>
          <w:lang w:eastAsia="en-GB"/>
        </w:rPr>
        <w:t>2.2.7.2.4.1.3</w:t>
      </w:r>
      <w:r>
        <w:rPr>
          <w:szCs w:val="24"/>
          <w:lang w:val="fr-FR"/>
        </w:rPr>
        <w:tab/>
      </w:r>
      <w:r>
        <w:rPr>
          <w:szCs w:val="24"/>
          <w:lang w:val="fr-FR"/>
        </w:rPr>
        <w:tab/>
        <w:t xml:space="preserve">Au c), à la fin, supprimer « et ». À la fin du d), remplacer </w:t>
      </w:r>
      <w:proofErr w:type="gramStart"/>
      <w:r>
        <w:rPr>
          <w:szCs w:val="24"/>
          <w:lang w:val="fr-FR"/>
        </w:rPr>
        <w:t>« .</w:t>
      </w:r>
      <w:proofErr w:type="gramEnd"/>
      <w:r>
        <w:rPr>
          <w:szCs w:val="24"/>
          <w:lang w:val="fr-FR"/>
        </w:rPr>
        <w:t xml:space="preserve"> » par « ; ».  </w:t>
      </w:r>
      <w:r w:rsidRPr="00640C9E">
        <w:rPr>
          <w:szCs w:val="24"/>
          <w:lang w:val="fr-FR"/>
        </w:rPr>
        <w:t>Ajouter les nouveaux alinéas e</w:t>
      </w:r>
      <w:r>
        <w:rPr>
          <w:szCs w:val="24"/>
          <w:lang w:val="fr-FR"/>
        </w:rPr>
        <w:t>)</w:t>
      </w:r>
      <w:r w:rsidRPr="00640C9E">
        <w:rPr>
          <w:szCs w:val="24"/>
          <w:lang w:val="fr-FR"/>
        </w:rPr>
        <w:t xml:space="preserve"> et f</w:t>
      </w:r>
      <w:r>
        <w:rPr>
          <w:szCs w:val="24"/>
          <w:lang w:val="fr-FR"/>
        </w:rPr>
        <w:t>)</w:t>
      </w:r>
      <w:r w:rsidRPr="00640C9E">
        <w:rPr>
          <w:szCs w:val="24"/>
          <w:lang w:val="fr-FR"/>
        </w:rPr>
        <w:t xml:space="preserve"> suivants</w:t>
      </w:r>
      <w:r>
        <w:rPr>
          <w:szCs w:val="24"/>
          <w:lang w:val="fr-FR"/>
        </w:rPr>
        <w:t> :</w:t>
      </w:r>
    </w:p>
    <w:p w:rsidR="00124E6E" w:rsidRPr="00640C9E" w:rsidRDefault="00124E6E" w:rsidP="00124E6E">
      <w:pPr>
        <w:pStyle w:val="SingleTxtG"/>
        <w:tabs>
          <w:tab w:val="left" w:pos="2268"/>
        </w:tabs>
        <w:ind w:firstLine="1134"/>
        <w:rPr>
          <w:szCs w:val="24"/>
        </w:rPr>
      </w:pPr>
      <w:r>
        <w:rPr>
          <w:szCs w:val="24"/>
          <w:lang w:val="fr-FR"/>
        </w:rPr>
        <w:t>« </w:t>
      </w:r>
      <w:bookmarkStart w:id="40" w:name="_Hlk2258786"/>
      <w:proofErr w:type="gramStart"/>
      <w:r w:rsidRPr="00640C9E">
        <w:rPr>
          <w:szCs w:val="24"/>
          <w:lang w:val="fr-FR"/>
        </w:rPr>
        <w:t>e</w:t>
      </w:r>
      <w:proofErr w:type="gramEnd"/>
      <w:r w:rsidRPr="00640C9E">
        <w:rPr>
          <w:szCs w:val="24"/>
          <w:lang w:val="fr-FR"/>
        </w:rPr>
        <w:t>)</w:t>
      </w:r>
      <w:r w:rsidRPr="00640C9E">
        <w:rPr>
          <w:szCs w:val="24"/>
          <w:lang w:val="fr-FR"/>
        </w:rPr>
        <w:tab/>
      </w:r>
      <w:r>
        <w:rPr>
          <w:i/>
          <w:iCs/>
          <w:szCs w:val="24"/>
          <w:lang w:val="fr-FR"/>
        </w:rPr>
        <w:t>(</w:t>
      </w:r>
      <w:r w:rsidRPr="00640C9E">
        <w:rPr>
          <w:i/>
          <w:iCs/>
          <w:szCs w:val="24"/>
          <w:lang w:val="fr-FR"/>
        </w:rPr>
        <w:t>Réservé</w:t>
      </w:r>
      <w:r>
        <w:rPr>
          <w:i/>
          <w:iCs/>
          <w:szCs w:val="24"/>
          <w:lang w:val="fr-FR"/>
        </w:rPr>
        <w:t>)</w:t>
      </w:r>
      <w:r>
        <w:rPr>
          <w:szCs w:val="24"/>
          <w:lang w:val="fr-FR"/>
        </w:rPr>
        <w:t> ;</w:t>
      </w:r>
    </w:p>
    <w:p w:rsidR="00124E6E" w:rsidRPr="00640C9E" w:rsidRDefault="00124E6E" w:rsidP="00124E6E">
      <w:pPr>
        <w:pStyle w:val="SingleTxtG"/>
        <w:tabs>
          <w:tab w:val="left" w:pos="2268"/>
        </w:tabs>
        <w:ind w:left="2268"/>
        <w:rPr>
          <w:szCs w:val="24"/>
        </w:rPr>
      </w:pPr>
      <w:r w:rsidRPr="00640C9E">
        <w:rPr>
          <w:szCs w:val="24"/>
          <w:lang w:val="fr-FR"/>
        </w:rPr>
        <w:t>f)</w:t>
      </w:r>
      <w:r w:rsidRPr="00640C9E">
        <w:rPr>
          <w:szCs w:val="24"/>
          <w:lang w:val="fr-FR"/>
        </w:rPr>
        <w:tab/>
        <w:t>Si le colis contient des matières fissiles, il doit satisfaire à l</w:t>
      </w:r>
      <w:r>
        <w:rPr>
          <w:szCs w:val="24"/>
          <w:lang w:val="fr-FR"/>
        </w:rPr>
        <w:t>’</w:t>
      </w:r>
      <w:r w:rsidRPr="00640C9E">
        <w:rPr>
          <w:szCs w:val="24"/>
          <w:lang w:val="fr-FR"/>
        </w:rPr>
        <w:t xml:space="preserve">une des dispositions du </w:t>
      </w:r>
      <w:r>
        <w:rPr>
          <w:szCs w:val="24"/>
          <w:lang w:val="fr-FR"/>
        </w:rPr>
        <w:t>2.</w:t>
      </w:r>
      <w:r w:rsidRPr="00640C9E">
        <w:rPr>
          <w:szCs w:val="24"/>
          <w:lang w:val="fr-FR"/>
        </w:rPr>
        <w:t>2.7.2.3.5</w:t>
      </w:r>
      <w:r>
        <w:rPr>
          <w:szCs w:val="24"/>
          <w:lang w:val="fr-FR"/>
        </w:rPr>
        <w:t xml:space="preserve"> a) à f)</w:t>
      </w:r>
      <w:r w:rsidRPr="00640C9E">
        <w:rPr>
          <w:szCs w:val="24"/>
          <w:lang w:val="fr-FR"/>
        </w:rPr>
        <w:t>.</w:t>
      </w:r>
      <w:r>
        <w:rPr>
          <w:szCs w:val="24"/>
          <w:lang w:val="fr-FR"/>
        </w:rPr>
        <w:t> </w:t>
      </w:r>
      <w:bookmarkEnd w:id="40"/>
      <w:r>
        <w:rPr>
          <w:szCs w:val="24"/>
          <w:lang w:val="fr-FR"/>
        </w:rPr>
        <w:t>».</w:t>
      </w:r>
    </w:p>
    <w:p w:rsidR="00124E6E" w:rsidRPr="00640C9E" w:rsidRDefault="00124E6E" w:rsidP="00A23C89">
      <w:pPr>
        <w:pStyle w:val="SingleTxtG"/>
        <w:tabs>
          <w:tab w:val="left" w:pos="2268"/>
        </w:tabs>
        <w:ind w:left="2259" w:hanging="1125"/>
        <w:rPr>
          <w:szCs w:val="24"/>
        </w:rPr>
      </w:pPr>
      <w:r>
        <w:t>2.2.7.2.4.1.4</w:t>
      </w:r>
      <w:r>
        <w:rPr>
          <w:szCs w:val="24"/>
          <w:lang w:val="fr-FR"/>
        </w:rPr>
        <w:t xml:space="preserve"> </w:t>
      </w:r>
      <w:r w:rsidRPr="00640C9E">
        <w:rPr>
          <w:szCs w:val="24"/>
          <w:lang w:val="fr-FR"/>
        </w:rPr>
        <w:tab/>
      </w:r>
      <w:r>
        <w:rPr>
          <w:szCs w:val="24"/>
          <w:lang w:val="fr-FR"/>
        </w:rPr>
        <w:t xml:space="preserve">À la fin du a), supprimer « et ». À la fin de l’alinéa b) ii), remplacer </w:t>
      </w:r>
      <w:proofErr w:type="gramStart"/>
      <w:r>
        <w:rPr>
          <w:szCs w:val="24"/>
          <w:lang w:val="fr-FR"/>
        </w:rPr>
        <w:t>« .</w:t>
      </w:r>
      <w:proofErr w:type="gramEnd"/>
      <w:r>
        <w:rPr>
          <w:szCs w:val="24"/>
          <w:lang w:val="fr-FR"/>
        </w:rPr>
        <w:t xml:space="preserve"> » par « ; et ». </w:t>
      </w:r>
      <w:r w:rsidRPr="00640C9E">
        <w:rPr>
          <w:szCs w:val="24"/>
          <w:lang w:val="fr-FR"/>
        </w:rPr>
        <w:t>Ajouter le nouvel alinéa c) suivant</w:t>
      </w:r>
      <w:r>
        <w:rPr>
          <w:szCs w:val="24"/>
          <w:lang w:val="fr-FR"/>
        </w:rPr>
        <w:t> :</w:t>
      </w:r>
    </w:p>
    <w:p w:rsidR="00124E6E" w:rsidRPr="00640C9E" w:rsidRDefault="00124E6E" w:rsidP="00124E6E">
      <w:pPr>
        <w:pStyle w:val="SingleTxtG"/>
        <w:tabs>
          <w:tab w:val="left" w:pos="2268"/>
        </w:tabs>
        <w:ind w:left="2268"/>
        <w:rPr>
          <w:szCs w:val="24"/>
        </w:rPr>
      </w:pPr>
      <w:r>
        <w:rPr>
          <w:szCs w:val="24"/>
          <w:lang w:val="fr-FR"/>
        </w:rPr>
        <w:t>« </w:t>
      </w:r>
      <w:bookmarkStart w:id="41" w:name="_Hlk2258870"/>
      <w:proofErr w:type="gramStart"/>
      <w:r w:rsidRPr="00640C9E">
        <w:rPr>
          <w:szCs w:val="24"/>
          <w:lang w:val="fr-FR"/>
        </w:rPr>
        <w:t>c</w:t>
      </w:r>
      <w:proofErr w:type="gramEnd"/>
      <w:r w:rsidRPr="00640C9E">
        <w:rPr>
          <w:szCs w:val="24"/>
          <w:lang w:val="fr-FR"/>
        </w:rPr>
        <w:t xml:space="preserve">) </w:t>
      </w:r>
      <w:r w:rsidRPr="00640C9E">
        <w:rPr>
          <w:szCs w:val="24"/>
          <w:lang w:val="fr-FR"/>
        </w:rPr>
        <w:tab/>
        <w:t>Si le colis contient des matières fissiles, il doit satisfaire à l</w:t>
      </w:r>
      <w:r>
        <w:rPr>
          <w:szCs w:val="24"/>
          <w:lang w:val="fr-FR"/>
        </w:rPr>
        <w:t>’</w:t>
      </w:r>
      <w:r w:rsidRPr="00640C9E">
        <w:rPr>
          <w:szCs w:val="24"/>
          <w:lang w:val="fr-FR"/>
        </w:rPr>
        <w:t xml:space="preserve">une des dispositions du </w:t>
      </w:r>
      <w:r>
        <w:rPr>
          <w:szCs w:val="24"/>
          <w:lang w:val="fr-FR"/>
        </w:rPr>
        <w:t>2.</w:t>
      </w:r>
      <w:r w:rsidRPr="00640C9E">
        <w:rPr>
          <w:szCs w:val="24"/>
          <w:lang w:val="fr-FR"/>
        </w:rPr>
        <w:t>2.7.2.3.5</w:t>
      </w:r>
      <w:r>
        <w:rPr>
          <w:szCs w:val="24"/>
          <w:lang w:val="fr-FR"/>
        </w:rPr>
        <w:t xml:space="preserve"> a) à f)</w:t>
      </w:r>
      <w:r w:rsidRPr="00640C9E">
        <w:rPr>
          <w:szCs w:val="24"/>
          <w:lang w:val="fr-FR"/>
        </w:rPr>
        <w:t>.</w:t>
      </w:r>
      <w:bookmarkEnd w:id="41"/>
      <w:r>
        <w:rPr>
          <w:szCs w:val="24"/>
          <w:lang w:val="fr-FR"/>
        </w:rPr>
        <w:t> ».</w:t>
      </w:r>
    </w:p>
    <w:p w:rsidR="00124E6E" w:rsidRPr="00640C9E" w:rsidRDefault="00124E6E" w:rsidP="00B926A4">
      <w:pPr>
        <w:pStyle w:val="SingleTxtG"/>
        <w:tabs>
          <w:tab w:val="left" w:pos="2268"/>
        </w:tabs>
        <w:ind w:left="2259" w:hanging="1125"/>
        <w:rPr>
          <w:szCs w:val="24"/>
        </w:rPr>
      </w:pPr>
      <w:r>
        <w:rPr>
          <w:lang w:eastAsia="en-GB"/>
        </w:rPr>
        <w:t>2.2.7.2.4.1.7</w:t>
      </w:r>
      <w:r w:rsidRPr="00640C9E">
        <w:rPr>
          <w:szCs w:val="24"/>
          <w:lang w:val="fr-FR"/>
        </w:rPr>
        <w:tab/>
      </w:r>
      <w:r>
        <w:rPr>
          <w:szCs w:val="24"/>
          <w:lang w:val="fr-FR"/>
        </w:rPr>
        <w:t xml:space="preserve">À </w:t>
      </w:r>
      <w:r w:rsidRPr="00640C9E">
        <w:rPr>
          <w:szCs w:val="24"/>
          <w:lang w:val="fr-FR"/>
        </w:rPr>
        <w:t xml:space="preserve">la fin </w:t>
      </w:r>
      <w:r>
        <w:rPr>
          <w:szCs w:val="24"/>
          <w:lang w:val="fr-FR"/>
        </w:rPr>
        <w:t xml:space="preserve">du c) ii), supprimer « et ». À la fin de l’alinéa d), remplacer </w:t>
      </w:r>
      <w:proofErr w:type="gramStart"/>
      <w:r>
        <w:rPr>
          <w:szCs w:val="24"/>
          <w:lang w:val="fr-FR"/>
        </w:rPr>
        <w:t>« .</w:t>
      </w:r>
      <w:proofErr w:type="gramEnd"/>
      <w:r>
        <w:rPr>
          <w:szCs w:val="24"/>
          <w:lang w:val="fr-FR"/>
        </w:rPr>
        <w:t> » par « ; et »</w:t>
      </w:r>
      <w:r w:rsidRPr="00640C9E">
        <w:rPr>
          <w:szCs w:val="24"/>
          <w:lang w:val="fr-FR"/>
        </w:rPr>
        <w:t>.</w:t>
      </w:r>
      <w:r w:rsidR="00B926A4">
        <w:rPr>
          <w:szCs w:val="24"/>
          <w:lang w:val="fr-FR"/>
        </w:rPr>
        <w:t xml:space="preserve"> </w:t>
      </w:r>
      <w:r w:rsidRPr="00640C9E">
        <w:rPr>
          <w:szCs w:val="24"/>
          <w:lang w:val="fr-FR"/>
        </w:rPr>
        <w:t>Ajouter le nouvel alinéa e) suivant</w:t>
      </w:r>
      <w:r>
        <w:rPr>
          <w:szCs w:val="24"/>
          <w:lang w:val="fr-FR"/>
        </w:rPr>
        <w:t> :</w:t>
      </w:r>
    </w:p>
    <w:p w:rsidR="00124E6E" w:rsidRPr="00640C9E" w:rsidRDefault="00124E6E" w:rsidP="00124E6E">
      <w:pPr>
        <w:pStyle w:val="SingleTxtG"/>
        <w:tabs>
          <w:tab w:val="left" w:pos="2268"/>
        </w:tabs>
        <w:ind w:left="2268"/>
        <w:rPr>
          <w:szCs w:val="24"/>
        </w:rPr>
      </w:pPr>
      <w:r>
        <w:rPr>
          <w:szCs w:val="24"/>
          <w:lang w:val="fr-FR"/>
        </w:rPr>
        <w:t>« </w:t>
      </w:r>
      <w:bookmarkStart w:id="42" w:name="_Hlk2258950"/>
      <w:proofErr w:type="gramStart"/>
      <w:r w:rsidRPr="00640C9E">
        <w:rPr>
          <w:szCs w:val="24"/>
          <w:lang w:val="fr-FR"/>
        </w:rPr>
        <w:t>e</w:t>
      </w:r>
      <w:proofErr w:type="gramEnd"/>
      <w:r w:rsidRPr="00640C9E">
        <w:rPr>
          <w:szCs w:val="24"/>
          <w:lang w:val="fr-FR"/>
        </w:rPr>
        <w:t>)</w:t>
      </w:r>
      <w:r w:rsidRPr="00640C9E">
        <w:rPr>
          <w:szCs w:val="24"/>
          <w:lang w:val="fr-FR"/>
        </w:rPr>
        <w:tab/>
        <w:t>Si le colis a contenu des matières fissiles, il doit satisfaire à l</w:t>
      </w:r>
      <w:r>
        <w:rPr>
          <w:szCs w:val="24"/>
          <w:lang w:val="fr-FR"/>
        </w:rPr>
        <w:t>’</w:t>
      </w:r>
      <w:r w:rsidRPr="00640C9E">
        <w:rPr>
          <w:szCs w:val="24"/>
          <w:lang w:val="fr-FR"/>
        </w:rPr>
        <w:t xml:space="preserve">une des dispositions du </w:t>
      </w:r>
      <w:r>
        <w:rPr>
          <w:szCs w:val="24"/>
          <w:lang w:val="fr-FR"/>
        </w:rPr>
        <w:t>2.</w:t>
      </w:r>
      <w:r w:rsidRPr="00640C9E">
        <w:rPr>
          <w:szCs w:val="24"/>
          <w:lang w:val="fr-FR"/>
        </w:rPr>
        <w:t xml:space="preserve">2.7.2.3.5 </w:t>
      </w:r>
      <w:r>
        <w:rPr>
          <w:szCs w:val="24"/>
          <w:lang w:val="fr-FR"/>
        </w:rPr>
        <w:t xml:space="preserve">a) à f) </w:t>
      </w:r>
      <w:r w:rsidRPr="00640C9E">
        <w:rPr>
          <w:szCs w:val="24"/>
          <w:lang w:val="fr-FR"/>
        </w:rPr>
        <w:t>ou à l</w:t>
      </w:r>
      <w:r>
        <w:rPr>
          <w:szCs w:val="24"/>
          <w:lang w:val="fr-FR"/>
        </w:rPr>
        <w:t>’</w:t>
      </w:r>
      <w:r w:rsidRPr="00640C9E">
        <w:rPr>
          <w:szCs w:val="24"/>
          <w:lang w:val="fr-FR"/>
        </w:rPr>
        <w:t>une des dispositions d</w:t>
      </w:r>
      <w:r>
        <w:rPr>
          <w:szCs w:val="24"/>
          <w:lang w:val="fr-FR"/>
        </w:rPr>
        <w:t>’</w:t>
      </w:r>
      <w:r w:rsidRPr="00640C9E">
        <w:rPr>
          <w:szCs w:val="24"/>
          <w:lang w:val="fr-FR"/>
        </w:rPr>
        <w:t xml:space="preserve">exclusion du </w:t>
      </w:r>
      <w:r>
        <w:rPr>
          <w:szCs w:val="24"/>
          <w:lang w:val="fr-FR"/>
        </w:rPr>
        <w:t>2.</w:t>
      </w:r>
      <w:r w:rsidRPr="00640C9E">
        <w:rPr>
          <w:szCs w:val="24"/>
          <w:lang w:val="fr-FR"/>
        </w:rPr>
        <w:t>2.7.1.3.</w:t>
      </w:r>
      <w:r>
        <w:rPr>
          <w:szCs w:val="24"/>
          <w:lang w:val="fr-FR"/>
        </w:rPr>
        <w:t> </w:t>
      </w:r>
      <w:bookmarkEnd w:id="42"/>
      <w:r>
        <w:rPr>
          <w:szCs w:val="24"/>
          <w:lang w:val="fr-FR"/>
        </w:rPr>
        <w:t>»</w:t>
      </w:r>
      <w:r w:rsidRPr="00640C9E">
        <w:rPr>
          <w:szCs w:val="24"/>
          <w:lang w:val="fr-FR"/>
        </w:rPr>
        <w:t>.</w:t>
      </w:r>
    </w:p>
    <w:p w:rsidR="00124E6E" w:rsidRPr="000C1189" w:rsidRDefault="00124E6E" w:rsidP="00A23C89">
      <w:pPr>
        <w:pStyle w:val="SingleTxtG"/>
        <w:tabs>
          <w:tab w:val="left" w:pos="2268"/>
        </w:tabs>
        <w:ind w:left="2259" w:hanging="1125"/>
      </w:pPr>
      <w:r>
        <w:t>2.2.8.1.1</w:t>
      </w:r>
      <w:r>
        <w:tab/>
        <w:t>Remplacer « engins de transport » par « matériels de transport ».</w:t>
      </w:r>
    </w:p>
    <w:p w:rsidR="00124E6E" w:rsidRDefault="00124E6E" w:rsidP="00A23C89">
      <w:pPr>
        <w:pStyle w:val="SingleTxtG"/>
        <w:tabs>
          <w:tab w:val="left" w:pos="2268"/>
        </w:tabs>
        <w:ind w:left="2259" w:hanging="1125"/>
      </w:pPr>
      <w:r>
        <w:rPr>
          <w:lang w:eastAsia="en-GB"/>
        </w:rPr>
        <w:t>2.2.8.1.5.2</w:t>
      </w:r>
      <w:r>
        <w:tab/>
      </w:r>
      <w:r>
        <w:tab/>
        <w:t>Le premier amendement au texte en anglais est sans objet en français. Dans la deuxième phrase, remplacer « conformément à la Ligne directrice de l’OCDE 404</w:t>
      </w:r>
      <w:r>
        <w:rPr>
          <w:vertAlign w:val="superscript"/>
        </w:rPr>
        <w:t>5</w:t>
      </w:r>
      <w:r>
        <w:t>, ou 435</w:t>
      </w:r>
      <w:r>
        <w:rPr>
          <w:vertAlign w:val="superscript"/>
        </w:rPr>
        <w:t>6</w:t>
      </w:r>
      <w:r>
        <w:t> » par « </w:t>
      </w:r>
      <w:bookmarkStart w:id="43" w:name="_Hlk2259932"/>
      <w:r>
        <w:t>conformément aux Lignes directrices de l’OCDE</w:t>
      </w:r>
      <w:r>
        <w:rPr>
          <w:vertAlign w:val="superscript"/>
        </w:rPr>
        <w:t>5,6,7,8</w:t>
      </w:r>
      <w:r>
        <w:t>.</w:t>
      </w:r>
      <w:bookmarkEnd w:id="43"/>
      <w:r>
        <w:t xml:space="preserve"> ». </w:t>
      </w:r>
    </w:p>
    <w:p w:rsidR="00124E6E" w:rsidRDefault="00B926A4" w:rsidP="00A23C89">
      <w:pPr>
        <w:pStyle w:val="SingleTxtG"/>
        <w:tabs>
          <w:tab w:val="left" w:pos="2268"/>
        </w:tabs>
        <w:ind w:left="2259" w:hanging="1125"/>
      </w:pPr>
      <w:r>
        <w:tab/>
      </w:r>
      <w:r w:rsidR="00124E6E">
        <w:t>Dans la troisième phrase, remplacer « à la Ligne directrice de l’OCDE 430</w:t>
      </w:r>
      <w:r w:rsidR="00124E6E">
        <w:rPr>
          <w:vertAlign w:val="superscript"/>
        </w:rPr>
        <w:t>7</w:t>
      </w:r>
      <w:r w:rsidR="00124E6E" w:rsidRPr="00F86888">
        <w:rPr>
          <w:vertAlign w:val="superscript"/>
        </w:rPr>
        <w:t xml:space="preserve"> </w:t>
      </w:r>
      <w:r w:rsidR="00124E6E">
        <w:t>ou 431</w:t>
      </w:r>
      <w:r w:rsidR="00124E6E">
        <w:rPr>
          <w:vertAlign w:val="superscript"/>
        </w:rPr>
        <w:t>8</w:t>
      </w:r>
      <w:r w:rsidR="00124E6E">
        <w:t> » par « </w:t>
      </w:r>
      <w:bookmarkStart w:id="44" w:name="_Hlk2260120"/>
      <w:r w:rsidR="00124E6E">
        <w:t>aux Lignes directrices de l’OCDE</w:t>
      </w:r>
      <w:r w:rsidR="00124E6E">
        <w:rPr>
          <w:vertAlign w:val="superscript"/>
        </w:rPr>
        <w:t>5,6,7,8</w:t>
      </w:r>
      <w:r w:rsidR="00124E6E">
        <w:t> </w:t>
      </w:r>
      <w:bookmarkEnd w:id="44"/>
      <w:r w:rsidR="00124E6E">
        <w:t xml:space="preserve">». </w:t>
      </w:r>
    </w:p>
    <w:p w:rsidR="00124E6E" w:rsidRDefault="00B926A4" w:rsidP="00A23C89">
      <w:pPr>
        <w:pStyle w:val="SingleTxtG"/>
        <w:tabs>
          <w:tab w:val="left" w:pos="2268"/>
        </w:tabs>
        <w:ind w:left="2259" w:hanging="1125"/>
      </w:pPr>
      <w:r>
        <w:tab/>
      </w:r>
      <w:r w:rsidR="00124E6E" w:rsidRPr="00181243">
        <w:t xml:space="preserve">Supprimer la note de bas de page </w:t>
      </w:r>
      <w:r w:rsidR="00124E6E">
        <w:t>8</w:t>
      </w:r>
      <w:r w:rsidR="00124E6E" w:rsidRPr="00181243">
        <w:t xml:space="preserve"> existante et numéroter la note de bas de page </w:t>
      </w:r>
      <w:r w:rsidR="00124E6E">
        <w:t>7</w:t>
      </w:r>
      <w:r w:rsidR="00124E6E" w:rsidRPr="00181243">
        <w:t xml:space="preserve"> actuelle en tant que note de bas de page </w:t>
      </w:r>
      <w:r w:rsidR="00124E6E">
        <w:t>8</w:t>
      </w:r>
      <w:r w:rsidR="00124E6E" w:rsidRPr="00181243">
        <w:t xml:space="preserve">. </w:t>
      </w:r>
      <w:r w:rsidR="00124E6E">
        <w:t xml:space="preserve"> Le deuxième amendement au texte en anglais est sans objet en français. </w:t>
      </w:r>
    </w:p>
    <w:p w:rsidR="00124E6E" w:rsidRDefault="00B926A4" w:rsidP="00A23C89">
      <w:pPr>
        <w:pStyle w:val="SingleTxtG"/>
        <w:tabs>
          <w:tab w:val="left" w:pos="2268"/>
        </w:tabs>
        <w:ind w:left="2259" w:hanging="1125"/>
      </w:pPr>
      <w:r>
        <w:lastRenderedPageBreak/>
        <w:tab/>
      </w:r>
      <w:r w:rsidR="00124E6E" w:rsidRPr="00344342">
        <w:t xml:space="preserve">Insérer la nouvelle note de bas de page </w:t>
      </w:r>
      <w:r w:rsidR="00124E6E">
        <w:t>7</w:t>
      </w:r>
      <w:r w:rsidR="00124E6E" w:rsidRPr="00344342">
        <w:t xml:space="preserve"> pour lire comme suit : « </w:t>
      </w:r>
      <w:bookmarkStart w:id="45" w:name="_Hlk2260170"/>
      <w:r w:rsidR="00124E6E">
        <w:rPr>
          <w:vertAlign w:val="superscript"/>
        </w:rPr>
        <w:t>7</w:t>
      </w:r>
      <w:r w:rsidR="00124E6E" w:rsidRPr="00344342">
        <w:t xml:space="preserve"> </w:t>
      </w:r>
      <w:r w:rsidR="00124E6E" w:rsidRPr="00344342">
        <w:rPr>
          <w:i/>
          <w:iCs/>
        </w:rPr>
        <w:t>Ligne directrice de l’OCDE pour les essais de produits chimiques n°</w:t>
      </w:r>
      <w:r w:rsidR="00124E6E">
        <w:rPr>
          <w:i/>
          <w:iCs/>
        </w:rPr>
        <w:t> </w:t>
      </w:r>
      <w:r w:rsidR="00124E6E" w:rsidRPr="00344342">
        <w:rPr>
          <w:i/>
          <w:iCs/>
        </w:rPr>
        <w:t>431 “Corrosion cutanée in vitro : essai sur modèle de peau humaine”, 2016. </w:t>
      </w:r>
      <w:bookmarkEnd w:id="45"/>
      <w:r w:rsidR="00124E6E" w:rsidRPr="00344342">
        <w:t>».</w:t>
      </w:r>
      <w:r w:rsidR="00124E6E">
        <w:t xml:space="preserve"> </w:t>
      </w:r>
    </w:p>
    <w:p w:rsidR="00124E6E" w:rsidRDefault="00B926A4" w:rsidP="00A23C89">
      <w:pPr>
        <w:pStyle w:val="SingleTxtG"/>
        <w:tabs>
          <w:tab w:val="left" w:pos="2268"/>
        </w:tabs>
        <w:ind w:left="2259" w:hanging="1125"/>
      </w:pPr>
      <w:r>
        <w:tab/>
      </w:r>
      <w:r w:rsidR="00124E6E">
        <w:t>À la fin du paragraphe, ajouter la nouvelle phrase suivante : « </w:t>
      </w:r>
      <w:bookmarkStart w:id="46" w:name="_Hlk2264116"/>
      <w:r w:rsidR="00124E6E" w:rsidRPr="003E6BA4">
        <w:t xml:space="preserve">Lorsque les résultats de l’essai </w:t>
      </w:r>
      <w:r w:rsidR="00124E6E" w:rsidRPr="003E6BA4">
        <w:rPr>
          <w:i/>
        </w:rPr>
        <w:t>in vitro</w:t>
      </w:r>
      <w:r w:rsidR="00124E6E" w:rsidRPr="003E6BA4">
        <w:t xml:space="preserve"> indiquent que la matière est corrosive</w:t>
      </w:r>
      <w:r w:rsidR="00124E6E">
        <w:t xml:space="preserve"> et non-affectée au groupe d’emballage I</w:t>
      </w:r>
      <w:r w:rsidR="00124E6E" w:rsidRPr="003E6BA4">
        <w:t>, mais que l’essai ne permet pas d’attribuer les matières soit au groupe II, soit au groupe III, on privilégiera le groupe d’emballage II.</w:t>
      </w:r>
      <w:r w:rsidR="00124E6E">
        <w:t> </w:t>
      </w:r>
      <w:bookmarkEnd w:id="46"/>
      <w:r w:rsidR="00124E6E">
        <w:t>».</w:t>
      </w:r>
    </w:p>
    <w:p w:rsidR="00124E6E" w:rsidRDefault="00124E6E" w:rsidP="00A23C89">
      <w:pPr>
        <w:pStyle w:val="SingleTxtG"/>
        <w:tabs>
          <w:tab w:val="left" w:pos="2268"/>
        </w:tabs>
        <w:ind w:left="2259" w:hanging="1125"/>
      </w:pPr>
      <w:r>
        <w:t>2.2.8.1.6.3.3</w:t>
      </w:r>
      <w:r>
        <w:tab/>
        <w:t>À la fin, ajouter la nouvelle phrase suivante : « Pour cette méthode de calcul, les limites de concentration génériques s’appliquent lorsque la valeur 1 % est utilisé dans la première étape pour l’évaluation des matières du groupe d’emballage I et puis 5 % est utilisé pour les étapes suivantes. ».</w:t>
      </w:r>
    </w:p>
    <w:p w:rsidR="00124E6E" w:rsidRDefault="00124E6E" w:rsidP="00A23C89">
      <w:pPr>
        <w:pStyle w:val="SingleTxtG"/>
        <w:tabs>
          <w:tab w:val="left" w:pos="2268"/>
        </w:tabs>
        <w:ind w:left="2259" w:hanging="1125"/>
        <w:rPr>
          <w:i/>
          <w:iCs/>
          <w:szCs w:val="24"/>
        </w:rPr>
      </w:pPr>
      <w:r w:rsidRPr="001242C6">
        <w:rPr>
          <w:i/>
          <w:iCs/>
          <w:szCs w:val="24"/>
        </w:rPr>
        <w:t>(Correction à la vingtième édition révisée du Règlement type)</w:t>
      </w:r>
    </w:p>
    <w:p w:rsidR="00124E6E" w:rsidRPr="00AB7C1B" w:rsidRDefault="00124E6E" w:rsidP="00A23C89">
      <w:pPr>
        <w:pStyle w:val="SingleTxtG"/>
        <w:tabs>
          <w:tab w:val="left" w:pos="2268"/>
        </w:tabs>
        <w:ind w:left="2259" w:hanging="1125"/>
        <w:rPr>
          <w:szCs w:val="24"/>
        </w:rPr>
      </w:pPr>
      <w:r>
        <w:rPr>
          <w:szCs w:val="24"/>
        </w:rPr>
        <w:t>2.2.8.1.6.3.4</w:t>
      </w:r>
      <w:r>
        <w:rPr>
          <w:szCs w:val="24"/>
        </w:rPr>
        <w:tab/>
        <w:t>Supprimer la dernière phrase.</w:t>
      </w:r>
    </w:p>
    <w:p w:rsidR="00124E6E" w:rsidRDefault="00124E6E" w:rsidP="00124E6E">
      <w:pPr>
        <w:pStyle w:val="SingleTxtG"/>
        <w:tabs>
          <w:tab w:val="left" w:pos="2268"/>
        </w:tabs>
        <w:rPr>
          <w:i/>
          <w:iCs/>
          <w:szCs w:val="24"/>
        </w:rPr>
      </w:pPr>
      <w:r w:rsidRPr="001242C6">
        <w:rPr>
          <w:i/>
          <w:iCs/>
          <w:szCs w:val="24"/>
        </w:rPr>
        <w:t>(Correction à la vingtième édition révisée du Règlement type)</w:t>
      </w:r>
    </w:p>
    <w:p w:rsidR="00124E6E" w:rsidRDefault="00124E6E" w:rsidP="00A23C89">
      <w:pPr>
        <w:pStyle w:val="SingleTxtG"/>
        <w:tabs>
          <w:tab w:val="left" w:pos="2268"/>
        </w:tabs>
        <w:ind w:left="2259" w:hanging="1125"/>
        <w:rPr>
          <w:lang w:val="fr-FR"/>
        </w:rPr>
      </w:pPr>
      <w:r>
        <w:rPr>
          <w:lang w:val="fr-FR"/>
        </w:rPr>
        <w:t>2.2.9.3</w:t>
      </w:r>
      <w:r>
        <w:rPr>
          <w:lang w:val="fr-FR"/>
        </w:rPr>
        <w:tab/>
        <w:t>Pour M11 « Autres matières et objets présentant un danger au cours du transport… », après « </w:t>
      </w:r>
      <w:r w:rsidRPr="005139AD">
        <w:rPr>
          <w:lang w:val="fr-FR"/>
        </w:rPr>
        <w:t>3359 ENGIN DE TRANSPORT SOUS FUMIGATION</w:t>
      </w:r>
      <w:r>
        <w:rPr>
          <w:lang w:val="fr-FR"/>
        </w:rPr>
        <w:t> » ajouter « </w:t>
      </w:r>
      <w:bookmarkStart w:id="47" w:name="_Hlk2264231"/>
      <w:r>
        <w:rPr>
          <w:lang w:val="fr-FR"/>
        </w:rPr>
        <w:t xml:space="preserve">3363 </w:t>
      </w:r>
      <w:r w:rsidRPr="005139AD">
        <w:rPr>
          <w:lang w:val="fr-FR"/>
        </w:rPr>
        <w:t>MARCHANDISES DANGEREUSES CONTENUES DANS DES</w:t>
      </w:r>
      <w:r>
        <w:rPr>
          <w:lang w:val="fr-FR"/>
        </w:rPr>
        <w:t xml:space="preserve"> OBJETS </w:t>
      </w:r>
      <w:proofErr w:type="gramStart"/>
      <w:r>
        <w:rPr>
          <w:lang w:val="fr-FR"/>
        </w:rPr>
        <w:t>ou </w:t>
      </w:r>
      <w:bookmarkEnd w:id="47"/>
      <w:r>
        <w:rPr>
          <w:lang w:val="fr-FR"/>
        </w:rPr>
        <w:t>»</w:t>
      </w:r>
      <w:proofErr w:type="gramEnd"/>
      <w:r>
        <w:rPr>
          <w:lang w:val="fr-FR"/>
        </w:rPr>
        <w:t>.</w:t>
      </w:r>
    </w:p>
    <w:p w:rsidR="00124E6E" w:rsidRDefault="00124E6E" w:rsidP="00124E6E">
      <w:pPr>
        <w:pStyle w:val="H1G"/>
        <w:rPr>
          <w:lang w:val="fr-FR"/>
        </w:rPr>
      </w:pPr>
      <w:r w:rsidRPr="006B0E45">
        <w:rPr>
          <w:lang w:val="fr-FR"/>
        </w:rPr>
        <w:tab/>
      </w:r>
      <w:r w:rsidRPr="006B0E45">
        <w:rPr>
          <w:lang w:val="fr-FR"/>
        </w:rPr>
        <w:tab/>
        <w:t>Chapitre 3.</w:t>
      </w:r>
      <w:r>
        <w:rPr>
          <w:lang w:val="fr-FR"/>
        </w:rPr>
        <w:t>1</w:t>
      </w:r>
    </w:p>
    <w:p w:rsidR="00124E6E" w:rsidRPr="009101F9" w:rsidRDefault="00124E6E" w:rsidP="00A23C89">
      <w:pPr>
        <w:pStyle w:val="SingleTxtG"/>
        <w:tabs>
          <w:tab w:val="left" w:pos="2268"/>
        </w:tabs>
        <w:ind w:left="2259" w:hanging="1125"/>
      </w:pPr>
      <w:r>
        <w:t>3.1.2.8.1.4</w:t>
      </w:r>
      <w:r w:rsidRPr="009101F9">
        <w:tab/>
      </w:r>
      <w:r>
        <w:t>Ajouter le nouveau paragraphe 3.1.2.8.1.4 suivant :</w:t>
      </w:r>
    </w:p>
    <w:p w:rsidR="00124E6E" w:rsidRPr="00EC3ED0" w:rsidRDefault="00124E6E" w:rsidP="00A23C89">
      <w:pPr>
        <w:pStyle w:val="SingleTxtG"/>
        <w:tabs>
          <w:tab w:val="left" w:pos="2268"/>
        </w:tabs>
        <w:ind w:left="2259" w:hanging="1125"/>
      </w:pPr>
      <w:r w:rsidRPr="00EC3ED0">
        <w:t>« </w:t>
      </w:r>
      <w:r>
        <w:t>3.1.2.8.1.4</w:t>
      </w:r>
      <w:r>
        <w:tab/>
      </w:r>
      <w:r w:rsidRPr="00EC3ED0">
        <w:t xml:space="preserve">Pour les Nos ONU 3077 et 3082 seulement, le nom technique peut être un nom </w:t>
      </w:r>
      <w:r>
        <w:t>figurant</w:t>
      </w:r>
      <w:r w:rsidRPr="00EC3ED0">
        <w:t xml:space="preserve"> en lettres majuscules dans la colonne 2 </w:t>
      </w:r>
      <w:r>
        <w:t>du tableau A du chapitre 3.2</w:t>
      </w:r>
      <w:r w:rsidRPr="00EC3ED0">
        <w:t>, sous réserve que ce nom ne contienne pas « </w:t>
      </w:r>
      <w:r w:rsidRPr="00EB4D25">
        <w:t>N.S.A. » et que la disposition spéciale 274 ne [lui] soit pas attribuée. Le nom qui décrit au mieux la substance ou le mélange doit être utilisé, par exemple :</w:t>
      </w:r>
      <w:r w:rsidRPr="00EC3ED0">
        <w:t xml:space="preserve"> </w:t>
      </w:r>
    </w:p>
    <w:p w:rsidR="00124E6E" w:rsidRPr="00EC3ED0" w:rsidRDefault="00B926A4" w:rsidP="00A23C89">
      <w:pPr>
        <w:pStyle w:val="SingleTxtG"/>
        <w:tabs>
          <w:tab w:val="left" w:pos="2268"/>
        </w:tabs>
        <w:ind w:left="2259" w:hanging="1125"/>
      </w:pPr>
      <w:r>
        <w:tab/>
      </w:r>
      <w:r>
        <w:tab/>
      </w:r>
      <w:r w:rsidR="00124E6E">
        <w:t>UN</w:t>
      </w:r>
      <w:r w:rsidR="00124E6E" w:rsidRPr="00EC3ED0">
        <w:t xml:space="preserve"> 3082, MATI</w:t>
      </w:r>
      <w:r w:rsidR="00124E6E">
        <w:t>È</w:t>
      </w:r>
      <w:r w:rsidR="00124E6E" w:rsidRPr="00EC3ED0">
        <w:t>RE DANGEREUSE DU POINT DE VUE DE L’ENVIRONNEMENT, LIQUIDE, N.S.A (</w:t>
      </w:r>
      <w:r w:rsidR="00124E6E">
        <w:t>PEINTURE</w:t>
      </w:r>
      <w:r w:rsidR="00124E6E" w:rsidRPr="00EC3ED0">
        <w:t>)</w:t>
      </w:r>
    </w:p>
    <w:p w:rsidR="00124E6E" w:rsidRPr="003C7EF7" w:rsidRDefault="00B926A4" w:rsidP="00A23C89">
      <w:pPr>
        <w:pStyle w:val="SingleTxtG"/>
        <w:tabs>
          <w:tab w:val="left" w:pos="2268"/>
        </w:tabs>
        <w:ind w:left="2259" w:hanging="1125"/>
      </w:pPr>
      <w:r>
        <w:tab/>
      </w:r>
      <w:r w:rsidR="00124E6E">
        <w:t xml:space="preserve">UN </w:t>
      </w:r>
      <w:r w:rsidR="00124E6E" w:rsidRPr="00EC3ED0">
        <w:t>3082, MATI</w:t>
      </w:r>
      <w:r w:rsidR="00124E6E">
        <w:t>È</w:t>
      </w:r>
      <w:r w:rsidR="00124E6E" w:rsidRPr="00EC3ED0">
        <w:t>RE DANGEREUSE DU POINT DE VUE DE L’ENVIRONNEMENT, LIQUIDE, N.S.A (</w:t>
      </w:r>
      <w:r w:rsidR="00124E6E">
        <w:t>PRODUITS DE PARFUMERIE</w:t>
      </w:r>
      <w:r w:rsidR="00124E6E" w:rsidRPr="00EC3ED0">
        <w:t>)</w:t>
      </w:r>
      <w:r w:rsidR="00124E6E">
        <w:t> ».</w:t>
      </w:r>
    </w:p>
    <w:p w:rsidR="00124E6E" w:rsidRDefault="00124E6E" w:rsidP="00124E6E">
      <w:pPr>
        <w:pStyle w:val="H1G"/>
        <w:rPr>
          <w:lang w:val="fr-FR"/>
        </w:rPr>
      </w:pPr>
      <w:r w:rsidRPr="006B0E45">
        <w:rPr>
          <w:lang w:val="fr-FR"/>
        </w:rPr>
        <w:tab/>
      </w:r>
      <w:r w:rsidRPr="006B0E45">
        <w:rPr>
          <w:lang w:val="fr-FR"/>
        </w:rPr>
        <w:tab/>
        <w:t>Chapitre 3.2</w:t>
      </w:r>
      <w:r>
        <w:rPr>
          <w:iCs/>
          <w:lang w:val="fr-FR"/>
        </w:rPr>
        <w:t>, tableau A</w:t>
      </w:r>
    </w:p>
    <w:p w:rsidR="00124E6E" w:rsidRDefault="00124E6E" w:rsidP="00A23C89">
      <w:pPr>
        <w:pStyle w:val="SingleTxtG"/>
        <w:tabs>
          <w:tab w:val="left" w:pos="2268"/>
        </w:tabs>
        <w:ind w:left="2259" w:hanging="1125"/>
        <w:rPr>
          <w:iCs/>
          <w:lang w:val="fr-FR"/>
        </w:rPr>
      </w:pPr>
      <w:r w:rsidRPr="0078524D">
        <w:rPr>
          <w:iCs/>
          <w:lang w:val="fr-FR"/>
        </w:rPr>
        <w:t>Insérer l</w:t>
      </w:r>
      <w:r>
        <w:rPr>
          <w:iCs/>
          <w:lang w:val="fr-FR"/>
        </w:rPr>
        <w:t>es</w:t>
      </w:r>
      <w:r w:rsidRPr="0078524D">
        <w:rPr>
          <w:iCs/>
          <w:lang w:val="fr-FR"/>
        </w:rPr>
        <w:t xml:space="preserve"> nouvelle</w:t>
      </w:r>
      <w:r>
        <w:rPr>
          <w:iCs/>
          <w:lang w:val="fr-FR"/>
        </w:rPr>
        <w:t>s</w:t>
      </w:r>
      <w:r w:rsidRPr="0078524D">
        <w:rPr>
          <w:iCs/>
          <w:lang w:val="fr-FR"/>
        </w:rPr>
        <w:t xml:space="preserve"> rubrique</w:t>
      </w:r>
      <w:r>
        <w:rPr>
          <w:iCs/>
          <w:lang w:val="fr-FR"/>
        </w:rPr>
        <w:t xml:space="preserve">s suivantes </w:t>
      </w:r>
      <w:r w:rsidRPr="0078524D">
        <w:rPr>
          <w:iCs/>
          <w:lang w:val="fr-FR"/>
        </w:rPr>
        <w:t>:</w:t>
      </w:r>
    </w:p>
    <w:p w:rsidR="00124E6E" w:rsidRPr="00EB4D25" w:rsidRDefault="00124E6E" w:rsidP="00124E6E">
      <w:pPr>
        <w:pStyle w:val="SingleTxtG"/>
        <w:rPr>
          <w:b/>
          <w:iCs/>
          <w:lang w:val="fr-FR"/>
        </w:rPr>
      </w:pPr>
      <w:r w:rsidRPr="00EB4D25">
        <w:rPr>
          <w:b/>
          <w:iCs/>
          <w:lang w:val="fr-FR"/>
        </w:rPr>
        <w:t>(ADN :)</w:t>
      </w:r>
    </w:p>
    <w:tbl>
      <w:tblPr>
        <w:tblW w:w="4629"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7"/>
        <w:gridCol w:w="3587"/>
        <w:gridCol w:w="610"/>
        <w:gridCol w:w="278"/>
        <w:gridCol w:w="365"/>
        <w:gridCol w:w="569"/>
        <w:gridCol w:w="373"/>
        <w:gridCol w:w="342"/>
        <w:gridCol w:w="761"/>
        <w:gridCol w:w="285"/>
        <w:gridCol w:w="317"/>
        <w:gridCol w:w="310"/>
        <w:gridCol w:w="310"/>
        <w:gridCol w:w="310"/>
      </w:tblGrid>
      <w:tr w:rsidR="00124E6E" w:rsidTr="00B926A4">
        <w:trPr>
          <w:trHeight w:hRule="exact" w:val="370"/>
          <w:tblHeader/>
        </w:trPr>
        <w:tc>
          <w:tcPr>
            <w:tcW w:w="27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lang w:val="en-GB"/>
              </w:rPr>
            </w:pPr>
            <w:r>
              <w:rPr>
                <w:rFonts w:asciiTheme="majorBidi" w:hAnsiTheme="majorBidi" w:cstheme="majorBidi"/>
                <w:bCs/>
                <w:sz w:val="18"/>
                <w:szCs w:val="18"/>
              </w:rPr>
              <w:t>(1)</w:t>
            </w:r>
          </w:p>
        </w:tc>
        <w:tc>
          <w:tcPr>
            <w:tcW w:w="201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rPr>
            </w:pPr>
            <w:r>
              <w:rPr>
                <w:rFonts w:asciiTheme="majorBidi" w:hAnsiTheme="majorBidi" w:cstheme="majorBidi"/>
                <w:bCs/>
                <w:sz w:val="18"/>
                <w:szCs w:val="18"/>
              </w:rPr>
              <w:t>(2)</w:t>
            </w:r>
          </w:p>
        </w:tc>
        <w:tc>
          <w:tcPr>
            <w:tcW w:w="34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rPr>
            </w:pPr>
            <w:r>
              <w:rPr>
                <w:rFonts w:asciiTheme="majorBidi" w:hAnsiTheme="majorBidi" w:cstheme="majorBidi"/>
                <w:bCs/>
                <w:sz w:val="18"/>
                <w:szCs w:val="18"/>
              </w:rPr>
              <w:t>(3)</w:t>
            </w:r>
          </w:p>
        </w:tc>
        <w:tc>
          <w:tcPr>
            <w:tcW w:w="156"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rPr>
            </w:pPr>
            <w:r>
              <w:rPr>
                <w:rFonts w:asciiTheme="majorBidi" w:hAnsiTheme="majorBidi" w:cstheme="majorBidi"/>
                <w:bCs/>
                <w:sz w:val="18"/>
                <w:szCs w:val="18"/>
              </w:rPr>
              <w:t>(4)</w:t>
            </w:r>
          </w:p>
        </w:tc>
        <w:tc>
          <w:tcPr>
            <w:tcW w:w="205"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rPr>
            </w:pPr>
            <w:r>
              <w:rPr>
                <w:rFonts w:asciiTheme="majorBidi" w:hAnsiTheme="majorBidi" w:cstheme="majorBidi"/>
                <w:bCs/>
                <w:sz w:val="18"/>
                <w:szCs w:val="18"/>
              </w:rPr>
              <w:t>(5)</w:t>
            </w:r>
          </w:p>
        </w:tc>
        <w:tc>
          <w:tcPr>
            <w:tcW w:w="31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rPr>
            </w:pPr>
            <w:r>
              <w:rPr>
                <w:rFonts w:asciiTheme="majorBidi" w:hAnsiTheme="majorBidi" w:cstheme="majorBidi"/>
                <w:bCs/>
                <w:sz w:val="18"/>
                <w:szCs w:val="18"/>
              </w:rPr>
              <w:t>(6)</w:t>
            </w:r>
          </w:p>
        </w:tc>
        <w:tc>
          <w:tcPr>
            <w:tcW w:w="20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rPr>
            </w:pPr>
            <w:r>
              <w:rPr>
                <w:rFonts w:asciiTheme="majorBidi" w:hAnsiTheme="majorBidi" w:cstheme="majorBidi"/>
                <w:bCs/>
                <w:sz w:val="18"/>
                <w:szCs w:val="18"/>
              </w:rPr>
              <w:t>(7a)</w:t>
            </w:r>
          </w:p>
        </w:tc>
        <w:tc>
          <w:tcPr>
            <w:tcW w:w="19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rPr>
            </w:pPr>
            <w:r>
              <w:rPr>
                <w:rFonts w:asciiTheme="majorBidi" w:hAnsiTheme="majorBidi" w:cstheme="majorBidi"/>
                <w:bCs/>
                <w:sz w:val="18"/>
                <w:szCs w:val="18"/>
              </w:rPr>
              <w:t>(7b)</w:t>
            </w:r>
          </w:p>
        </w:tc>
        <w:tc>
          <w:tcPr>
            <w:tcW w:w="427"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rPr>
            </w:pPr>
            <w:r>
              <w:rPr>
                <w:rFonts w:asciiTheme="majorBidi" w:hAnsiTheme="majorBidi" w:cstheme="majorBidi"/>
                <w:bCs/>
                <w:sz w:val="18"/>
                <w:szCs w:val="18"/>
              </w:rPr>
              <w:t>(8)</w:t>
            </w:r>
          </w:p>
        </w:tc>
        <w:tc>
          <w:tcPr>
            <w:tcW w:w="160"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rPr>
            </w:pPr>
            <w:r>
              <w:rPr>
                <w:rFonts w:asciiTheme="majorBidi" w:hAnsiTheme="majorBidi" w:cstheme="majorBidi"/>
                <w:bCs/>
                <w:sz w:val="18"/>
                <w:szCs w:val="18"/>
              </w:rPr>
              <w:t>(9)</w:t>
            </w:r>
          </w:p>
        </w:tc>
        <w:tc>
          <w:tcPr>
            <w:tcW w:w="178"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rPr>
            </w:pPr>
            <w:r>
              <w:rPr>
                <w:rFonts w:asciiTheme="majorBidi" w:hAnsiTheme="majorBidi" w:cstheme="majorBidi"/>
                <w:bCs/>
                <w:sz w:val="18"/>
                <w:szCs w:val="18"/>
              </w:rPr>
              <w:t>(10)</w:t>
            </w:r>
          </w:p>
        </w:tc>
        <w:tc>
          <w:tcPr>
            <w:tcW w:w="174"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iCs/>
                <w:sz w:val="18"/>
                <w:szCs w:val="18"/>
              </w:rPr>
            </w:pPr>
            <w:r>
              <w:rPr>
                <w:rFonts w:asciiTheme="majorBidi" w:hAnsiTheme="majorBidi" w:cstheme="majorBidi"/>
                <w:bCs/>
                <w:iCs/>
                <w:sz w:val="18"/>
                <w:szCs w:val="18"/>
              </w:rPr>
              <w:t>(11)</w:t>
            </w:r>
          </w:p>
        </w:tc>
        <w:tc>
          <w:tcPr>
            <w:tcW w:w="174"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iCs/>
                <w:sz w:val="18"/>
                <w:szCs w:val="18"/>
              </w:rPr>
            </w:pPr>
            <w:r>
              <w:rPr>
                <w:rFonts w:asciiTheme="majorBidi" w:hAnsiTheme="majorBidi" w:cstheme="majorBidi"/>
                <w:bCs/>
                <w:iCs/>
                <w:sz w:val="18"/>
                <w:szCs w:val="18"/>
              </w:rPr>
              <w:t>(12)</w:t>
            </w:r>
          </w:p>
        </w:tc>
        <w:tc>
          <w:tcPr>
            <w:tcW w:w="174"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iCs/>
                <w:sz w:val="18"/>
                <w:szCs w:val="18"/>
              </w:rPr>
            </w:pPr>
            <w:r>
              <w:rPr>
                <w:rFonts w:asciiTheme="majorBidi" w:hAnsiTheme="majorBidi" w:cstheme="majorBidi"/>
                <w:bCs/>
                <w:iCs/>
                <w:sz w:val="18"/>
                <w:szCs w:val="18"/>
              </w:rPr>
              <w:t>(13)</w:t>
            </w:r>
          </w:p>
        </w:tc>
      </w:tr>
      <w:tr w:rsidR="00124E6E" w:rsidTr="00124E6E">
        <w:trPr>
          <w:trHeight w:hRule="exact" w:val="775"/>
        </w:trPr>
        <w:tc>
          <w:tcPr>
            <w:tcW w:w="27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rPr>
            </w:pPr>
            <w:r>
              <w:rPr>
                <w:rFonts w:asciiTheme="majorBidi" w:hAnsiTheme="majorBidi" w:cstheme="majorBidi"/>
                <w:bCs/>
                <w:sz w:val="18"/>
                <w:szCs w:val="18"/>
              </w:rPr>
              <w:t>0511</w:t>
            </w:r>
          </w:p>
        </w:tc>
        <w:tc>
          <w:tcPr>
            <w:tcW w:w="2012" w:type="pct"/>
            <w:tcBorders>
              <w:top w:val="single" w:sz="4" w:space="0" w:color="000000"/>
              <w:left w:val="single" w:sz="4" w:space="0" w:color="000000"/>
              <w:bottom w:val="single" w:sz="4" w:space="0" w:color="000000"/>
              <w:right w:val="single" w:sz="4" w:space="0" w:color="000000"/>
            </w:tcBorders>
            <w:hideMark/>
          </w:tcPr>
          <w:p w:rsidR="00124E6E" w:rsidRPr="00455982" w:rsidRDefault="00124E6E" w:rsidP="00124E6E">
            <w:pPr>
              <w:pStyle w:val="TableParagraph"/>
              <w:spacing w:before="6"/>
              <w:ind w:left="6" w:right="6"/>
              <w:jc w:val="left"/>
              <w:rPr>
                <w:rFonts w:asciiTheme="majorBidi" w:hAnsiTheme="majorBidi" w:cstheme="majorBidi"/>
                <w:b/>
                <w:sz w:val="18"/>
                <w:szCs w:val="18"/>
                <w:lang w:val="fr-FR"/>
              </w:rPr>
            </w:pPr>
            <w:r w:rsidRPr="00294C7F">
              <w:rPr>
                <w:sz w:val="16"/>
                <w:szCs w:val="16"/>
                <w:lang w:val="fr-CH"/>
              </w:rPr>
              <w:t>DÉTONATEURS de mine (de sautage) ÉLECTRONIQUE programmables</w:t>
            </w:r>
          </w:p>
        </w:tc>
        <w:tc>
          <w:tcPr>
            <w:tcW w:w="34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27" w:right="126"/>
              <w:rPr>
                <w:rFonts w:asciiTheme="majorBidi" w:hAnsiTheme="majorBidi" w:cstheme="majorBidi"/>
                <w:b/>
                <w:sz w:val="18"/>
                <w:szCs w:val="18"/>
                <w:lang w:val="en-GB"/>
              </w:rPr>
            </w:pPr>
            <w:r>
              <w:rPr>
                <w:rFonts w:asciiTheme="majorBidi" w:hAnsiTheme="majorBidi" w:cstheme="majorBidi"/>
                <w:sz w:val="18"/>
                <w:szCs w:val="18"/>
                <w:lang w:val="en-GB"/>
              </w:rPr>
              <w:t>1.1B</w:t>
            </w:r>
          </w:p>
        </w:tc>
        <w:tc>
          <w:tcPr>
            <w:tcW w:w="156"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07" w:right="107"/>
              <w:rPr>
                <w:rFonts w:asciiTheme="majorBidi" w:hAnsiTheme="majorBidi" w:cstheme="majorBidi"/>
                <w:b/>
                <w:sz w:val="18"/>
                <w:szCs w:val="18"/>
                <w:lang w:val="en-GB"/>
              </w:rPr>
            </w:pPr>
          </w:p>
        </w:tc>
        <w:tc>
          <w:tcPr>
            <w:tcW w:w="205"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67" w:right="67"/>
              <w:rPr>
                <w:rFonts w:asciiTheme="majorBidi" w:hAnsiTheme="majorBidi" w:cstheme="majorBidi"/>
                <w:b/>
                <w:sz w:val="18"/>
                <w:szCs w:val="18"/>
                <w:lang w:val="en-GB"/>
              </w:rPr>
            </w:pPr>
          </w:p>
        </w:tc>
        <w:tc>
          <w:tcPr>
            <w:tcW w:w="319"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06" w:right="102"/>
              <w:rPr>
                <w:rFonts w:asciiTheme="majorBidi" w:hAnsiTheme="majorBidi" w:cstheme="majorBidi"/>
                <w:b/>
                <w:sz w:val="18"/>
                <w:szCs w:val="18"/>
                <w:lang w:val="en-GB"/>
              </w:rPr>
            </w:pPr>
          </w:p>
        </w:tc>
        <w:tc>
          <w:tcPr>
            <w:tcW w:w="20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5" w:right="16"/>
              <w:rPr>
                <w:rFonts w:asciiTheme="majorBidi" w:hAnsiTheme="majorBidi" w:cstheme="majorBidi"/>
                <w:b/>
                <w:sz w:val="18"/>
                <w:szCs w:val="18"/>
                <w:lang w:val="en-GB"/>
              </w:rPr>
            </w:pPr>
            <w:r>
              <w:rPr>
                <w:rFonts w:asciiTheme="majorBidi" w:hAnsiTheme="majorBidi" w:cstheme="majorBidi"/>
                <w:sz w:val="18"/>
                <w:szCs w:val="18"/>
                <w:lang w:val="en-GB"/>
              </w:rPr>
              <w:t>0</w:t>
            </w:r>
          </w:p>
        </w:tc>
        <w:tc>
          <w:tcPr>
            <w:tcW w:w="19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rPr>
                <w:rFonts w:asciiTheme="majorBidi" w:hAnsiTheme="majorBidi" w:cstheme="majorBidi"/>
                <w:b/>
                <w:sz w:val="18"/>
                <w:szCs w:val="18"/>
                <w:lang w:val="en-GB"/>
              </w:rPr>
            </w:pPr>
            <w:r>
              <w:rPr>
                <w:rFonts w:asciiTheme="majorBidi" w:hAnsiTheme="majorBidi" w:cstheme="majorBidi"/>
                <w:sz w:val="18"/>
                <w:szCs w:val="18"/>
                <w:lang w:val="en-GB"/>
              </w:rPr>
              <w:t>E0</w:t>
            </w:r>
          </w:p>
        </w:tc>
        <w:tc>
          <w:tcPr>
            <w:tcW w:w="427"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41" w:right="141"/>
              <w:rPr>
                <w:rFonts w:asciiTheme="majorBidi" w:hAnsiTheme="majorBidi" w:cstheme="majorBidi"/>
                <w:b/>
                <w:sz w:val="18"/>
                <w:szCs w:val="18"/>
                <w:lang w:val="en-GB"/>
              </w:rPr>
            </w:pPr>
          </w:p>
        </w:tc>
        <w:tc>
          <w:tcPr>
            <w:tcW w:w="160"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right="226"/>
              <w:jc w:val="right"/>
              <w:rPr>
                <w:rFonts w:asciiTheme="majorBidi" w:hAnsiTheme="majorBidi" w:cstheme="majorBidi"/>
                <w:b/>
                <w:sz w:val="18"/>
                <w:szCs w:val="18"/>
                <w:u w:val="single"/>
                <w:lang w:val="en-GB"/>
              </w:rPr>
            </w:pPr>
          </w:p>
        </w:tc>
        <w:tc>
          <w:tcPr>
            <w:tcW w:w="178"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7" w:right="8"/>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r>
      <w:tr w:rsidR="00124E6E" w:rsidTr="00124E6E">
        <w:trPr>
          <w:trHeight w:hRule="exact" w:val="811"/>
        </w:trPr>
        <w:tc>
          <w:tcPr>
            <w:tcW w:w="27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lang w:val="en-GB"/>
              </w:rPr>
            </w:pPr>
            <w:r>
              <w:rPr>
                <w:rFonts w:asciiTheme="majorBidi" w:hAnsiTheme="majorBidi" w:cstheme="majorBidi"/>
                <w:bCs/>
                <w:sz w:val="18"/>
                <w:szCs w:val="18"/>
              </w:rPr>
              <w:t>0512</w:t>
            </w:r>
          </w:p>
        </w:tc>
        <w:tc>
          <w:tcPr>
            <w:tcW w:w="2012" w:type="pct"/>
            <w:tcBorders>
              <w:top w:val="single" w:sz="4" w:space="0" w:color="000000"/>
              <w:left w:val="single" w:sz="4" w:space="0" w:color="000000"/>
              <w:bottom w:val="single" w:sz="4" w:space="0" w:color="000000"/>
              <w:right w:val="single" w:sz="4" w:space="0" w:color="000000"/>
            </w:tcBorders>
            <w:hideMark/>
          </w:tcPr>
          <w:p w:rsidR="00124E6E" w:rsidRPr="00455982" w:rsidRDefault="00124E6E" w:rsidP="00124E6E">
            <w:pPr>
              <w:pStyle w:val="TableParagraph"/>
              <w:spacing w:before="6"/>
              <w:ind w:left="6" w:right="6"/>
              <w:jc w:val="left"/>
              <w:rPr>
                <w:rFonts w:asciiTheme="majorBidi" w:hAnsiTheme="majorBidi" w:cstheme="majorBidi"/>
                <w:sz w:val="18"/>
                <w:szCs w:val="18"/>
                <w:lang w:val="fr-FR"/>
              </w:rPr>
            </w:pPr>
            <w:r w:rsidRPr="00294C7F">
              <w:rPr>
                <w:sz w:val="16"/>
                <w:szCs w:val="16"/>
                <w:lang w:val="fr-CH"/>
              </w:rPr>
              <w:t>DÉTONATEURS de mine (de sautage) ÉLECTRONIQUE programmables</w:t>
            </w:r>
          </w:p>
        </w:tc>
        <w:tc>
          <w:tcPr>
            <w:tcW w:w="34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27" w:right="126"/>
              <w:rPr>
                <w:rFonts w:asciiTheme="majorBidi" w:hAnsiTheme="majorBidi" w:cstheme="majorBidi"/>
                <w:sz w:val="18"/>
                <w:szCs w:val="18"/>
                <w:lang w:val="en-GB"/>
              </w:rPr>
            </w:pPr>
            <w:r>
              <w:rPr>
                <w:rFonts w:asciiTheme="majorBidi" w:hAnsiTheme="majorBidi" w:cstheme="majorBidi"/>
                <w:sz w:val="18"/>
                <w:szCs w:val="18"/>
                <w:lang w:val="en-GB"/>
              </w:rPr>
              <w:t>1.4B</w:t>
            </w:r>
          </w:p>
        </w:tc>
        <w:tc>
          <w:tcPr>
            <w:tcW w:w="156"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07" w:right="107"/>
              <w:rPr>
                <w:rFonts w:asciiTheme="majorBidi" w:hAnsiTheme="majorBidi" w:cstheme="majorBidi"/>
                <w:b/>
                <w:sz w:val="18"/>
                <w:szCs w:val="18"/>
                <w:lang w:val="en-GB"/>
              </w:rPr>
            </w:pPr>
          </w:p>
        </w:tc>
        <w:tc>
          <w:tcPr>
            <w:tcW w:w="205"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67" w:right="67"/>
              <w:rPr>
                <w:rFonts w:asciiTheme="majorBidi" w:hAnsiTheme="majorBidi" w:cstheme="majorBidi"/>
                <w:b/>
                <w:sz w:val="18"/>
                <w:szCs w:val="18"/>
                <w:lang w:val="en-GB"/>
              </w:rPr>
            </w:pPr>
          </w:p>
        </w:tc>
        <w:tc>
          <w:tcPr>
            <w:tcW w:w="319"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06" w:right="102"/>
              <w:rPr>
                <w:rFonts w:asciiTheme="majorBidi" w:hAnsiTheme="majorBidi" w:cstheme="majorBidi"/>
                <w:b/>
                <w:sz w:val="18"/>
                <w:szCs w:val="18"/>
                <w:lang w:val="en-GB"/>
              </w:rPr>
            </w:pPr>
          </w:p>
        </w:tc>
        <w:tc>
          <w:tcPr>
            <w:tcW w:w="20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5" w:right="16"/>
              <w:rPr>
                <w:rFonts w:asciiTheme="majorBidi" w:hAnsiTheme="majorBidi" w:cstheme="majorBidi"/>
                <w:sz w:val="18"/>
                <w:szCs w:val="18"/>
                <w:lang w:val="en-GB"/>
              </w:rPr>
            </w:pPr>
            <w:r>
              <w:rPr>
                <w:rFonts w:asciiTheme="majorBidi" w:hAnsiTheme="majorBidi" w:cstheme="majorBidi"/>
                <w:sz w:val="18"/>
                <w:szCs w:val="18"/>
                <w:lang w:val="en-GB"/>
              </w:rPr>
              <w:t>0</w:t>
            </w:r>
          </w:p>
        </w:tc>
        <w:tc>
          <w:tcPr>
            <w:tcW w:w="19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rPr>
                <w:rFonts w:asciiTheme="majorBidi" w:hAnsiTheme="majorBidi" w:cstheme="majorBidi"/>
                <w:sz w:val="18"/>
                <w:szCs w:val="18"/>
                <w:lang w:val="en-GB"/>
              </w:rPr>
            </w:pPr>
            <w:r>
              <w:rPr>
                <w:rFonts w:asciiTheme="majorBidi" w:hAnsiTheme="majorBidi" w:cstheme="majorBidi"/>
                <w:sz w:val="18"/>
                <w:szCs w:val="18"/>
                <w:lang w:val="en-GB"/>
              </w:rPr>
              <w:t>E0</w:t>
            </w:r>
          </w:p>
        </w:tc>
        <w:tc>
          <w:tcPr>
            <w:tcW w:w="427"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41" w:right="141"/>
              <w:rPr>
                <w:rFonts w:asciiTheme="majorBidi" w:hAnsiTheme="majorBidi" w:cstheme="majorBidi"/>
                <w:sz w:val="18"/>
                <w:szCs w:val="18"/>
                <w:lang w:val="en-GB"/>
              </w:rPr>
            </w:pPr>
          </w:p>
        </w:tc>
        <w:tc>
          <w:tcPr>
            <w:tcW w:w="160"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right="226"/>
              <w:jc w:val="right"/>
              <w:rPr>
                <w:rFonts w:asciiTheme="majorBidi" w:hAnsiTheme="majorBidi" w:cstheme="majorBidi"/>
                <w:b/>
                <w:sz w:val="18"/>
                <w:szCs w:val="18"/>
                <w:u w:val="single"/>
                <w:lang w:val="en-GB"/>
              </w:rPr>
            </w:pPr>
          </w:p>
        </w:tc>
        <w:tc>
          <w:tcPr>
            <w:tcW w:w="178"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7" w:right="8"/>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r>
      <w:tr w:rsidR="00124E6E" w:rsidTr="00124E6E">
        <w:trPr>
          <w:trHeight w:hRule="exact" w:val="811"/>
        </w:trPr>
        <w:tc>
          <w:tcPr>
            <w:tcW w:w="27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lang w:val="en-GB"/>
              </w:rPr>
            </w:pPr>
            <w:r>
              <w:rPr>
                <w:rFonts w:asciiTheme="majorBidi" w:hAnsiTheme="majorBidi" w:cstheme="majorBidi"/>
                <w:bCs/>
                <w:sz w:val="18"/>
                <w:szCs w:val="18"/>
              </w:rPr>
              <w:t>0513</w:t>
            </w:r>
          </w:p>
        </w:tc>
        <w:tc>
          <w:tcPr>
            <w:tcW w:w="2012" w:type="pct"/>
            <w:tcBorders>
              <w:top w:val="single" w:sz="4" w:space="0" w:color="000000"/>
              <w:left w:val="single" w:sz="4" w:space="0" w:color="000000"/>
              <w:bottom w:val="single" w:sz="4" w:space="0" w:color="000000"/>
              <w:right w:val="single" w:sz="4" w:space="0" w:color="000000"/>
            </w:tcBorders>
            <w:hideMark/>
          </w:tcPr>
          <w:p w:rsidR="00124E6E" w:rsidRPr="00455982" w:rsidRDefault="00124E6E" w:rsidP="00124E6E">
            <w:pPr>
              <w:pStyle w:val="TableParagraph"/>
              <w:spacing w:before="6"/>
              <w:ind w:left="6" w:right="6"/>
              <w:jc w:val="left"/>
              <w:rPr>
                <w:rFonts w:asciiTheme="majorBidi" w:hAnsiTheme="majorBidi" w:cstheme="majorBidi"/>
                <w:sz w:val="18"/>
                <w:szCs w:val="18"/>
                <w:lang w:val="fr-FR"/>
              </w:rPr>
            </w:pPr>
            <w:r w:rsidRPr="00294C7F">
              <w:rPr>
                <w:sz w:val="16"/>
                <w:szCs w:val="16"/>
                <w:lang w:val="fr-CH"/>
              </w:rPr>
              <w:t>DÉTONATEURS de mine (de sautage) ÉLECTRONIQUE programmables</w:t>
            </w:r>
          </w:p>
        </w:tc>
        <w:tc>
          <w:tcPr>
            <w:tcW w:w="34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27" w:right="126"/>
              <w:rPr>
                <w:rFonts w:asciiTheme="majorBidi" w:hAnsiTheme="majorBidi" w:cstheme="majorBidi"/>
                <w:sz w:val="18"/>
                <w:szCs w:val="18"/>
                <w:lang w:val="en-GB"/>
              </w:rPr>
            </w:pPr>
            <w:r>
              <w:rPr>
                <w:rFonts w:asciiTheme="majorBidi" w:hAnsiTheme="majorBidi" w:cstheme="majorBidi"/>
                <w:sz w:val="18"/>
                <w:szCs w:val="18"/>
                <w:lang w:val="en-GB"/>
              </w:rPr>
              <w:t>1.4S</w:t>
            </w:r>
          </w:p>
        </w:tc>
        <w:tc>
          <w:tcPr>
            <w:tcW w:w="156"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07" w:right="107"/>
              <w:rPr>
                <w:rFonts w:asciiTheme="majorBidi" w:hAnsiTheme="majorBidi" w:cstheme="majorBidi"/>
                <w:b/>
                <w:sz w:val="18"/>
                <w:szCs w:val="18"/>
                <w:lang w:val="en-GB"/>
              </w:rPr>
            </w:pPr>
          </w:p>
        </w:tc>
        <w:tc>
          <w:tcPr>
            <w:tcW w:w="205"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67" w:right="67"/>
              <w:rPr>
                <w:rFonts w:asciiTheme="majorBidi" w:hAnsiTheme="majorBidi" w:cstheme="majorBidi"/>
                <w:b/>
                <w:sz w:val="18"/>
                <w:szCs w:val="18"/>
                <w:lang w:val="en-GB"/>
              </w:rPr>
            </w:pPr>
          </w:p>
        </w:tc>
        <w:tc>
          <w:tcPr>
            <w:tcW w:w="31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06" w:right="102"/>
              <w:rPr>
                <w:rFonts w:asciiTheme="majorBidi" w:hAnsiTheme="majorBidi" w:cstheme="majorBidi"/>
                <w:b/>
                <w:sz w:val="18"/>
                <w:szCs w:val="18"/>
                <w:lang w:val="en-GB"/>
              </w:rPr>
            </w:pPr>
            <w:r>
              <w:rPr>
                <w:rFonts w:asciiTheme="majorBidi" w:hAnsiTheme="majorBidi" w:cstheme="majorBidi"/>
                <w:sz w:val="18"/>
                <w:szCs w:val="18"/>
                <w:lang w:val="en-GB"/>
              </w:rPr>
              <w:t>347</w:t>
            </w:r>
          </w:p>
        </w:tc>
        <w:tc>
          <w:tcPr>
            <w:tcW w:w="20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5" w:right="16"/>
              <w:rPr>
                <w:rFonts w:asciiTheme="majorBidi" w:hAnsiTheme="majorBidi" w:cstheme="majorBidi"/>
                <w:sz w:val="18"/>
                <w:szCs w:val="18"/>
                <w:lang w:val="en-GB"/>
              </w:rPr>
            </w:pPr>
            <w:r>
              <w:rPr>
                <w:rFonts w:asciiTheme="majorBidi" w:hAnsiTheme="majorBidi" w:cstheme="majorBidi"/>
                <w:sz w:val="18"/>
                <w:szCs w:val="18"/>
                <w:lang w:val="en-GB"/>
              </w:rPr>
              <w:t>0</w:t>
            </w:r>
          </w:p>
        </w:tc>
        <w:tc>
          <w:tcPr>
            <w:tcW w:w="19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rPr>
                <w:rFonts w:asciiTheme="majorBidi" w:hAnsiTheme="majorBidi" w:cstheme="majorBidi"/>
                <w:sz w:val="18"/>
                <w:szCs w:val="18"/>
                <w:lang w:val="en-GB"/>
              </w:rPr>
            </w:pPr>
            <w:r>
              <w:rPr>
                <w:rFonts w:asciiTheme="majorBidi" w:hAnsiTheme="majorBidi" w:cstheme="majorBidi"/>
                <w:sz w:val="18"/>
                <w:szCs w:val="18"/>
                <w:lang w:val="en-GB"/>
              </w:rPr>
              <w:t>E0</w:t>
            </w:r>
          </w:p>
        </w:tc>
        <w:tc>
          <w:tcPr>
            <w:tcW w:w="427"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41" w:right="141"/>
              <w:rPr>
                <w:rFonts w:asciiTheme="majorBidi" w:hAnsiTheme="majorBidi" w:cstheme="majorBidi"/>
                <w:sz w:val="18"/>
                <w:szCs w:val="18"/>
                <w:lang w:val="en-GB"/>
              </w:rPr>
            </w:pPr>
          </w:p>
        </w:tc>
        <w:tc>
          <w:tcPr>
            <w:tcW w:w="160"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right="226"/>
              <w:jc w:val="right"/>
              <w:rPr>
                <w:rFonts w:asciiTheme="majorBidi" w:hAnsiTheme="majorBidi" w:cstheme="majorBidi"/>
                <w:b/>
                <w:sz w:val="18"/>
                <w:szCs w:val="18"/>
                <w:u w:val="single"/>
                <w:lang w:val="en-GB"/>
              </w:rPr>
            </w:pPr>
          </w:p>
        </w:tc>
        <w:tc>
          <w:tcPr>
            <w:tcW w:w="178"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7" w:right="8"/>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r>
      <w:tr w:rsidR="00124E6E" w:rsidTr="00124E6E">
        <w:trPr>
          <w:trHeight w:hRule="exact" w:val="1188"/>
        </w:trPr>
        <w:tc>
          <w:tcPr>
            <w:tcW w:w="27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bCs/>
                <w:sz w:val="18"/>
                <w:szCs w:val="18"/>
                <w:lang w:val="en-GB"/>
              </w:rPr>
            </w:pPr>
            <w:r>
              <w:rPr>
                <w:rFonts w:asciiTheme="majorBidi" w:hAnsiTheme="majorBidi" w:cstheme="majorBidi"/>
                <w:sz w:val="18"/>
                <w:szCs w:val="18"/>
              </w:rPr>
              <w:lastRenderedPageBreak/>
              <w:t>3549</w:t>
            </w:r>
          </w:p>
        </w:tc>
        <w:tc>
          <w:tcPr>
            <w:tcW w:w="2012" w:type="pct"/>
            <w:tcBorders>
              <w:top w:val="single" w:sz="4" w:space="0" w:color="000000"/>
              <w:left w:val="single" w:sz="4" w:space="0" w:color="000000"/>
              <w:bottom w:val="single" w:sz="4" w:space="0" w:color="000000"/>
              <w:right w:val="single" w:sz="4" w:space="0" w:color="000000"/>
            </w:tcBorders>
            <w:hideMark/>
          </w:tcPr>
          <w:p w:rsidR="00124E6E" w:rsidRPr="00455982" w:rsidRDefault="00124E6E" w:rsidP="00124E6E">
            <w:pPr>
              <w:pStyle w:val="TableParagraph"/>
              <w:spacing w:before="6"/>
              <w:ind w:left="6" w:right="6"/>
              <w:jc w:val="left"/>
              <w:rPr>
                <w:rFonts w:asciiTheme="majorBidi" w:hAnsiTheme="majorBidi" w:cstheme="majorBidi"/>
                <w:sz w:val="18"/>
                <w:szCs w:val="18"/>
                <w:lang w:val="fr-FR"/>
              </w:rPr>
            </w:pPr>
            <w:r w:rsidRPr="00294C7F">
              <w:rPr>
                <w:sz w:val="16"/>
                <w:szCs w:val="16"/>
                <w:lang w:val="fr-FR"/>
              </w:rPr>
              <w:t xml:space="preserve">DÉCHETS MÉDICAUX </w:t>
            </w:r>
            <w:r w:rsidRPr="00294C7F">
              <w:rPr>
                <w:sz w:val="16"/>
                <w:szCs w:val="16"/>
                <w:lang w:val="fr-FR"/>
              </w:rPr>
              <w:br/>
              <w:t>INFECTIEUX POUR L’HOMME, CATÉGORIE A, solides ou DÉCHETS MÉDICAUX INFECTIEUX POUR LES ANIMAUX uniquement, CATÉGORIE A, solides</w:t>
            </w:r>
          </w:p>
        </w:tc>
        <w:tc>
          <w:tcPr>
            <w:tcW w:w="34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27" w:right="126"/>
              <w:rPr>
                <w:rFonts w:asciiTheme="majorBidi" w:hAnsiTheme="majorBidi" w:cstheme="majorBidi"/>
                <w:sz w:val="18"/>
                <w:szCs w:val="18"/>
                <w:lang w:val="en-GB"/>
              </w:rPr>
            </w:pPr>
            <w:r>
              <w:rPr>
                <w:rFonts w:asciiTheme="majorBidi" w:hAnsiTheme="majorBidi" w:cstheme="majorBidi"/>
                <w:sz w:val="18"/>
                <w:szCs w:val="18"/>
              </w:rPr>
              <w:t>6.2</w:t>
            </w:r>
          </w:p>
        </w:tc>
        <w:tc>
          <w:tcPr>
            <w:tcW w:w="156"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07" w:right="107"/>
              <w:rPr>
                <w:rFonts w:asciiTheme="majorBidi" w:hAnsiTheme="majorBidi" w:cstheme="majorBidi"/>
                <w:b/>
                <w:sz w:val="18"/>
                <w:szCs w:val="18"/>
                <w:lang w:val="en-GB"/>
              </w:rPr>
            </w:pPr>
          </w:p>
        </w:tc>
        <w:tc>
          <w:tcPr>
            <w:tcW w:w="205"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67" w:right="67"/>
              <w:rPr>
                <w:rFonts w:asciiTheme="majorBidi" w:hAnsiTheme="majorBidi" w:cstheme="majorBidi"/>
                <w:b/>
                <w:sz w:val="18"/>
                <w:szCs w:val="18"/>
                <w:lang w:val="en-GB"/>
              </w:rPr>
            </w:pPr>
          </w:p>
        </w:tc>
        <w:tc>
          <w:tcPr>
            <w:tcW w:w="31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06" w:right="102"/>
              <w:rPr>
                <w:rFonts w:asciiTheme="majorBidi" w:hAnsiTheme="majorBidi" w:cstheme="majorBidi"/>
                <w:sz w:val="18"/>
                <w:szCs w:val="18"/>
              </w:rPr>
            </w:pPr>
            <w:r>
              <w:rPr>
                <w:rFonts w:asciiTheme="majorBidi" w:hAnsiTheme="majorBidi" w:cstheme="majorBidi"/>
                <w:sz w:val="18"/>
                <w:szCs w:val="18"/>
              </w:rPr>
              <w:t>395</w:t>
            </w:r>
          </w:p>
          <w:p w:rsidR="00124E6E" w:rsidRDefault="00124E6E" w:rsidP="00124E6E">
            <w:pPr>
              <w:pStyle w:val="TableParagraph"/>
              <w:spacing w:before="6"/>
              <w:ind w:left="106" w:right="102"/>
              <w:rPr>
                <w:rFonts w:asciiTheme="majorBidi" w:hAnsiTheme="majorBidi" w:cstheme="majorBidi"/>
                <w:sz w:val="18"/>
                <w:szCs w:val="18"/>
                <w:lang w:val="en-GB"/>
              </w:rPr>
            </w:pPr>
            <w:r>
              <w:rPr>
                <w:rFonts w:asciiTheme="majorBidi" w:hAnsiTheme="majorBidi" w:cstheme="majorBidi"/>
                <w:sz w:val="18"/>
                <w:szCs w:val="18"/>
                <w:lang w:val="en-GB"/>
              </w:rPr>
              <w:t>6XX</w:t>
            </w:r>
          </w:p>
        </w:tc>
        <w:tc>
          <w:tcPr>
            <w:tcW w:w="20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5" w:right="16"/>
              <w:rPr>
                <w:rFonts w:asciiTheme="majorBidi" w:hAnsiTheme="majorBidi" w:cstheme="majorBidi"/>
                <w:sz w:val="18"/>
                <w:szCs w:val="18"/>
                <w:lang w:val="en-GB"/>
              </w:rPr>
            </w:pPr>
            <w:r>
              <w:rPr>
                <w:rFonts w:asciiTheme="majorBidi" w:hAnsiTheme="majorBidi" w:cstheme="majorBidi"/>
                <w:sz w:val="18"/>
                <w:szCs w:val="18"/>
              </w:rPr>
              <w:t>0</w:t>
            </w:r>
          </w:p>
        </w:tc>
        <w:tc>
          <w:tcPr>
            <w:tcW w:w="19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rPr>
                <w:rFonts w:asciiTheme="majorBidi" w:hAnsiTheme="majorBidi" w:cstheme="majorBidi"/>
                <w:sz w:val="18"/>
                <w:szCs w:val="18"/>
                <w:lang w:val="en-GB"/>
              </w:rPr>
            </w:pPr>
            <w:r>
              <w:rPr>
                <w:rFonts w:asciiTheme="majorBidi" w:hAnsiTheme="majorBidi" w:cstheme="majorBidi"/>
                <w:sz w:val="18"/>
                <w:szCs w:val="18"/>
              </w:rPr>
              <w:t>E0</w:t>
            </w:r>
          </w:p>
        </w:tc>
        <w:tc>
          <w:tcPr>
            <w:tcW w:w="427"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41" w:right="141"/>
              <w:rPr>
                <w:rFonts w:asciiTheme="majorBidi" w:hAnsiTheme="majorBidi" w:cstheme="majorBidi"/>
                <w:sz w:val="18"/>
                <w:szCs w:val="18"/>
                <w:lang w:val="en-GB"/>
              </w:rPr>
            </w:pPr>
          </w:p>
        </w:tc>
        <w:tc>
          <w:tcPr>
            <w:tcW w:w="160"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right="226"/>
              <w:jc w:val="right"/>
              <w:rPr>
                <w:rFonts w:asciiTheme="majorBidi" w:hAnsiTheme="majorBidi" w:cstheme="majorBidi"/>
                <w:b/>
                <w:sz w:val="18"/>
                <w:szCs w:val="18"/>
                <w:u w:val="single"/>
                <w:lang w:val="en-GB"/>
              </w:rPr>
            </w:pPr>
          </w:p>
        </w:tc>
        <w:tc>
          <w:tcPr>
            <w:tcW w:w="178"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7" w:right="8"/>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r>
      <w:tr w:rsidR="00124E6E" w:rsidTr="00124E6E">
        <w:trPr>
          <w:trHeight w:hRule="exact" w:val="1228"/>
        </w:trPr>
        <w:tc>
          <w:tcPr>
            <w:tcW w:w="27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suppressAutoHyphens w:val="0"/>
              <w:spacing w:before="40" w:after="120" w:line="276" w:lineRule="auto"/>
              <w:jc w:val="center"/>
              <w:rPr>
                <w:rFonts w:asciiTheme="majorBidi" w:hAnsiTheme="majorBidi" w:cstheme="majorBidi"/>
                <w:sz w:val="18"/>
                <w:szCs w:val="18"/>
                <w:lang w:val="en-GB"/>
              </w:rPr>
            </w:pPr>
            <w:r>
              <w:rPr>
                <w:rFonts w:asciiTheme="majorBidi" w:hAnsiTheme="majorBidi" w:cstheme="majorBidi"/>
                <w:sz w:val="18"/>
                <w:szCs w:val="18"/>
              </w:rPr>
              <w:t>[3549</w:t>
            </w:r>
          </w:p>
        </w:tc>
        <w:tc>
          <w:tcPr>
            <w:tcW w:w="2012" w:type="pct"/>
            <w:tcBorders>
              <w:top w:val="single" w:sz="4" w:space="0" w:color="000000"/>
              <w:left w:val="single" w:sz="4" w:space="0" w:color="000000"/>
              <w:bottom w:val="single" w:sz="4" w:space="0" w:color="000000"/>
              <w:right w:val="single" w:sz="4" w:space="0" w:color="000000"/>
            </w:tcBorders>
            <w:hideMark/>
          </w:tcPr>
          <w:p w:rsidR="00124E6E" w:rsidRPr="00455982" w:rsidRDefault="00124E6E" w:rsidP="00124E6E">
            <w:pPr>
              <w:pStyle w:val="TableParagraph"/>
              <w:spacing w:before="6"/>
              <w:ind w:left="6" w:right="6"/>
              <w:jc w:val="left"/>
              <w:rPr>
                <w:rFonts w:asciiTheme="majorBidi" w:hAnsiTheme="majorBidi" w:cstheme="majorBidi"/>
                <w:sz w:val="18"/>
                <w:szCs w:val="18"/>
                <w:lang w:val="fr-FR"/>
              </w:rPr>
            </w:pPr>
            <w:r w:rsidRPr="00294C7F">
              <w:rPr>
                <w:sz w:val="16"/>
                <w:szCs w:val="16"/>
                <w:lang w:val="fr-FR"/>
              </w:rPr>
              <w:t xml:space="preserve">DÉCHETS MÉDICAUX </w:t>
            </w:r>
            <w:r w:rsidRPr="00294C7F">
              <w:rPr>
                <w:sz w:val="16"/>
                <w:szCs w:val="16"/>
                <w:lang w:val="fr-FR"/>
              </w:rPr>
              <w:br/>
              <w:t>INFECTIEUX POUR L’HOMME, CATÉGORIE A, solides ou DÉCHETS MÉDICAUX INFECTIEUX POUR LES ANIMAUX uniquement</w:t>
            </w:r>
            <w:r w:rsidRPr="008F22C7">
              <w:rPr>
                <w:sz w:val="16"/>
                <w:szCs w:val="16"/>
                <w:lang w:val="fr-FR"/>
              </w:rPr>
              <w:t>, dans de l'azote liquide réfrigéré</w:t>
            </w:r>
          </w:p>
        </w:tc>
        <w:tc>
          <w:tcPr>
            <w:tcW w:w="34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27" w:right="126"/>
              <w:rPr>
                <w:rFonts w:asciiTheme="majorBidi" w:hAnsiTheme="majorBidi" w:cstheme="majorBidi"/>
                <w:sz w:val="18"/>
                <w:szCs w:val="18"/>
              </w:rPr>
            </w:pPr>
            <w:r>
              <w:rPr>
                <w:rFonts w:asciiTheme="majorBidi" w:hAnsiTheme="majorBidi" w:cstheme="majorBidi"/>
                <w:sz w:val="18"/>
                <w:szCs w:val="18"/>
              </w:rPr>
              <w:t>6.2</w:t>
            </w:r>
          </w:p>
        </w:tc>
        <w:tc>
          <w:tcPr>
            <w:tcW w:w="156"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07" w:right="107"/>
              <w:rPr>
                <w:rFonts w:asciiTheme="majorBidi" w:hAnsiTheme="majorBidi" w:cstheme="majorBidi"/>
                <w:b/>
                <w:sz w:val="18"/>
                <w:szCs w:val="18"/>
                <w:lang w:val="en-GB"/>
              </w:rPr>
            </w:pPr>
          </w:p>
        </w:tc>
        <w:tc>
          <w:tcPr>
            <w:tcW w:w="205"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67" w:right="67"/>
              <w:rPr>
                <w:rFonts w:asciiTheme="majorBidi" w:hAnsiTheme="majorBidi" w:cstheme="majorBidi"/>
                <w:b/>
                <w:sz w:val="18"/>
                <w:szCs w:val="18"/>
                <w:lang w:val="en-GB"/>
              </w:rPr>
            </w:pPr>
          </w:p>
        </w:tc>
        <w:tc>
          <w:tcPr>
            <w:tcW w:w="31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06" w:right="102"/>
              <w:rPr>
                <w:rFonts w:asciiTheme="majorBidi" w:hAnsiTheme="majorBidi" w:cstheme="majorBidi"/>
                <w:sz w:val="18"/>
                <w:szCs w:val="18"/>
              </w:rPr>
            </w:pPr>
            <w:r>
              <w:rPr>
                <w:rFonts w:asciiTheme="majorBidi" w:hAnsiTheme="majorBidi" w:cstheme="majorBidi"/>
                <w:bCs/>
                <w:sz w:val="18"/>
                <w:szCs w:val="18"/>
              </w:rPr>
              <w:t>6.2</w:t>
            </w:r>
            <w:r>
              <w:rPr>
                <w:rFonts w:asciiTheme="majorBidi" w:hAnsiTheme="majorBidi" w:cstheme="majorBidi"/>
                <w:bCs/>
                <w:sz w:val="18"/>
                <w:szCs w:val="18"/>
              </w:rPr>
              <w:br/>
              <w:t>+2.2</w:t>
            </w:r>
          </w:p>
        </w:tc>
        <w:tc>
          <w:tcPr>
            <w:tcW w:w="209"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15" w:right="16"/>
              <w:rPr>
                <w:rFonts w:asciiTheme="majorBidi" w:hAnsiTheme="majorBidi" w:cstheme="majorBidi"/>
                <w:sz w:val="18"/>
                <w:szCs w:val="18"/>
              </w:rPr>
            </w:pPr>
            <w:r>
              <w:rPr>
                <w:rFonts w:asciiTheme="majorBidi" w:hAnsiTheme="majorBidi" w:cstheme="majorBidi"/>
                <w:sz w:val="18"/>
                <w:szCs w:val="18"/>
              </w:rPr>
              <w:t>395</w:t>
            </w:r>
          </w:p>
        </w:tc>
        <w:tc>
          <w:tcPr>
            <w:tcW w:w="192"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rPr>
                <w:rFonts w:asciiTheme="majorBidi" w:hAnsiTheme="majorBidi" w:cstheme="majorBidi"/>
                <w:sz w:val="18"/>
                <w:szCs w:val="18"/>
              </w:rPr>
            </w:pPr>
            <w:r>
              <w:rPr>
                <w:rFonts w:asciiTheme="majorBidi" w:hAnsiTheme="majorBidi" w:cstheme="majorBidi"/>
                <w:bCs/>
                <w:sz w:val="18"/>
                <w:szCs w:val="18"/>
              </w:rPr>
              <w:t>E0</w:t>
            </w:r>
          </w:p>
        </w:tc>
        <w:tc>
          <w:tcPr>
            <w:tcW w:w="427"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141" w:right="141"/>
              <w:rPr>
                <w:rFonts w:asciiTheme="majorBidi" w:hAnsiTheme="majorBidi" w:cstheme="majorBidi"/>
                <w:sz w:val="18"/>
                <w:szCs w:val="18"/>
                <w:lang w:val="en-GB"/>
              </w:rPr>
            </w:pPr>
          </w:p>
        </w:tc>
        <w:tc>
          <w:tcPr>
            <w:tcW w:w="160"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right="226"/>
              <w:jc w:val="right"/>
              <w:rPr>
                <w:rFonts w:asciiTheme="majorBidi" w:hAnsiTheme="majorBidi" w:cstheme="majorBidi"/>
                <w:b/>
                <w:sz w:val="18"/>
                <w:szCs w:val="18"/>
                <w:u w:val="single"/>
                <w:lang w:val="en-GB"/>
              </w:rPr>
            </w:pPr>
          </w:p>
        </w:tc>
        <w:tc>
          <w:tcPr>
            <w:tcW w:w="178"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7" w:right="8"/>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tcPr>
          <w:p w:rsidR="00124E6E" w:rsidRDefault="00124E6E" w:rsidP="00124E6E">
            <w:pPr>
              <w:pStyle w:val="TableParagraph"/>
              <w:spacing w:before="6"/>
              <w:ind w:left="213"/>
              <w:jc w:val="left"/>
              <w:rPr>
                <w:rFonts w:asciiTheme="majorBidi" w:hAnsiTheme="majorBidi" w:cstheme="majorBidi"/>
                <w:b/>
                <w:sz w:val="18"/>
                <w:szCs w:val="18"/>
                <w:u w:val="single"/>
                <w:lang w:val="en-GB"/>
              </w:rPr>
            </w:pPr>
          </w:p>
        </w:tc>
        <w:tc>
          <w:tcPr>
            <w:tcW w:w="174" w:type="pct"/>
            <w:tcBorders>
              <w:top w:val="single" w:sz="4" w:space="0" w:color="000000"/>
              <w:left w:val="single" w:sz="4" w:space="0" w:color="000000"/>
              <w:bottom w:val="single" w:sz="4" w:space="0" w:color="000000"/>
              <w:right w:val="single" w:sz="4" w:space="0" w:color="000000"/>
            </w:tcBorders>
            <w:hideMark/>
          </w:tcPr>
          <w:p w:rsidR="00124E6E" w:rsidRDefault="00124E6E" w:rsidP="00124E6E">
            <w:pPr>
              <w:pStyle w:val="TableParagraph"/>
              <w:spacing w:before="6"/>
              <w:ind w:left="213"/>
              <w:jc w:val="left"/>
              <w:rPr>
                <w:rFonts w:asciiTheme="majorBidi" w:hAnsiTheme="majorBidi" w:cstheme="majorBidi"/>
                <w:bCs/>
                <w:sz w:val="18"/>
                <w:szCs w:val="18"/>
                <w:lang w:val="en-GB"/>
              </w:rPr>
            </w:pPr>
            <w:r>
              <w:rPr>
                <w:rFonts w:asciiTheme="majorBidi" w:hAnsiTheme="majorBidi" w:cstheme="majorBidi"/>
                <w:bCs/>
                <w:sz w:val="18"/>
                <w:szCs w:val="18"/>
                <w:lang w:val="en-GB"/>
              </w:rPr>
              <w:t>]</w:t>
            </w:r>
          </w:p>
        </w:tc>
      </w:tr>
    </w:tbl>
    <w:p w:rsidR="00124E6E" w:rsidRPr="00455982" w:rsidRDefault="00124E6E" w:rsidP="00124E6E">
      <w:pPr>
        <w:pStyle w:val="SingleTxtG"/>
        <w:spacing w:before="120"/>
        <w:rPr>
          <w:i/>
          <w:iCs/>
          <w:lang w:val="fr-FR"/>
        </w:rPr>
      </w:pPr>
      <w:r w:rsidRPr="00AB7C1B">
        <w:rPr>
          <w:i/>
          <w:iCs/>
        </w:rPr>
        <w:t>Note du secrétariat</w:t>
      </w:r>
      <w:r w:rsidRPr="00AB7C1B">
        <w:t> </w:t>
      </w:r>
      <w:r w:rsidRPr="00AB7C1B">
        <w:rPr>
          <w:i/>
          <w:iCs/>
        </w:rPr>
        <w:t>: le tableau A de l'ADN sera complété par le groupe de travail informel sur les matières.</w:t>
      </w:r>
    </w:p>
    <w:p w:rsidR="00124E6E" w:rsidRPr="00E64F1C" w:rsidRDefault="00124E6E" w:rsidP="00124E6E">
      <w:pPr>
        <w:pStyle w:val="SingleTxtG"/>
        <w:ind w:left="2259" w:hanging="1125"/>
        <w:rPr>
          <w:b/>
          <w:bCs/>
        </w:rPr>
      </w:pPr>
      <w:r w:rsidRPr="00E64F1C">
        <w:rPr>
          <w:b/>
          <w:bCs/>
        </w:rPr>
        <w:t>(RID/ADR:)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0"/>
        <w:gridCol w:w="1314"/>
        <w:gridCol w:w="314"/>
        <w:gridCol w:w="363"/>
        <w:gridCol w:w="243"/>
        <w:gridCol w:w="840"/>
        <w:gridCol w:w="474"/>
        <w:gridCol w:w="314"/>
        <w:gridCol w:w="323"/>
        <w:gridCol w:w="504"/>
        <w:gridCol w:w="314"/>
        <w:gridCol w:w="448"/>
        <w:gridCol w:w="376"/>
        <w:gridCol w:w="1097"/>
        <w:gridCol w:w="528"/>
        <w:gridCol w:w="324"/>
        <w:gridCol w:w="474"/>
        <w:gridCol w:w="465"/>
        <w:gridCol w:w="483"/>
      </w:tblGrid>
      <w:tr w:rsidR="00124E6E" w:rsidRPr="000D7310" w:rsidTr="00124E6E">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(3a)</w:t>
            </w:r>
          </w:p>
        </w:tc>
        <w:tc>
          <w:tcPr>
            <w:tcW w:w="188"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(3b)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(4)</w:t>
            </w:r>
          </w:p>
        </w:tc>
        <w:tc>
          <w:tcPr>
            <w:tcW w:w="436"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(5)</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(6)</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(7a)</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(7b)</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(8)</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(9a)</w:t>
            </w:r>
          </w:p>
        </w:tc>
        <w:tc>
          <w:tcPr>
            <w:tcW w:w="233"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(9b)</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(10)</w:t>
            </w:r>
            <w:r>
              <w:rPr>
                <w:rFonts w:asciiTheme="majorBidi" w:hAnsiTheme="majorBidi" w:cstheme="majorBidi"/>
                <w:bCs/>
                <w:sz w:val="16"/>
                <w:szCs w:val="16"/>
              </w:rPr>
              <w:t>-(14)</w:t>
            </w:r>
          </w:p>
        </w:tc>
        <w:tc>
          <w:tcPr>
            <w:tcW w:w="570"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(15)</w:t>
            </w:r>
          </w:p>
        </w:tc>
        <w:tc>
          <w:tcPr>
            <w:tcW w:w="274"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(16)</w:t>
            </w:r>
          </w:p>
        </w:tc>
        <w:tc>
          <w:tcPr>
            <w:tcW w:w="168"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(17)</w:t>
            </w:r>
          </w:p>
        </w:tc>
        <w:tc>
          <w:tcPr>
            <w:tcW w:w="246"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(18)</w:t>
            </w:r>
          </w:p>
        </w:tc>
        <w:tc>
          <w:tcPr>
            <w:tcW w:w="241"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(19)</w:t>
            </w:r>
          </w:p>
        </w:tc>
        <w:tc>
          <w:tcPr>
            <w:tcW w:w="251"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(20)</w:t>
            </w:r>
          </w:p>
        </w:tc>
      </w:tr>
      <w:tr w:rsidR="00124E6E" w:rsidRPr="000D7310" w:rsidTr="00124E6E">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0511</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rPr>
                <w:rFonts w:asciiTheme="majorBidi" w:hAnsiTheme="majorBidi" w:cstheme="majorBidi"/>
                <w:bCs/>
                <w:sz w:val="16"/>
                <w:szCs w:val="16"/>
              </w:rPr>
            </w:pPr>
            <w:r w:rsidRPr="00294C7F">
              <w:rPr>
                <w:sz w:val="16"/>
                <w:szCs w:val="16"/>
              </w:rPr>
              <w:t>DÉTONATEURS de mine (de sautage) ÉLECTRONIQUE programmables</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8"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1.1B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r>
              <w:rPr>
                <w:rFonts w:asciiTheme="majorBidi" w:hAnsiTheme="majorBidi" w:cstheme="majorBidi"/>
                <w:bCs/>
                <w:sz w:val="16"/>
                <w:szCs w:val="16"/>
              </w:rPr>
              <w:t xml:space="preserve"> (RID</w:t>
            </w:r>
            <w:proofErr w:type="gramStart"/>
            <w:r>
              <w:rPr>
                <w:rFonts w:asciiTheme="majorBidi" w:hAnsiTheme="majorBidi" w:cstheme="majorBidi"/>
                <w:bCs/>
                <w:sz w:val="16"/>
                <w:szCs w:val="16"/>
              </w:rPr>
              <w:t>:)(</w:t>
            </w:r>
            <w:proofErr w:type="gramEnd"/>
            <w:r>
              <w:rPr>
                <w:rFonts w:asciiTheme="majorBidi" w:hAnsiTheme="majorBidi" w:cstheme="majorBidi"/>
                <w:bCs/>
                <w:sz w:val="16"/>
                <w:szCs w:val="16"/>
              </w:rPr>
              <w:t>+13)</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w:t>
            </w:r>
            <w:r w:rsidRPr="000D7310">
              <w:rPr>
                <w:rFonts w:asciiTheme="majorBidi" w:hAnsiTheme="majorBidi" w:cstheme="majorBidi"/>
                <w:bCs/>
                <w:iCs/>
                <w:sz w:val="16"/>
                <w:szCs w:val="16"/>
              </w:rPr>
              <w:br/>
              <w:t>(ADR:)</w:t>
            </w:r>
            <w:r>
              <w:rPr>
                <w:rFonts w:asciiTheme="majorBidi" w:hAnsiTheme="majorBidi" w:cstheme="majorBidi"/>
                <w:bCs/>
                <w:iCs/>
                <w:sz w:val="16"/>
                <w:szCs w:val="16"/>
              </w:rPr>
              <w:br/>
            </w:r>
            <w:r w:rsidRPr="000D7310">
              <w:rPr>
                <w:rFonts w:asciiTheme="majorBidi" w:hAnsiTheme="majorBidi" w:cstheme="majorBidi"/>
                <w:bCs/>
                <w:iCs/>
                <w:sz w:val="16"/>
                <w:szCs w:val="16"/>
              </w:rPr>
              <w:t>(B1000C)</w:t>
            </w:r>
          </w:p>
        </w:tc>
        <w:tc>
          <w:tcPr>
            <w:tcW w:w="274"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W2/V2</w:t>
            </w:r>
          </w:p>
        </w:tc>
        <w:tc>
          <w:tcPr>
            <w:tcW w:w="168"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CW1</w:t>
            </w:r>
            <w:r>
              <w:rPr>
                <w:rFonts w:asciiTheme="majorBidi" w:hAnsiTheme="majorBidi" w:cstheme="majorBidi"/>
                <w:bCs/>
                <w:iCs/>
                <w:sz w:val="16"/>
                <w:szCs w:val="16"/>
              </w:rPr>
              <w:t>/</w:t>
            </w:r>
            <w:r>
              <w:rPr>
                <w:rFonts w:asciiTheme="majorBidi" w:hAnsiTheme="majorBidi" w:cstheme="majorBidi"/>
                <w:bCs/>
                <w:iCs/>
                <w:sz w:val="16"/>
                <w:szCs w:val="16"/>
              </w:rPr>
              <w:br/>
            </w:r>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(RID:)</w:t>
            </w:r>
            <w:r>
              <w:rPr>
                <w:rFonts w:asciiTheme="majorBidi" w:hAnsiTheme="majorBidi" w:cstheme="majorBidi"/>
                <w:bCs/>
                <w:iCs/>
                <w:sz w:val="16"/>
                <w:szCs w:val="16"/>
              </w:rPr>
              <w:br/>
            </w:r>
            <w:r w:rsidRPr="000D7310">
              <w:rPr>
                <w:rFonts w:asciiTheme="majorBidi" w:hAnsiTheme="majorBidi" w:cstheme="majorBidi"/>
                <w:bCs/>
                <w:iCs/>
                <w:sz w:val="16"/>
                <w:szCs w:val="16"/>
              </w:rPr>
              <w:t>1.1B</w:t>
            </w:r>
          </w:p>
        </w:tc>
      </w:tr>
      <w:tr w:rsidR="00124E6E" w:rsidRPr="000D7310" w:rsidTr="00124E6E">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0512</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rPr>
                <w:rFonts w:asciiTheme="majorBidi" w:hAnsiTheme="majorBidi" w:cstheme="majorBidi"/>
                <w:bCs/>
                <w:sz w:val="16"/>
                <w:szCs w:val="16"/>
              </w:rPr>
            </w:pPr>
            <w:bookmarkStart w:id="48" w:name="_Hlk10536116"/>
            <w:r w:rsidRPr="00294C7F">
              <w:rPr>
                <w:sz w:val="16"/>
                <w:szCs w:val="16"/>
              </w:rPr>
              <w:t>DÉTONATEURS de mine (de sautage) ÉLECTRONIQUE programmables</w:t>
            </w:r>
            <w:bookmarkEnd w:id="48"/>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8"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1.4B</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2</w:t>
            </w:r>
            <w:r w:rsidRPr="000D7310">
              <w:rPr>
                <w:rFonts w:asciiTheme="majorBidi" w:hAnsiTheme="majorBidi" w:cstheme="majorBidi"/>
                <w:bCs/>
                <w:iCs/>
                <w:sz w:val="16"/>
                <w:szCs w:val="16"/>
              </w:rPr>
              <w:br/>
              <w:t>(ADR:)</w:t>
            </w:r>
            <w:r>
              <w:rPr>
                <w:rFonts w:asciiTheme="majorBidi" w:hAnsiTheme="majorBidi" w:cstheme="majorBidi"/>
                <w:bCs/>
                <w:iCs/>
                <w:sz w:val="16"/>
                <w:szCs w:val="16"/>
              </w:rPr>
              <w:br/>
            </w:r>
            <w:r w:rsidRPr="000D7310">
              <w:rPr>
                <w:rFonts w:asciiTheme="majorBidi" w:hAnsiTheme="majorBidi" w:cstheme="majorBidi"/>
                <w:bCs/>
                <w:iCs/>
                <w:sz w:val="16"/>
                <w:szCs w:val="16"/>
              </w:rPr>
              <w:t>(E)</w:t>
            </w:r>
          </w:p>
        </w:tc>
        <w:tc>
          <w:tcPr>
            <w:tcW w:w="274"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Pr>
                <w:rFonts w:asciiTheme="majorBidi" w:hAnsiTheme="majorBidi" w:cstheme="majorBidi"/>
                <w:bCs/>
                <w:iCs/>
                <w:sz w:val="16"/>
                <w:szCs w:val="16"/>
              </w:rPr>
              <w:t>W2/</w:t>
            </w:r>
            <w:r w:rsidRPr="000D7310">
              <w:rPr>
                <w:rFonts w:asciiTheme="majorBidi" w:hAnsiTheme="majorBidi" w:cstheme="majorBidi"/>
                <w:bCs/>
                <w:iCs/>
                <w:sz w:val="16"/>
                <w:szCs w:val="16"/>
              </w:rPr>
              <w:t>V2</w:t>
            </w:r>
          </w:p>
        </w:tc>
        <w:tc>
          <w:tcPr>
            <w:tcW w:w="168"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CW1</w:t>
            </w:r>
            <w:r>
              <w:rPr>
                <w:rFonts w:asciiTheme="majorBidi" w:hAnsiTheme="majorBidi" w:cstheme="majorBidi"/>
                <w:bCs/>
                <w:iCs/>
                <w:sz w:val="16"/>
                <w:szCs w:val="16"/>
              </w:rPr>
              <w:t>/</w:t>
            </w:r>
            <w:r>
              <w:rPr>
                <w:rFonts w:asciiTheme="majorBidi" w:hAnsiTheme="majorBidi" w:cstheme="majorBidi"/>
                <w:bCs/>
                <w:iCs/>
                <w:sz w:val="16"/>
                <w:szCs w:val="16"/>
              </w:rPr>
              <w:br/>
            </w:r>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(RID:)</w:t>
            </w:r>
          </w:p>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1.4B</w:t>
            </w:r>
          </w:p>
        </w:tc>
      </w:tr>
      <w:tr w:rsidR="00124E6E" w:rsidRPr="000D7310" w:rsidTr="00124E6E">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0513</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rPr>
                <w:rFonts w:asciiTheme="majorBidi" w:hAnsiTheme="majorBidi" w:cstheme="majorBidi"/>
                <w:bCs/>
                <w:sz w:val="16"/>
                <w:szCs w:val="16"/>
              </w:rPr>
            </w:pPr>
            <w:r w:rsidRPr="00294C7F">
              <w:rPr>
                <w:sz w:val="16"/>
                <w:szCs w:val="16"/>
              </w:rPr>
              <w:t>DÉTONATEURS de mine (de sautage) ÉLECTRONIQUE programmables</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w:t>
            </w:r>
          </w:p>
        </w:tc>
        <w:tc>
          <w:tcPr>
            <w:tcW w:w="188"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1.4S</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347</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sz w:val="16"/>
                <w:szCs w:val="16"/>
              </w:rPr>
              <w:t>P131</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MP23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4</w:t>
            </w:r>
            <w:r w:rsidRPr="000D7310">
              <w:rPr>
                <w:rFonts w:asciiTheme="majorBidi" w:hAnsiTheme="majorBidi" w:cstheme="majorBidi"/>
                <w:bCs/>
                <w:iCs/>
                <w:sz w:val="16"/>
                <w:szCs w:val="16"/>
              </w:rPr>
              <w:br/>
              <w:t>(ADR:)</w:t>
            </w:r>
            <w:r>
              <w:rPr>
                <w:rFonts w:asciiTheme="majorBidi" w:hAnsiTheme="majorBidi" w:cstheme="majorBidi"/>
                <w:bCs/>
                <w:iCs/>
                <w:sz w:val="16"/>
                <w:szCs w:val="16"/>
              </w:rPr>
              <w:br/>
            </w:r>
            <w:r w:rsidRPr="000D7310">
              <w:rPr>
                <w:rFonts w:asciiTheme="majorBidi" w:hAnsiTheme="majorBidi" w:cstheme="majorBidi"/>
                <w:bCs/>
                <w:iCs/>
                <w:sz w:val="16"/>
                <w:szCs w:val="16"/>
              </w:rPr>
              <w:t>(E)</w:t>
            </w:r>
          </w:p>
        </w:tc>
        <w:tc>
          <w:tcPr>
            <w:tcW w:w="274"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(RID:)</w:t>
            </w:r>
          </w:p>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W2</w:t>
            </w:r>
          </w:p>
        </w:tc>
        <w:tc>
          <w:tcPr>
            <w:tcW w:w="168"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CW1</w:t>
            </w:r>
            <w:r>
              <w:rPr>
                <w:rFonts w:asciiTheme="majorBidi" w:hAnsiTheme="majorBidi" w:cstheme="majorBidi"/>
                <w:bCs/>
                <w:iCs/>
                <w:sz w:val="16"/>
                <w:szCs w:val="16"/>
              </w:rPr>
              <w:t>/</w:t>
            </w:r>
            <w:r>
              <w:rPr>
                <w:rFonts w:asciiTheme="majorBidi" w:hAnsiTheme="majorBidi" w:cstheme="majorBidi"/>
                <w:bCs/>
                <w:iCs/>
                <w:sz w:val="16"/>
                <w:szCs w:val="16"/>
              </w:rPr>
              <w:br/>
            </w:r>
            <w:r w:rsidRPr="000D7310">
              <w:rPr>
                <w:rFonts w:asciiTheme="majorBidi" w:hAnsiTheme="majorBidi" w:cstheme="majorBidi"/>
                <w:bCs/>
                <w:iCs/>
                <w:sz w:val="16"/>
                <w:szCs w:val="16"/>
              </w:rPr>
              <w:t>CV1</w:t>
            </w:r>
            <w:r w:rsidRPr="000D7310">
              <w:rPr>
                <w:rFonts w:asciiTheme="majorBidi" w:hAnsiTheme="majorBidi" w:cstheme="majorBidi"/>
                <w:bCs/>
                <w:iCs/>
                <w:sz w:val="16"/>
                <w:szCs w:val="16"/>
              </w:rPr>
              <w:br/>
              <w:t>CV2</w:t>
            </w:r>
            <w:r w:rsidRPr="000D7310">
              <w:rPr>
                <w:rFonts w:asciiTheme="majorBidi" w:hAnsiTheme="majorBidi" w:cstheme="majorBidi"/>
                <w:bCs/>
                <w:iCs/>
                <w:sz w:val="16"/>
                <w:szCs w:val="16"/>
              </w:rPr>
              <w:br/>
              <w:t>CV3</w:t>
            </w:r>
          </w:p>
        </w:tc>
        <w:tc>
          <w:tcPr>
            <w:tcW w:w="241"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CE1/</w:t>
            </w:r>
            <w:r>
              <w:rPr>
                <w:rFonts w:asciiTheme="majorBidi" w:hAnsiTheme="majorBidi" w:cstheme="majorBidi"/>
                <w:bCs/>
                <w:iCs/>
                <w:sz w:val="16"/>
                <w:szCs w:val="16"/>
              </w:rPr>
              <w:br/>
            </w:r>
            <w:r w:rsidRPr="000D7310">
              <w:rPr>
                <w:rFonts w:asciiTheme="majorBidi" w:hAnsiTheme="majorBidi" w:cstheme="majorBidi"/>
                <w:bCs/>
                <w:iCs/>
                <w:sz w:val="16"/>
                <w:szCs w:val="16"/>
              </w:rPr>
              <w:t>S1</w:t>
            </w:r>
          </w:p>
        </w:tc>
        <w:tc>
          <w:tcPr>
            <w:tcW w:w="251"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(RID:)</w:t>
            </w:r>
            <w:r>
              <w:rPr>
                <w:rFonts w:asciiTheme="majorBidi" w:hAnsiTheme="majorBidi" w:cstheme="majorBidi"/>
                <w:bCs/>
                <w:iCs/>
                <w:sz w:val="16"/>
                <w:szCs w:val="16"/>
              </w:rPr>
              <w:br/>
            </w:r>
            <w:r w:rsidRPr="000D7310">
              <w:rPr>
                <w:rFonts w:asciiTheme="majorBidi" w:hAnsiTheme="majorBidi" w:cstheme="majorBidi"/>
                <w:bCs/>
                <w:iCs/>
                <w:sz w:val="16"/>
                <w:szCs w:val="16"/>
              </w:rPr>
              <w:t>1.4S</w:t>
            </w:r>
          </w:p>
        </w:tc>
      </w:tr>
      <w:tr w:rsidR="00124E6E" w:rsidRPr="000D7310" w:rsidTr="00124E6E">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124E6E" w:rsidRPr="0032758B" w:rsidRDefault="00124E6E" w:rsidP="00124E6E">
            <w:pPr>
              <w:suppressAutoHyphens w:val="0"/>
              <w:spacing w:after="60" w:line="240" w:lineRule="auto"/>
              <w:jc w:val="center"/>
              <w:rPr>
                <w:rFonts w:asciiTheme="majorBidi" w:hAnsiTheme="majorBidi" w:cstheme="majorBidi"/>
                <w:bCs/>
                <w:sz w:val="16"/>
                <w:szCs w:val="16"/>
              </w:rPr>
            </w:pPr>
            <w:r w:rsidRPr="0032758B">
              <w:rPr>
                <w:rFonts w:asciiTheme="majorBidi" w:hAnsiTheme="majorBidi" w:cstheme="majorBidi"/>
                <w:sz w:val="16"/>
                <w:szCs w:val="16"/>
              </w:rPr>
              <w:t>3549</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24E6E" w:rsidRPr="0032758B" w:rsidRDefault="00124E6E" w:rsidP="00124E6E">
            <w:pPr>
              <w:suppressAutoHyphens w:val="0"/>
              <w:spacing w:after="60" w:line="240" w:lineRule="auto"/>
              <w:rPr>
                <w:rFonts w:asciiTheme="majorBidi" w:hAnsiTheme="majorBidi" w:cstheme="majorBidi"/>
                <w:bCs/>
                <w:sz w:val="16"/>
                <w:szCs w:val="16"/>
              </w:rPr>
            </w:pPr>
            <w:r w:rsidRPr="00294C7F">
              <w:rPr>
                <w:sz w:val="16"/>
                <w:szCs w:val="16"/>
                <w:lang w:val="fr-FR"/>
              </w:rPr>
              <w:t xml:space="preserve">DÉCHETS MÉDICAUX </w:t>
            </w:r>
            <w:r w:rsidRPr="00294C7F">
              <w:rPr>
                <w:sz w:val="16"/>
                <w:szCs w:val="16"/>
                <w:lang w:val="fr-FR"/>
              </w:rPr>
              <w:br/>
              <w:t>INFECTIEUX POUR L’HOMME, CATÉGORIE A, solides ou DÉCHETS MÉDICAUX INFECTIEUX POUR LES ANIMAUX uniquement, CATÉGORIE A, solides</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32758B" w:rsidRDefault="00124E6E" w:rsidP="00124E6E">
            <w:pPr>
              <w:suppressAutoHyphens w:val="0"/>
              <w:spacing w:after="60" w:line="240" w:lineRule="auto"/>
              <w:jc w:val="center"/>
              <w:rPr>
                <w:rFonts w:asciiTheme="majorBidi" w:hAnsiTheme="majorBidi" w:cstheme="majorBidi"/>
                <w:bCs/>
                <w:sz w:val="16"/>
                <w:szCs w:val="16"/>
              </w:rPr>
            </w:pPr>
            <w:r w:rsidRPr="0032758B">
              <w:rPr>
                <w:rFonts w:asciiTheme="majorBidi" w:hAnsiTheme="majorBidi" w:cstheme="majorBidi"/>
                <w:sz w:val="16"/>
                <w:szCs w:val="16"/>
              </w:rPr>
              <w:t>6.2</w:t>
            </w:r>
          </w:p>
        </w:tc>
        <w:tc>
          <w:tcPr>
            <w:tcW w:w="188" w:type="pct"/>
            <w:tcBorders>
              <w:top w:val="single" w:sz="4" w:space="0" w:color="auto"/>
              <w:left w:val="single" w:sz="4" w:space="0" w:color="auto"/>
              <w:bottom w:val="single" w:sz="4" w:space="0" w:color="auto"/>
              <w:right w:val="single" w:sz="4" w:space="0" w:color="auto"/>
            </w:tcBorders>
          </w:tcPr>
          <w:p w:rsidR="00124E6E" w:rsidRPr="0032758B" w:rsidRDefault="00124E6E" w:rsidP="00124E6E">
            <w:pPr>
              <w:suppressAutoHyphens w:val="0"/>
              <w:spacing w:after="60" w:line="240" w:lineRule="auto"/>
              <w:jc w:val="center"/>
              <w:rPr>
                <w:rFonts w:asciiTheme="majorBidi" w:hAnsiTheme="majorBidi" w:cstheme="majorBidi"/>
                <w:bCs/>
                <w:sz w:val="16"/>
                <w:szCs w:val="16"/>
              </w:rPr>
            </w:pPr>
            <w:r w:rsidRPr="0032758B">
              <w:rPr>
                <w:rFonts w:asciiTheme="majorBidi" w:hAnsiTheme="majorBidi" w:cstheme="majorBidi"/>
                <w:bCs/>
                <w:sz w:val="16"/>
                <w:szCs w:val="16"/>
              </w:rPr>
              <w:t>I3</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124E6E" w:rsidRPr="0032758B" w:rsidRDefault="00124E6E" w:rsidP="00124E6E">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124E6E" w:rsidRPr="0032758B" w:rsidRDefault="00124E6E" w:rsidP="00124E6E">
            <w:pPr>
              <w:suppressAutoHyphens w:val="0"/>
              <w:spacing w:after="60" w:line="240" w:lineRule="auto"/>
              <w:jc w:val="center"/>
              <w:rPr>
                <w:rFonts w:asciiTheme="majorBidi" w:hAnsiTheme="majorBidi" w:cstheme="majorBidi"/>
                <w:bCs/>
                <w:sz w:val="16"/>
                <w:szCs w:val="16"/>
              </w:rPr>
            </w:pPr>
            <w:r w:rsidRPr="0032758B">
              <w:rPr>
                <w:rFonts w:asciiTheme="majorBidi" w:hAnsiTheme="majorBidi" w:cstheme="majorBidi"/>
                <w:bCs/>
                <w:sz w:val="16"/>
                <w:szCs w:val="16"/>
              </w:rPr>
              <w:t>6.2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24E6E" w:rsidRPr="0032758B" w:rsidRDefault="00124E6E" w:rsidP="00124E6E">
            <w:pPr>
              <w:suppressAutoHyphens w:val="0"/>
              <w:spacing w:after="60" w:line="240" w:lineRule="auto"/>
              <w:jc w:val="center"/>
              <w:rPr>
                <w:rFonts w:asciiTheme="majorBidi" w:hAnsiTheme="majorBidi" w:cstheme="majorBidi"/>
                <w:bCs/>
                <w:sz w:val="16"/>
                <w:szCs w:val="16"/>
              </w:rPr>
            </w:pPr>
            <w:r w:rsidRPr="0032758B">
              <w:rPr>
                <w:rFonts w:asciiTheme="majorBidi" w:hAnsiTheme="majorBidi" w:cstheme="majorBidi"/>
                <w:sz w:val="16"/>
                <w:szCs w:val="16"/>
              </w:rPr>
              <w:t>395</w:t>
            </w:r>
            <w:r w:rsidRPr="0032758B">
              <w:rPr>
                <w:rFonts w:asciiTheme="majorBidi" w:hAnsiTheme="majorBidi" w:cstheme="majorBidi"/>
                <w:sz w:val="16"/>
                <w:szCs w:val="16"/>
              </w:rPr>
              <w:br/>
              <w:t>[6XX]</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32758B" w:rsidRDefault="00124E6E" w:rsidP="00124E6E">
            <w:pPr>
              <w:suppressAutoHyphens w:val="0"/>
              <w:spacing w:after="60" w:line="240" w:lineRule="auto"/>
              <w:jc w:val="center"/>
              <w:rPr>
                <w:rFonts w:asciiTheme="majorBidi" w:hAnsiTheme="majorBidi" w:cstheme="majorBidi"/>
                <w:bCs/>
                <w:sz w:val="16"/>
                <w:szCs w:val="16"/>
              </w:rPr>
            </w:pPr>
            <w:r w:rsidRPr="0032758B">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124E6E" w:rsidRPr="0032758B" w:rsidRDefault="00124E6E" w:rsidP="00124E6E">
            <w:pPr>
              <w:suppressAutoHyphens w:val="0"/>
              <w:spacing w:after="60" w:line="240" w:lineRule="auto"/>
              <w:jc w:val="center"/>
              <w:rPr>
                <w:rFonts w:asciiTheme="majorBidi" w:hAnsiTheme="majorBidi" w:cstheme="majorBidi"/>
                <w:bCs/>
                <w:sz w:val="16"/>
                <w:szCs w:val="16"/>
              </w:rPr>
            </w:pPr>
            <w:r w:rsidRPr="0032758B">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124E6E" w:rsidRPr="0032758B" w:rsidRDefault="00124E6E" w:rsidP="00124E6E">
            <w:pPr>
              <w:suppressAutoHyphens w:val="0"/>
              <w:spacing w:after="60" w:line="240" w:lineRule="auto"/>
              <w:jc w:val="center"/>
              <w:rPr>
                <w:rFonts w:asciiTheme="majorBidi" w:hAnsiTheme="majorBidi" w:cstheme="majorBidi"/>
                <w:sz w:val="16"/>
                <w:szCs w:val="16"/>
              </w:rPr>
            </w:pPr>
            <w:r w:rsidRPr="0032758B">
              <w:rPr>
                <w:rFonts w:asciiTheme="majorBidi" w:hAnsiTheme="majorBidi" w:cstheme="majorBidi"/>
                <w:sz w:val="16"/>
                <w:szCs w:val="16"/>
              </w:rPr>
              <w:t>P622</w:t>
            </w:r>
            <w:r w:rsidRPr="0032758B">
              <w:rPr>
                <w:rFonts w:asciiTheme="majorBidi" w:hAnsiTheme="majorBidi" w:cstheme="majorBidi"/>
                <w:sz w:val="16"/>
                <w:szCs w:val="16"/>
              </w:rPr>
              <w:br/>
              <w:t>LP622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32758B" w:rsidRDefault="00124E6E" w:rsidP="00124E6E">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124E6E" w:rsidRPr="0032758B" w:rsidRDefault="00124E6E" w:rsidP="00124E6E">
            <w:pPr>
              <w:suppressAutoHyphens w:val="0"/>
              <w:spacing w:after="60" w:line="240" w:lineRule="auto"/>
              <w:jc w:val="center"/>
              <w:rPr>
                <w:rFonts w:asciiTheme="majorBidi" w:hAnsiTheme="majorBidi" w:cstheme="majorBidi"/>
                <w:bCs/>
                <w:sz w:val="16"/>
                <w:szCs w:val="16"/>
              </w:rPr>
            </w:pPr>
            <w:r w:rsidRPr="0032758B">
              <w:rPr>
                <w:rFonts w:asciiTheme="majorBidi" w:hAnsiTheme="majorBidi" w:cstheme="majorBidi"/>
                <w:bCs/>
                <w:sz w:val="16"/>
                <w:szCs w:val="16"/>
              </w:rPr>
              <w:t>MP6</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124E6E" w:rsidRPr="0032758B" w:rsidRDefault="00124E6E" w:rsidP="00124E6E">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124E6E" w:rsidRPr="0032758B" w:rsidRDefault="00124E6E" w:rsidP="00124E6E">
            <w:pPr>
              <w:suppressAutoHyphens w:val="0"/>
              <w:spacing w:after="60" w:line="240" w:lineRule="auto"/>
              <w:jc w:val="center"/>
              <w:rPr>
                <w:rFonts w:asciiTheme="majorBidi" w:hAnsiTheme="majorBidi" w:cstheme="majorBidi"/>
                <w:bCs/>
                <w:iCs/>
                <w:sz w:val="16"/>
                <w:szCs w:val="16"/>
              </w:rPr>
            </w:pPr>
            <w:r>
              <w:rPr>
                <w:rFonts w:asciiTheme="majorBidi" w:hAnsiTheme="majorBidi" w:cstheme="majorBidi"/>
                <w:bCs/>
                <w:iCs/>
                <w:sz w:val="16"/>
                <w:szCs w:val="16"/>
              </w:rPr>
              <w:t>[</w:t>
            </w:r>
            <w:r w:rsidRPr="0032758B">
              <w:rPr>
                <w:rFonts w:asciiTheme="majorBidi" w:hAnsiTheme="majorBidi" w:cstheme="majorBidi"/>
                <w:bCs/>
                <w:iCs/>
                <w:sz w:val="16"/>
                <w:szCs w:val="16"/>
              </w:rPr>
              <w:t>0</w:t>
            </w:r>
            <w:r w:rsidRPr="0032758B">
              <w:rPr>
                <w:rFonts w:asciiTheme="majorBidi" w:hAnsiTheme="majorBidi" w:cstheme="majorBidi"/>
                <w:bCs/>
                <w:iCs/>
                <w:sz w:val="16"/>
                <w:szCs w:val="16"/>
              </w:rPr>
              <w:br/>
              <w:t>(ADR:)</w:t>
            </w:r>
            <w:r w:rsidRPr="0032758B">
              <w:rPr>
                <w:rFonts w:asciiTheme="majorBidi" w:hAnsiTheme="majorBidi" w:cstheme="majorBidi"/>
                <w:bCs/>
                <w:iCs/>
                <w:sz w:val="16"/>
                <w:szCs w:val="16"/>
              </w:rPr>
              <w:br/>
              <w:t>(-)</w:t>
            </w:r>
            <w:r>
              <w:rPr>
                <w:rFonts w:asciiTheme="majorBidi" w:hAnsiTheme="majorBidi" w:cstheme="majorBidi"/>
                <w:bCs/>
                <w:iCs/>
                <w:sz w:val="16"/>
                <w:szCs w:val="16"/>
              </w:rPr>
              <w:t>]</w:t>
            </w:r>
          </w:p>
        </w:tc>
        <w:tc>
          <w:tcPr>
            <w:tcW w:w="274" w:type="pct"/>
            <w:tcBorders>
              <w:top w:val="single" w:sz="4" w:space="0" w:color="auto"/>
              <w:left w:val="single" w:sz="4" w:space="0" w:color="auto"/>
              <w:bottom w:val="single" w:sz="4" w:space="0" w:color="auto"/>
              <w:right w:val="single" w:sz="4" w:space="0" w:color="auto"/>
            </w:tcBorders>
          </w:tcPr>
          <w:p w:rsidR="00124E6E" w:rsidRPr="0032758B" w:rsidRDefault="00124E6E" w:rsidP="00124E6E">
            <w:pPr>
              <w:suppressAutoHyphens w:val="0"/>
              <w:spacing w:after="60" w:line="240" w:lineRule="auto"/>
              <w:jc w:val="center"/>
              <w:rPr>
                <w:rFonts w:asciiTheme="majorBidi" w:hAnsiTheme="majorBidi" w:cstheme="majorBidi"/>
                <w:bCs/>
                <w:iCs/>
                <w:sz w:val="16"/>
                <w:szCs w:val="16"/>
              </w:rPr>
            </w:pPr>
            <w:r w:rsidRPr="0032758B">
              <w:rPr>
                <w:rFonts w:asciiTheme="majorBidi" w:hAnsiTheme="majorBidi" w:cstheme="majorBidi"/>
                <w:bCs/>
                <w:iCs/>
                <w:sz w:val="16"/>
                <w:szCs w:val="16"/>
              </w:rPr>
              <w:t>W9/</w:t>
            </w:r>
            <w:r w:rsidRPr="0032758B">
              <w:rPr>
                <w:rFonts w:asciiTheme="majorBidi" w:hAnsiTheme="majorBidi" w:cstheme="majorBidi"/>
                <w:bCs/>
                <w:iCs/>
                <w:sz w:val="16"/>
                <w:szCs w:val="16"/>
              </w:rPr>
              <w:br/>
              <w:t>V1</w:t>
            </w:r>
          </w:p>
        </w:tc>
        <w:tc>
          <w:tcPr>
            <w:tcW w:w="168" w:type="pct"/>
            <w:tcBorders>
              <w:top w:val="single" w:sz="4" w:space="0" w:color="auto"/>
              <w:left w:val="single" w:sz="4" w:space="0" w:color="auto"/>
              <w:bottom w:val="single" w:sz="4" w:space="0" w:color="auto"/>
              <w:right w:val="single" w:sz="4" w:space="0" w:color="auto"/>
            </w:tcBorders>
          </w:tcPr>
          <w:p w:rsidR="00124E6E" w:rsidRPr="0032758B" w:rsidRDefault="00124E6E" w:rsidP="00124E6E">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124E6E" w:rsidRPr="00455982" w:rsidRDefault="00124E6E" w:rsidP="00124E6E">
            <w:pPr>
              <w:suppressAutoHyphens w:val="0"/>
              <w:spacing w:after="60" w:line="240" w:lineRule="auto"/>
              <w:jc w:val="center"/>
              <w:rPr>
                <w:rFonts w:asciiTheme="majorBidi" w:hAnsiTheme="majorBidi" w:cstheme="majorBidi"/>
                <w:bCs/>
                <w:iCs/>
                <w:sz w:val="16"/>
                <w:szCs w:val="16"/>
                <w:lang w:val="en-GB"/>
              </w:rPr>
            </w:pPr>
            <w:r w:rsidRPr="00455982">
              <w:rPr>
                <w:rFonts w:asciiTheme="majorBidi" w:hAnsiTheme="majorBidi" w:cstheme="majorBidi"/>
                <w:bCs/>
                <w:iCs/>
                <w:sz w:val="16"/>
                <w:szCs w:val="16"/>
                <w:lang w:val="en-GB"/>
              </w:rPr>
              <w:t>CW13</w:t>
            </w:r>
            <w:r w:rsidRPr="00455982">
              <w:rPr>
                <w:rFonts w:asciiTheme="majorBidi" w:hAnsiTheme="majorBidi" w:cstheme="majorBidi"/>
                <w:bCs/>
                <w:iCs/>
                <w:sz w:val="16"/>
                <w:szCs w:val="16"/>
                <w:lang w:val="en-GB"/>
              </w:rPr>
              <w:br/>
              <w:t xml:space="preserve">CW18 </w:t>
            </w:r>
            <w:r w:rsidRPr="00455982">
              <w:rPr>
                <w:rFonts w:asciiTheme="majorBidi" w:hAnsiTheme="majorBidi" w:cstheme="majorBidi"/>
                <w:bCs/>
                <w:iCs/>
                <w:sz w:val="16"/>
                <w:szCs w:val="16"/>
                <w:lang w:val="en-GB"/>
              </w:rPr>
              <w:br/>
              <w:t>CW26 CW28</w:t>
            </w:r>
          </w:p>
          <w:p w:rsidR="00124E6E" w:rsidRPr="00455982" w:rsidRDefault="00124E6E" w:rsidP="00124E6E">
            <w:pPr>
              <w:suppressAutoHyphens w:val="0"/>
              <w:spacing w:after="60" w:line="240" w:lineRule="auto"/>
              <w:jc w:val="center"/>
              <w:rPr>
                <w:rFonts w:asciiTheme="majorBidi" w:hAnsiTheme="majorBidi" w:cstheme="majorBidi"/>
                <w:bCs/>
                <w:iCs/>
                <w:sz w:val="16"/>
                <w:szCs w:val="16"/>
                <w:lang w:val="en-GB"/>
              </w:rPr>
            </w:pPr>
            <w:r w:rsidRPr="00455982">
              <w:rPr>
                <w:rFonts w:asciiTheme="majorBidi" w:hAnsiTheme="majorBidi" w:cstheme="majorBidi"/>
                <w:bCs/>
                <w:iCs/>
                <w:sz w:val="16"/>
                <w:szCs w:val="16"/>
                <w:lang w:val="en-GB"/>
              </w:rPr>
              <w:t>/</w:t>
            </w:r>
          </w:p>
          <w:p w:rsidR="00124E6E" w:rsidRPr="00455982" w:rsidRDefault="00124E6E" w:rsidP="00124E6E">
            <w:pPr>
              <w:suppressAutoHyphens w:val="0"/>
              <w:spacing w:after="60" w:line="240" w:lineRule="auto"/>
              <w:jc w:val="center"/>
              <w:rPr>
                <w:rFonts w:asciiTheme="majorBidi" w:hAnsiTheme="majorBidi" w:cstheme="majorBidi"/>
                <w:bCs/>
                <w:iCs/>
                <w:sz w:val="16"/>
                <w:szCs w:val="16"/>
                <w:lang w:val="en-GB"/>
              </w:rPr>
            </w:pPr>
            <w:r w:rsidRPr="00455982">
              <w:rPr>
                <w:rFonts w:asciiTheme="majorBidi" w:hAnsiTheme="majorBidi" w:cstheme="majorBidi"/>
                <w:bCs/>
                <w:iCs/>
                <w:sz w:val="16"/>
                <w:szCs w:val="16"/>
                <w:lang w:val="en-GB"/>
              </w:rPr>
              <w:t>CV13</w:t>
            </w:r>
            <w:r w:rsidRPr="00455982">
              <w:rPr>
                <w:rFonts w:asciiTheme="majorBidi" w:hAnsiTheme="majorBidi" w:cstheme="majorBidi"/>
                <w:bCs/>
                <w:iCs/>
                <w:sz w:val="16"/>
                <w:szCs w:val="16"/>
                <w:lang w:val="en-GB"/>
              </w:rPr>
              <w:br/>
              <w:t>CV25</w:t>
            </w:r>
            <w:r w:rsidRPr="00455982">
              <w:rPr>
                <w:rFonts w:asciiTheme="majorBidi" w:hAnsiTheme="majorBidi" w:cstheme="majorBidi"/>
                <w:bCs/>
                <w:iCs/>
                <w:sz w:val="16"/>
                <w:szCs w:val="16"/>
                <w:lang w:val="en-GB"/>
              </w:rPr>
              <w:br/>
              <w:t>CV26</w:t>
            </w:r>
            <w:r w:rsidRPr="00455982">
              <w:rPr>
                <w:rFonts w:asciiTheme="majorBidi" w:hAnsiTheme="majorBidi" w:cstheme="majorBidi"/>
                <w:bCs/>
                <w:iCs/>
                <w:sz w:val="16"/>
                <w:szCs w:val="16"/>
                <w:lang w:val="en-GB"/>
              </w:rPr>
              <w:br/>
              <w:t>CV28</w:t>
            </w:r>
          </w:p>
        </w:tc>
        <w:tc>
          <w:tcPr>
            <w:tcW w:w="241" w:type="pct"/>
            <w:tcBorders>
              <w:top w:val="single" w:sz="4" w:space="0" w:color="auto"/>
              <w:left w:val="single" w:sz="4" w:space="0" w:color="auto"/>
              <w:bottom w:val="single" w:sz="4" w:space="0" w:color="auto"/>
              <w:right w:val="single" w:sz="4" w:space="0" w:color="auto"/>
            </w:tcBorders>
          </w:tcPr>
          <w:p w:rsidR="00124E6E" w:rsidRPr="0032758B" w:rsidRDefault="00124E6E" w:rsidP="00124E6E">
            <w:pPr>
              <w:suppressAutoHyphens w:val="0"/>
              <w:spacing w:after="60" w:line="240" w:lineRule="auto"/>
              <w:jc w:val="center"/>
              <w:rPr>
                <w:rFonts w:asciiTheme="majorBidi" w:hAnsiTheme="majorBidi" w:cstheme="majorBidi"/>
                <w:bCs/>
                <w:iCs/>
                <w:sz w:val="16"/>
                <w:szCs w:val="16"/>
              </w:rPr>
            </w:pPr>
            <w:r w:rsidRPr="0032758B">
              <w:rPr>
                <w:rFonts w:asciiTheme="majorBidi" w:hAnsiTheme="majorBidi" w:cstheme="majorBidi"/>
                <w:bCs/>
                <w:iCs/>
                <w:sz w:val="16"/>
                <w:szCs w:val="16"/>
              </w:rPr>
              <w:t>CE14/</w:t>
            </w:r>
            <w:r w:rsidRPr="0032758B">
              <w:rPr>
                <w:rFonts w:asciiTheme="majorBidi" w:hAnsiTheme="majorBidi" w:cstheme="majorBidi"/>
                <w:bCs/>
                <w:iCs/>
                <w:sz w:val="16"/>
                <w:szCs w:val="16"/>
              </w:rPr>
              <w:br/>
              <w:t>S3</w:t>
            </w:r>
            <w:r w:rsidRPr="0032758B">
              <w:rPr>
                <w:rFonts w:asciiTheme="majorBidi" w:hAnsiTheme="majorBidi" w:cstheme="majorBidi"/>
                <w:bCs/>
                <w:iCs/>
                <w:sz w:val="16"/>
                <w:szCs w:val="16"/>
              </w:rPr>
              <w:br/>
              <w:t>S9</w:t>
            </w:r>
            <w:r w:rsidRPr="0032758B">
              <w:rPr>
                <w:rFonts w:asciiTheme="majorBidi" w:hAnsiTheme="majorBidi" w:cstheme="majorBidi"/>
                <w:bCs/>
                <w:iCs/>
                <w:sz w:val="16"/>
                <w:szCs w:val="16"/>
              </w:rPr>
              <w:br/>
              <w:t>S15</w:t>
            </w:r>
          </w:p>
        </w:tc>
        <w:tc>
          <w:tcPr>
            <w:tcW w:w="251"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32758B">
              <w:rPr>
                <w:rFonts w:asciiTheme="majorBidi" w:hAnsiTheme="majorBidi" w:cstheme="majorBidi"/>
                <w:bCs/>
                <w:iCs/>
                <w:sz w:val="16"/>
                <w:szCs w:val="16"/>
              </w:rPr>
              <w:t>(RID:)</w:t>
            </w:r>
            <w:r w:rsidRPr="0032758B">
              <w:rPr>
                <w:rFonts w:asciiTheme="majorBidi" w:hAnsiTheme="majorBidi" w:cstheme="majorBidi"/>
                <w:bCs/>
                <w:iCs/>
                <w:sz w:val="16"/>
                <w:szCs w:val="16"/>
              </w:rPr>
              <w:br/>
              <w:t>606</w:t>
            </w:r>
          </w:p>
        </w:tc>
      </w:tr>
      <w:tr w:rsidR="00124E6E" w:rsidRPr="000D7310" w:rsidTr="00124E6E">
        <w:trPr>
          <w:cantSplit/>
          <w:tblHeader/>
        </w:trPr>
        <w:tc>
          <w:tcPr>
            <w:tcW w:w="22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sz w:val="16"/>
                <w:szCs w:val="16"/>
              </w:rPr>
            </w:pPr>
            <w:r w:rsidRPr="000D7310">
              <w:rPr>
                <w:rFonts w:asciiTheme="majorBidi" w:hAnsiTheme="majorBidi" w:cstheme="majorBidi"/>
                <w:sz w:val="16"/>
                <w:szCs w:val="16"/>
              </w:rPr>
              <w:t>[3549</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rPr>
                <w:rFonts w:asciiTheme="majorBidi" w:hAnsiTheme="majorBidi" w:cstheme="majorBidi"/>
                <w:sz w:val="16"/>
                <w:szCs w:val="16"/>
              </w:rPr>
            </w:pPr>
            <w:r w:rsidRPr="00294C7F">
              <w:rPr>
                <w:sz w:val="16"/>
                <w:szCs w:val="16"/>
                <w:lang w:val="fr-FR"/>
              </w:rPr>
              <w:t xml:space="preserve">DÉCHETS MÉDICAUX </w:t>
            </w:r>
            <w:r w:rsidRPr="00294C7F">
              <w:rPr>
                <w:sz w:val="16"/>
                <w:szCs w:val="16"/>
                <w:lang w:val="fr-FR"/>
              </w:rPr>
              <w:br/>
              <w:t>INFECTIEUX POUR L’HOMME, CATÉGORIE A, solides ou DÉCHETS MÉDICAUX INFECTIEUX POUR LES ANIMAUX uniquement</w:t>
            </w:r>
            <w:r w:rsidRPr="008F22C7">
              <w:rPr>
                <w:sz w:val="16"/>
                <w:szCs w:val="16"/>
                <w:lang w:val="fr-FR"/>
              </w:rPr>
              <w:t>, dans de l'azote liquide réfrigéré</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sz w:val="16"/>
                <w:szCs w:val="16"/>
              </w:rPr>
            </w:pPr>
            <w:r w:rsidRPr="000D7310">
              <w:rPr>
                <w:rFonts w:asciiTheme="majorBidi" w:hAnsiTheme="majorBidi" w:cstheme="majorBidi"/>
                <w:sz w:val="16"/>
                <w:szCs w:val="16"/>
              </w:rPr>
              <w:t>6.2</w:t>
            </w:r>
          </w:p>
        </w:tc>
        <w:tc>
          <w:tcPr>
            <w:tcW w:w="188"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I3</w:t>
            </w:r>
          </w:p>
        </w:tc>
        <w:tc>
          <w:tcPr>
            <w:tcW w:w="126"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436"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6.2</w:t>
            </w:r>
            <w:r w:rsidRPr="000D7310">
              <w:rPr>
                <w:rFonts w:asciiTheme="majorBidi" w:hAnsiTheme="majorBidi" w:cstheme="majorBidi"/>
                <w:bCs/>
                <w:sz w:val="16"/>
                <w:szCs w:val="16"/>
              </w:rPr>
              <w:br/>
              <w:t>+2.2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sz w:val="16"/>
                <w:szCs w:val="16"/>
              </w:rPr>
            </w:pPr>
            <w:r w:rsidRPr="000D7310">
              <w:rPr>
                <w:rFonts w:asciiTheme="majorBidi" w:hAnsiTheme="majorBidi" w:cstheme="majorBidi"/>
                <w:sz w:val="16"/>
                <w:szCs w:val="16"/>
              </w:rPr>
              <w:t>395</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0</w:t>
            </w:r>
          </w:p>
        </w:tc>
        <w:tc>
          <w:tcPr>
            <w:tcW w:w="168"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E0</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sz w:val="16"/>
                <w:szCs w:val="16"/>
              </w:rPr>
            </w:pPr>
            <w:r w:rsidRPr="000D7310">
              <w:rPr>
                <w:rFonts w:asciiTheme="majorBidi" w:hAnsiTheme="majorBidi" w:cstheme="majorBidi"/>
                <w:sz w:val="16"/>
                <w:szCs w:val="16"/>
              </w:rPr>
              <w:t>P622</w:t>
            </w:r>
            <w:r w:rsidRPr="000D7310">
              <w:rPr>
                <w:rFonts w:asciiTheme="majorBidi" w:hAnsiTheme="majorBidi" w:cstheme="majorBidi"/>
                <w:sz w:val="16"/>
                <w:szCs w:val="16"/>
              </w:rPr>
              <w:br/>
              <w:t>LP622</w:t>
            </w:r>
          </w:p>
        </w:tc>
        <w:tc>
          <w:tcPr>
            <w:tcW w:w="163"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233"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r w:rsidRPr="000D7310">
              <w:rPr>
                <w:rFonts w:asciiTheme="majorBidi" w:hAnsiTheme="majorBidi" w:cstheme="majorBidi"/>
                <w:bCs/>
                <w:sz w:val="16"/>
                <w:szCs w:val="16"/>
              </w:rPr>
              <w:t>MP</w:t>
            </w:r>
            <w:r>
              <w:rPr>
                <w:rFonts w:asciiTheme="majorBidi" w:hAnsiTheme="majorBidi" w:cstheme="majorBidi"/>
                <w:bCs/>
                <w:sz w:val="16"/>
                <w:szCs w:val="16"/>
              </w:rPr>
              <w:t>2</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124E6E" w:rsidRPr="000D7310" w:rsidRDefault="00124E6E" w:rsidP="00124E6E">
            <w:pPr>
              <w:suppressAutoHyphens w:val="0"/>
              <w:spacing w:after="60" w:line="240" w:lineRule="auto"/>
              <w:jc w:val="center"/>
              <w:rPr>
                <w:rFonts w:asciiTheme="majorBidi" w:hAnsiTheme="majorBidi" w:cstheme="majorBidi"/>
                <w:bCs/>
                <w:sz w:val="16"/>
                <w:szCs w:val="16"/>
              </w:rPr>
            </w:pPr>
          </w:p>
        </w:tc>
        <w:tc>
          <w:tcPr>
            <w:tcW w:w="570"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Pr>
                <w:rFonts w:asciiTheme="majorBidi" w:hAnsiTheme="majorBidi" w:cstheme="majorBidi"/>
                <w:bCs/>
                <w:iCs/>
                <w:sz w:val="16"/>
                <w:szCs w:val="16"/>
              </w:rPr>
              <w:t>[</w:t>
            </w:r>
            <w:r w:rsidRPr="0032758B">
              <w:rPr>
                <w:rFonts w:asciiTheme="majorBidi" w:hAnsiTheme="majorBidi" w:cstheme="majorBidi"/>
                <w:bCs/>
                <w:iCs/>
                <w:sz w:val="16"/>
                <w:szCs w:val="16"/>
              </w:rPr>
              <w:t>0</w:t>
            </w:r>
            <w:r w:rsidRPr="0032758B">
              <w:rPr>
                <w:rFonts w:asciiTheme="majorBidi" w:hAnsiTheme="majorBidi" w:cstheme="majorBidi"/>
                <w:bCs/>
                <w:iCs/>
                <w:sz w:val="16"/>
                <w:szCs w:val="16"/>
              </w:rPr>
              <w:br/>
              <w:t>(ADR:)</w:t>
            </w:r>
            <w:r w:rsidRPr="0032758B">
              <w:rPr>
                <w:rFonts w:asciiTheme="majorBidi" w:hAnsiTheme="majorBidi" w:cstheme="majorBidi"/>
                <w:bCs/>
                <w:iCs/>
                <w:sz w:val="16"/>
                <w:szCs w:val="16"/>
              </w:rPr>
              <w:br/>
              <w:t>(-)</w:t>
            </w:r>
            <w:r>
              <w:rPr>
                <w:rFonts w:asciiTheme="majorBidi" w:hAnsiTheme="majorBidi" w:cstheme="majorBidi"/>
                <w:bCs/>
                <w:iCs/>
                <w:sz w:val="16"/>
                <w:szCs w:val="16"/>
              </w:rPr>
              <w:t>]</w:t>
            </w:r>
          </w:p>
        </w:tc>
        <w:tc>
          <w:tcPr>
            <w:tcW w:w="274"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W9</w:t>
            </w:r>
          </w:p>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V1</w:t>
            </w:r>
          </w:p>
        </w:tc>
        <w:tc>
          <w:tcPr>
            <w:tcW w:w="168"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p>
        </w:tc>
        <w:tc>
          <w:tcPr>
            <w:tcW w:w="246" w:type="pct"/>
            <w:tcBorders>
              <w:top w:val="single" w:sz="4" w:space="0" w:color="auto"/>
              <w:left w:val="single" w:sz="4" w:space="0" w:color="auto"/>
              <w:bottom w:val="single" w:sz="4" w:space="0" w:color="auto"/>
              <w:right w:val="single" w:sz="4" w:space="0" w:color="auto"/>
            </w:tcBorders>
          </w:tcPr>
          <w:p w:rsidR="00124E6E" w:rsidRPr="00455982" w:rsidRDefault="00124E6E" w:rsidP="00124E6E">
            <w:pPr>
              <w:suppressAutoHyphens w:val="0"/>
              <w:spacing w:after="60" w:line="240" w:lineRule="auto"/>
              <w:jc w:val="center"/>
              <w:rPr>
                <w:rFonts w:asciiTheme="majorBidi" w:hAnsiTheme="majorBidi" w:cstheme="majorBidi"/>
                <w:bCs/>
                <w:iCs/>
                <w:sz w:val="16"/>
                <w:szCs w:val="16"/>
                <w:lang w:val="en-GB"/>
              </w:rPr>
            </w:pPr>
            <w:r w:rsidRPr="00455982">
              <w:rPr>
                <w:rFonts w:asciiTheme="majorBidi" w:hAnsiTheme="majorBidi" w:cstheme="majorBidi"/>
                <w:bCs/>
                <w:iCs/>
                <w:sz w:val="16"/>
                <w:szCs w:val="16"/>
                <w:lang w:val="en-GB"/>
              </w:rPr>
              <w:t>CW13</w:t>
            </w:r>
            <w:r w:rsidRPr="00455982">
              <w:rPr>
                <w:rFonts w:asciiTheme="majorBidi" w:hAnsiTheme="majorBidi" w:cstheme="majorBidi"/>
                <w:bCs/>
                <w:iCs/>
                <w:sz w:val="16"/>
                <w:szCs w:val="16"/>
                <w:lang w:val="en-GB"/>
              </w:rPr>
              <w:br/>
              <w:t xml:space="preserve">CW18 </w:t>
            </w:r>
            <w:r w:rsidRPr="00455982">
              <w:rPr>
                <w:rFonts w:asciiTheme="majorBidi" w:hAnsiTheme="majorBidi" w:cstheme="majorBidi"/>
                <w:bCs/>
                <w:iCs/>
                <w:sz w:val="16"/>
                <w:szCs w:val="16"/>
                <w:lang w:val="en-GB"/>
              </w:rPr>
              <w:br/>
              <w:t>CW26 CW28</w:t>
            </w:r>
          </w:p>
          <w:p w:rsidR="00124E6E" w:rsidRPr="00455982" w:rsidRDefault="00124E6E" w:rsidP="00124E6E">
            <w:pPr>
              <w:suppressAutoHyphens w:val="0"/>
              <w:spacing w:after="60" w:line="240" w:lineRule="auto"/>
              <w:jc w:val="center"/>
              <w:rPr>
                <w:rFonts w:asciiTheme="majorBidi" w:hAnsiTheme="majorBidi" w:cstheme="majorBidi"/>
                <w:bCs/>
                <w:iCs/>
                <w:sz w:val="16"/>
                <w:szCs w:val="16"/>
                <w:lang w:val="en-GB"/>
              </w:rPr>
            </w:pPr>
            <w:r w:rsidRPr="00455982">
              <w:rPr>
                <w:rFonts w:asciiTheme="majorBidi" w:hAnsiTheme="majorBidi" w:cstheme="majorBidi"/>
                <w:bCs/>
                <w:iCs/>
                <w:sz w:val="16"/>
                <w:szCs w:val="16"/>
                <w:lang w:val="en-GB"/>
              </w:rPr>
              <w:t>/</w:t>
            </w:r>
          </w:p>
          <w:p w:rsidR="00124E6E" w:rsidRPr="00455982" w:rsidRDefault="00124E6E" w:rsidP="00124E6E">
            <w:pPr>
              <w:suppressAutoHyphens w:val="0"/>
              <w:spacing w:after="60" w:line="240" w:lineRule="auto"/>
              <w:jc w:val="center"/>
              <w:rPr>
                <w:rFonts w:asciiTheme="majorBidi" w:hAnsiTheme="majorBidi" w:cstheme="majorBidi"/>
                <w:bCs/>
                <w:iCs/>
                <w:sz w:val="16"/>
                <w:szCs w:val="16"/>
                <w:lang w:val="en-GB"/>
              </w:rPr>
            </w:pPr>
            <w:r w:rsidRPr="00455982">
              <w:rPr>
                <w:rFonts w:asciiTheme="majorBidi" w:hAnsiTheme="majorBidi" w:cstheme="majorBidi"/>
                <w:bCs/>
                <w:iCs/>
                <w:sz w:val="16"/>
                <w:szCs w:val="16"/>
                <w:lang w:val="en-GB"/>
              </w:rPr>
              <w:t>CV13</w:t>
            </w:r>
            <w:r w:rsidRPr="00455982">
              <w:rPr>
                <w:rFonts w:asciiTheme="majorBidi" w:hAnsiTheme="majorBidi" w:cstheme="majorBidi"/>
                <w:bCs/>
                <w:iCs/>
                <w:sz w:val="16"/>
                <w:szCs w:val="16"/>
                <w:lang w:val="en-GB"/>
              </w:rPr>
              <w:br/>
              <w:t>CV25</w:t>
            </w:r>
            <w:r w:rsidRPr="00455982">
              <w:rPr>
                <w:rFonts w:asciiTheme="majorBidi" w:hAnsiTheme="majorBidi" w:cstheme="majorBidi"/>
                <w:bCs/>
                <w:iCs/>
                <w:sz w:val="16"/>
                <w:szCs w:val="16"/>
                <w:lang w:val="en-GB"/>
              </w:rPr>
              <w:br/>
              <w:t>CV26</w:t>
            </w:r>
            <w:r w:rsidRPr="00455982">
              <w:rPr>
                <w:rFonts w:asciiTheme="majorBidi" w:hAnsiTheme="majorBidi" w:cstheme="majorBidi"/>
                <w:bCs/>
                <w:iCs/>
                <w:sz w:val="16"/>
                <w:szCs w:val="16"/>
                <w:lang w:val="en-GB"/>
              </w:rPr>
              <w:br/>
              <w:t>CV28</w:t>
            </w:r>
          </w:p>
        </w:tc>
        <w:tc>
          <w:tcPr>
            <w:tcW w:w="241"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CE14</w:t>
            </w:r>
          </w:p>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S3</w:t>
            </w:r>
            <w:r w:rsidRPr="000D7310">
              <w:rPr>
                <w:rFonts w:asciiTheme="majorBidi" w:hAnsiTheme="majorBidi" w:cstheme="majorBidi"/>
                <w:bCs/>
                <w:iCs/>
                <w:sz w:val="16"/>
                <w:szCs w:val="16"/>
              </w:rPr>
              <w:br/>
              <w:t>S9</w:t>
            </w:r>
            <w:r w:rsidRPr="000D7310">
              <w:rPr>
                <w:rFonts w:asciiTheme="majorBidi" w:hAnsiTheme="majorBidi" w:cstheme="majorBidi"/>
                <w:bCs/>
                <w:iCs/>
                <w:sz w:val="16"/>
                <w:szCs w:val="16"/>
              </w:rPr>
              <w:br/>
              <w:t>S15</w:t>
            </w:r>
          </w:p>
        </w:tc>
        <w:tc>
          <w:tcPr>
            <w:tcW w:w="251" w:type="pct"/>
            <w:tcBorders>
              <w:top w:val="single" w:sz="4" w:space="0" w:color="auto"/>
              <w:left w:val="single" w:sz="4" w:space="0" w:color="auto"/>
              <w:bottom w:val="single" w:sz="4" w:space="0" w:color="auto"/>
              <w:right w:val="single" w:sz="4" w:space="0" w:color="auto"/>
            </w:tcBorders>
          </w:tcPr>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(RID:)</w:t>
            </w:r>
          </w:p>
          <w:p w:rsidR="00124E6E" w:rsidRPr="000D7310" w:rsidRDefault="00124E6E" w:rsidP="00124E6E">
            <w:pPr>
              <w:suppressAutoHyphens w:val="0"/>
              <w:spacing w:after="60" w:line="240" w:lineRule="auto"/>
              <w:jc w:val="center"/>
              <w:rPr>
                <w:rFonts w:asciiTheme="majorBidi" w:hAnsiTheme="majorBidi" w:cstheme="majorBidi"/>
                <w:bCs/>
                <w:iCs/>
                <w:sz w:val="16"/>
                <w:szCs w:val="16"/>
              </w:rPr>
            </w:pPr>
            <w:r w:rsidRPr="000D7310">
              <w:rPr>
                <w:rFonts w:asciiTheme="majorBidi" w:hAnsiTheme="majorBidi" w:cstheme="majorBidi"/>
                <w:bCs/>
                <w:iCs/>
                <w:sz w:val="16"/>
                <w:szCs w:val="16"/>
              </w:rPr>
              <w:t>606]</w:t>
            </w:r>
          </w:p>
        </w:tc>
      </w:tr>
    </w:tbl>
    <w:p w:rsidR="00124E6E" w:rsidRDefault="00124E6E" w:rsidP="00124E6E">
      <w:pPr>
        <w:pStyle w:val="SingleTxtG"/>
        <w:spacing w:before="240"/>
      </w:pPr>
      <w:r w:rsidRPr="00EB4D25">
        <w:rPr>
          <w:b/>
          <w:lang w:val="fr-FR"/>
        </w:rPr>
        <w:t>(RID/ADR :)</w:t>
      </w:r>
      <w:r>
        <w:rPr>
          <w:lang w:val="fr-FR"/>
        </w:rPr>
        <w:t xml:space="preserve"> Pour les Nos ONU </w:t>
      </w:r>
      <w:r w:rsidRPr="00F74275">
        <w:t>0005, 0007, 0012, 0014, 0033, 0037, 0136, 0167, 0180, 0238,</w:t>
      </w:r>
      <w:r>
        <w:t xml:space="preserve"> </w:t>
      </w:r>
      <w:r w:rsidRPr="00F74275">
        <w:t xml:space="preserve">0240, 0242, 0279, 0291, 0294, 0295, 0324, 0326, 0327, 0330, 0338, 0339, 0348, 0369, </w:t>
      </w:r>
      <w:r w:rsidRPr="00F74275">
        <w:lastRenderedPageBreak/>
        <w:t>0371, 0413, 0414, 0417, 042</w:t>
      </w:r>
      <w:r>
        <w:t>6, 0427, 0453, 0457, 0458, 0459 et</w:t>
      </w:r>
      <w:r w:rsidRPr="00F74275">
        <w:t xml:space="preserve"> 0460</w:t>
      </w:r>
      <w:r>
        <w:t>, ajouter « LP101 » dans la colonne (8), sous « P130 ».</w:t>
      </w:r>
    </w:p>
    <w:p w:rsidR="00124E6E" w:rsidRPr="00070297" w:rsidRDefault="00124E6E" w:rsidP="00124E6E">
      <w:pPr>
        <w:pStyle w:val="SingleTxtG"/>
      </w:pPr>
      <w:r w:rsidRPr="00070297">
        <w:t xml:space="preserve">Pour les </w:t>
      </w:r>
      <w:r>
        <w:t>Nos</w:t>
      </w:r>
      <w:r w:rsidRPr="00070297">
        <w:t xml:space="preserve"> ONU 0340, 0341, 0342 et 0343, insérer « 393 » dans la colonne (6).</w:t>
      </w:r>
    </w:p>
    <w:p w:rsidR="00124E6E" w:rsidRDefault="00124E6E" w:rsidP="00124E6E">
      <w:pPr>
        <w:pStyle w:val="SingleTxtG"/>
        <w:rPr>
          <w:lang w:val="fr-FR"/>
        </w:rPr>
      </w:pPr>
      <w:r w:rsidRPr="00D1751A">
        <w:rPr>
          <w:lang w:val="fr-FR"/>
        </w:rPr>
        <w:t>Pour les Nos ONU 1002, 1006, 1013, 1046, 1056, 1058, 1065, 1066, 1080, 1952, 1956, 2036, 3070, 3163, 3297, 3298 et 3299</w:t>
      </w:r>
      <w:r>
        <w:rPr>
          <w:lang w:val="fr-FR"/>
        </w:rPr>
        <w:t>,</w:t>
      </w:r>
      <w:r w:rsidRPr="00D1751A">
        <w:rPr>
          <w:lang w:val="fr-FR"/>
        </w:rPr>
        <w:t xml:space="preserve"> </w:t>
      </w:r>
      <w:r>
        <w:rPr>
          <w:lang w:val="fr-FR"/>
        </w:rPr>
        <w:t>remplacer « 660 » par</w:t>
      </w:r>
      <w:r w:rsidRPr="00D1751A">
        <w:rPr>
          <w:lang w:val="fr-FR"/>
        </w:rPr>
        <w:t xml:space="preserve"> « </w:t>
      </w:r>
      <w:r>
        <w:rPr>
          <w:lang w:val="fr-FR"/>
        </w:rPr>
        <w:t>392</w:t>
      </w:r>
      <w:r w:rsidRPr="00D1751A">
        <w:rPr>
          <w:lang w:val="fr-FR"/>
        </w:rPr>
        <w:t> » dans la colonne (6)</w:t>
      </w:r>
      <w:r>
        <w:rPr>
          <w:lang w:val="fr-FR"/>
        </w:rPr>
        <w:t>.</w:t>
      </w:r>
    </w:p>
    <w:p w:rsidR="00124E6E" w:rsidRDefault="00124E6E" w:rsidP="00124E6E">
      <w:pPr>
        <w:pStyle w:val="SingleTxtG"/>
        <w:tabs>
          <w:tab w:val="left" w:pos="2268"/>
        </w:tabs>
      </w:pPr>
      <w:r w:rsidRPr="00EB4D25">
        <w:rPr>
          <w:b/>
        </w:rPr>
        <w:t>(RID/ADR :)</w:t>
      </w:r>
      <w:r>
        <w:t xml:space="preserve"> No ONU 2037, toutes les rubriques</w:t>
      </w:r>
      <w:r>
        <w:tab/>
        <w:t>Dans la colonne (6), insérer « 327 ». Dans la colonne (8), ajouter « LP200 ». Dans la colonne (9a) insérer « </w:t>
      </w:r>
      <w:r w:rsidRPr="009D1BB0">
        <w:t>PP</w:t>
      </w:r>
      <w:r>
        <w:t>96 » en regard de « P003 » et « L2 » en regard de « LP200 ».</w:t>
      </w:r>
    </w:p>
    <w:p w:rsidR="00124E6E" w:rsidRDefault="00124E6E" w:rsidP="00124E6E">
      <w:pPr>
        <w:pStyle w:val="SingleTxtG"/>
        <w:tabs>
          <w:tab w:val="left" w:pos="2268"/>
        </w:tabs>
      </w:pPr>
      <w:r w:rsidRPr="00EB4D25">
        <w:rPr>
          <w:b/>
        </w:rPr>
        <w:t>(ADN :)</w:t>
      </w:r>
      <w:r>
        <w:t xml:space="preserve"> No ONU 2037, toutes les rubriques</w:t>
      </w:r>
      <w:r>
        <w:tab/>
      </w:r>
      <w:r>
        <w:tab/>
        <w:t xml:space="preserve">Dans la colonne (6), ajouter « 327 ». </w:t>
      </w:r>
    </w:p>
    <w:p w:rsidR="00124E6E" w:rsidRDefault="00124E6E" w:rsidP="00124E6E">
      <w:pPr>
        <w:pStyle w:val="SingleTxtG"/>
      </w:pPr>
      <w:r>
        <w:t>Pour le No ONU 2383, dans la colonne (6), supprimer « 386 ».</w:t>
      </w:r>
    </w:p>
    <w:p w:rsidR="00124E6E" w:rsidRDefault="00124E6E" w:rsidP="00124E6E">
      <w:pPr>
        <w:pStyle w:val="SingleTxtG"/>
      </w:pPr>
      <w:r>
        <w:t>Pour le No ONU 2522, dans la colonne (2), ajouter « STABILISÉ » à la fin de la désignation et, dans la colonne (6), ajouter « 386 ».</w:t>
      </w:r>
    </w:p>
    <w:p w:rsidR="00124E6E" w:rsidRPr="00070297" w:rsidRDefault="00124E6E" w:rsidP="00124E6E">
      <w:pPr>
        <w:spacing w:before="120" w:after="120" w:line="240" w:lineRule="auto"/>
        <w:ind w:left="1134" w:right="1134"/>
        <w:jc w:val="both"/>
      </w:pPr>
      <w:r w:rsidRPr="00070297">
        <w:t xml:space="preserve">Pour les </w:t>
      </w:r>
      <w:r>
        <w:t>Nos</w:t>
      </w:r>
      <w:r w:rsidRPr="00070297">
        <w:t xml:space="preserve"> ONU 2555, 2556, 2557 et 3380, insérer « 394 » dans la colonne (6).</w:t>
      </w:r>
    </w:p>
    <w:p w:rsidR="00124E6E" w:rsidRDefault="00124E6E" w:rsidP="00124E6E">
      <w:pPr>
        <w:pStyle w:val="SingleTxtG"/>
        <w:rPr>
          <w:lang w:val="fr-FR"/>
        </w:rPr>
      </w:pPr>
      <w:r>
        <w:rPr>
          <w:lang w:val="fr-FR"/>
        </w:rPr>
        <w:t>Pour les Nos</w:t>
      </w:r>
      <w:r w:rsidRPr="00FB2D02">
        <w:rPr>
          <w:lang w:val="fr-FR"/>
        </w:rPr>
        <w:t xml:space="preserve"> ONU</w:t>
      </w:r>
      <w:r>
        <w:rPr>
          <w:lang w:val="fr-FR"/>
        </w:rPr>
        <w:t xml:space="preserve"> </w:t>
      </w:r>
      <w:r>
        <w:t>2794, 2795, 2800 et 3028, supprimer « P801a » en colonne (8).</w:t>
      </w:r>
    </w:p>
    <w:p w:rsidR="00124E6E" w:rsidRDefault="00124E6E" w:rsidP="00124E6E">
      <w:pPr>
        <w:pStyle w:val="SingleTxtG"/>
        <w:rPr>
          <w:lang w:val="fr-FR"/>
        </w:rPr>
      </w:pPr>
      <w:r>
        <w:rPr>
          <w:lang w:val="fr-FR"/>
        </w:rPr>
        <w:t>Pour le No ONU 2800, ajouter « P801 » en colonne (8).</w:t>
      </w:r>
    </w:p>
    <w:p w:rsidR="00124E6E" w:rsidRPr="00FB2D02" w:rsidRDefault="00124E6E" w:rsidP="00124E6E">
      <w:pPr>
        <w:pStyle w:val="SingleTxtG"/>
        <w:rPr>
          <w:lang w:val="fr-FR"/>
        </w:rPr>
      </w:pPr>
      <w:r>
        <w:rPr>
          <w:lang w:val="fr-FR"/>
        </w:rPr>
        <w:t>Pour les Nos</w:t>
      </w:r>
      <w:r w:rsidRPr="00FB2D02">
        <w:rPr>
          <w:lang w:val="fr-FR"/>
        </w:rPr>
        <w:t xml:space="preserve"> ONU </w:t>
      </w:r>
      <w:r>
        <w:rPr>
          <w:lang w:val="fr-FR"/>
        </w:rPr>
        <w:t>3091 et 3481</w:t>
      </w:r>
      <w:r w:rsidRPr="00FB2D02">
        <w:rPr>
          <w:lang w:val="fr-FR"/>
        </w:rPr>
        <w:t xml:space="preserve">, </w:t>
      </w:r>
      <w:r>
        <w:rPr>
          <w:lang w:val="fr-FR"/>
        </w:rPr>
        <w:t>insérer « 390 » dans la colonne (6)</w:t>
      </w:r>
      <w:r w:rsidRPr="00FB2D02">
        <w:rPr>
          <w:lang w:val="fr-FR"/>
        </w:rPr>
        <w:t>.</w:t>
      </w:r>
    </w:p>
    <w:p w:rsidR="00124E6E" w:rsidRPr="00784FEB" w:rsidRDefault="00124E6E" w:rsidP="00124E6E">
      <w:pPr>
        <w:pStyle w:val="SingleTxtG"/>
      </w:pPr>
      <w:r w:rsidRPr="00EB4D25">
        <w:rPr>
          <w:b/>
        </w:rPr>
        <w:t>(RID/ADR :)</w:t>
      </w:r>
      <w:r>
        <w:t xml:space="preserve"> </w:t>
      </w:r>
      <w:r w:rsidRPr="00506B70">
        <w:t>Pour le No ONU 3164, ajouter « PP32 » en colonne (9</w:t>
      </w:r>
      <w:r>
        <w:t>a</w:t>
      </w:r>
      <w:r w:rsidRPr="00506B70">
        <w:t>).</w:t>
      </w:r>
    </w:p>
    <w:p w:rsidR="00124E6E" w:rsidRDefault="00124E6E" w:rsidP="00124E6E">
      <w:pPr>
        <w:pStyle w:val="SingleTxtG"/>
        <w:rPr>
          <w:lang w:val="fr-FR"/>
        </w:rPr>
      </w:pPr>
      <w:r>
        <w:rPr>
          <w:szCs w:val="24"/>
          <w:lang w:val="fr-FR"/>
        </w:rPr>
        <w:t>L’amendement à la version anglaise pour le No ONU 3325 est sans objet en français</w:t>
      </w:r>
      <w:r w:rsidRPr="00640C9E">
        <w:rPr>
          <w:szCs w:val="24"/>
          <w:lang w:val="fr-FR"/>
        </w:rPr>
        <w:t>.</w:t>
      </w:r>
    </w:p>
    <w:p w:rsidR="00124E6E" w:rsidRPr="00313FBA" w:rsidRDefault="00124E6E" w:rsidP="00124E6E">
      <w:pPr>
        <w:pStyle w:val="SingleTxtG"/>
      </w:pPr>
      <w:r>
        <w:t>Pour le No ONU 3291, dans la colonne (4), supprimer « II » (deux fois).</w:t>
      </w:r>
    </w:p>
    <w:p w:rsidR="00124E6E" w:rsidRDefault="00124E6E" w:rsidP="00124E6E">
      <w:pPr>
        <w:pStyle w:val="SingleTxtG"/>
        <w:rPr>
          <w:lang w:val="fr-FR"/>
        </w:rPr>
      </w:pPr>
      <w:r>
        <w:rPr>
          <w:lang w:val="fr-FR"/>
        </w:rPr>
        <w:t>Pour le No ONU 3363, dans la colonne (2), au début de la désignation, ajouter « </w:t>
      </w:r>
      <w:r w:rsidRPr="005139AD">
        <w:rPr>
          <w:lang w:val="fr-FR"/>
        </w:rPr>
        <w:t>MARCHANDISES DANGEREUSES CONTENUES DANS DES</w:t>
      </w:r>
      <w:r>
        <w:rPr>
          <w:lang w:val="fr-FR"/>
        </w:rPr>
        <w:t xml:space="preserve"> OBJETS </w:t>
      </w:r>
      <w:proofErr w:type="gramStart"/>
      <w:r>
        <w:rPr>
          <w:lang w:val="fr-FR"/>
        </w:rPr>
        <w:t>ou »</w:t>
      </w:r>
      <w:proofErr w:type="gramEnd"/>
      <w:r>
        <w:rPr>
          <w:lang w:val="fr-FR"/>
        </w:rPr>
        <w:t>.</w:t>
      </w:r>
    </w:p>
    <w:p w:rsidR="00124E6E" w:rsidRDefault="00124E6E" w:rsidP="00124E6E">
      <w:pPr>
        <w:pStyle w:val="SingleTxtG"/>
        <w:ind w:left="2552" w:hanging="1418"/>
      </w:pPr>
      <w:r w:rsidRPr="00EB4D25">
        <w:rPr>
          <w:b/>
        </w:rPr>
        <w:t>(RID/ADR :)</w:t>
      </w:r>
      <w:r>
        <w:t xml:space="preserve"> No ONU 3500</w:t>
      </w:r>
      <w:r>
        <w:tab/>
        <w:t>Dans la colonne (9a), insérer « PP97 ».</w:t>
      </w:r>
    </w:p>
    <w:p w:rsidR="00124E6E" w:rsidRPr="006B0E45" w:rsidRDefault="00124E6E" w:rsidP="00124E6E">
      <w:pPr>
        <w:pStyle w:val="H1G"/>
        <w:rPr>
          <w:lang w:val="fr-FR"/>
        </w:rPr>
      </w:pPr>
      <w:r w:rsidRPr="006B0E45">
        <w:rPr>
          <w:lang w:val="fr-FR"/>
        </w:rPr>
        <w:tab/>
      </w:r>
      <w:r w:rsidRPr="006B0E45">
        <w:rPr>
          <w:lang w:val="fr-FR"/>
        </w:rPr>
        <w:tab/>
        <w:t>Chapitre</w:t>
      </w:r>
      <w:r>
        <w:rPr>
          <w:lang w:val="fr-FR"/>
        </w:rPr>
        <w:t xml:space="preserve"> 3.2, tableau B</w:t>
      </w:r>
    </w:p>
    <w:p w:rsidR="00124E6E" w:rsidRPr="006B0E45" w:rsidRDefault="00124E6E" w:rsidP="00124E6E">
      <w:pPr>
        <w:spacing w:before="120" w:after="120" w:line="240" w:lineRule="auto"/>
        <w:ind w:left="1134" w:right="1134"/>
        <w:jc w:val="both"/>
        <w:rPr>
          <w:iCs/>
          <w:lang w:val="fr-FR"/>
        </w:rPr>
      </w:pPr>
      <w:r w:rsidRPr="006B0E45">
        <w:rPr>
          <w:iCs/>
          <w:lang w:val="fr-FR"/>
        </w:rPr>
        <w:t>Ajouter les nouvelles rubriques suivantes dans l’ordre alphabétique</w:t>
      </w:r>
      <w:r>
        <w:rPr>
          <w:iCs/>
          <w:lang w:val="fr-FR"/>
        </w:rPr>
        <w:t xml:space="preserve"> </w:t>
      </w:r>
      <w:r w:rsidRPr="006B0E45">
        <w:rPr>
          <w:iCs/>
          <w:lang w:val="fr-FR"/>
        </w:rPr>
        <w:t>:</w:t>
      </w:r>
    </w:p>
    <w:tbl>
      <w:tblPr>
        <w:tblW w:w="6938"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084"/>
      </w:tblGrid>
      <w:tr w:rsidR="00124E6E" w:rsidRPr="00BD5A4F" w:rsidTr="00124E6E">
        <w:trPr>
          <w:cantSplit/>
          <w:trHeight w:val="403"/>
        </w:trPr>
        <w:tc>
          <w:tcPr>
            <w:tcW w:w="4770" w:type="dxa"/>
          </w:tcPr>
          <w:p w:rsidR="00124E6E" w:rsidRPr="00BD5A4F" w:rsidRDefault="00124E6E" w:rsidP="00124E6E">
            <w:pPr>
              <w:suppressAutoHyphens w:val="0"/>
              <w:spacing w:before="40" w:after="40" w:line="220" w:lineRule="exact"/>
              <w:ind w:right="113"/>
              <w:rPr>
                <w:lang w:val="fr-FR"/>
              </w:rPr>
            </w:pPr>
            <w:r w:rsidRPr="00BD5A4F">
              <w:rPr>
                <w:lang w:val="fr-FR"/>
              </w:rPr>
              <w:t>DÉCHETS MÉDICAUX INFECTIEUX POUR L’HOMME, CATÉGORIE A, solides</w:t>
            </w:r>
          </w:p>
        </w:tc>
        <w:tc>
          <w:tcPr>
            <w:tcW w:w="1084" w:type="dxa"/>
          </w:tcPr>
          <w:p w:rsidR="00124E6E" w:rsidRPr="00BD5A4F" w:rsidRDefault="00124E6E" w:rsidP="00124E6E">
            <w:pPr>
              <w:spacing w:after="120"/>
              <w:ind w:left="284" w:hanging="284"/>
              <w:jc w:val="center"/>
              <w:rPr>
                <w:lang w:val="fr-FR"/>
              </w:rPr>
            </w:pPr>
            <w:r w:rsidRPr="00BD5A4F">
              <w:rPr>
                <w:lang w:val="fr-FR"/>
              </w:rPr>
              <w:t>3549</w:t>
            </w:r>
          </w:p>
        </w:tc>
        <w:tc>
          <w:tcPr>
            <w:tcW w:w="1084" w:type="dxa"/>
          </w:tcPr>
          <w:p w:rsidR="00124E6E" w:rsidRPr="00BD5A4F" w:rsidRDefault="00124E6E" w:rsidP="00124E6E">
            <w:pPr>
              <w:spacing w:after="120"/>
              <w:ind w:left="284" w:hanging="284"/>
              <w:jc w:val="center"/>
              <w:rPr>
                <w:lang w:val="fr-FR"/>
              </w:rPr>
            </w:pPr>
            <w:r w:rsidRPr="00BD5A4F">
              <w:rPr>
                <w:lang w:val="fr-FR"/>
              </w:rPr>
              <w:t>6.2</w:t>
            </w:r>
          </w:p>
        </w:tc>
      </w:tr>
      <w:tr w:rsidR="00124E6E" w:rsidRPr="00BD5A4F" w:rsidTr="00124E6E">
        <w:trPr>
          <w:cantSplit/>
          <w:trHeight w:val="403"/>
        </w:trPr>
        <w:tc>
          <w:tcPr>
            <w:tcW w:w="4770" w:type="dxa"/>
          </w:tcPr>
          <w:p w:rsidR="00124E6E" w:rsidRPr="00BD5A4F" w:rsidRDefault="00124E6E" w:rsidP="00124E6E">
            <w:pPr>
              <w:suppressAutoHyphens w:val="0"/>
              <w:spacing w:before="40" w:after="40" w:line="220" w:lineRule="exact"/>
              <w:ind w:right="113"/>
              <w:rPr>
                <w:lang w:val="fr-FR"/>
              </w:rPr>
            </w:pPr>
            <w:r w:rsidRPr="00BD5A4F">
              <w:rPr>
                <w:lang w:val="fr-FR"/>
              </w:rPr>
              <w:t>DÉCHETS MÉDICAUX INFECTIEUX POUR LES ANIMAUX uniquement, CATÉGORIE A, solides</w:t>
            </w:r>
          </w:p>
        </w:tc>
        <w:tc>
          <w:tcPr>
            <w:tcW w:w="1084" w:type="dxa"/>
          </w:tcPr>
          <w:p w:rsidR="00124E6E" w:rsidRPr="00BD5A4F" w:rsidRDefault="00124E6E" w:rsidP="00124E6E">
            <w:pPr>
              <w:spacing w:after="120"/>
              <w:ind w:left="284" w:hanging="284"/>
              <w:jc w:val="center"/>
              <w:rPr>
                <w:lang w:val="fr-FR"/>
              </w:rPr>
            </w:pPr>
            <w:r w:rsidRPr="00BD5A4F">
              <w:rPr>
                <w:lang w:val="fr-FR"/>
              </w:rPr>
              <w:t>3549</w:t>
            </w:r>
          </w:p>
        </w:tc>
        <w:tc>
          <w:tcPr>
            <w:tcW w:w="1084" w:type="dxa"/>
          </w:tcPr>
          <w:p w:rsidR="00124E6E" w:rsidRPr="00BD5A4F" w:rsidRDefault="00124E6E" w:rsidP="00124E6E">
            <w:pPr>
              <w:spacing w:after="120"/>
              <w:ind w:left="284" w:hanging="284"/>
              <w:jc w:val="center"/>
              <w:rPr>
                <w:lang w:val="fr-FR"/>
              </w:rPr>
            </w:pPr>
            <w:r w:rsidRPr="00BD5A4F">
              <w:rPr>
                <w:lang w:val="fr-FR"/>
              </w:rPr>
              <w:t>6.2</w:t>
            </w:r>
          </w:p>
        </w:tc>
      </w:tr>
      <w:tr w:rsidR="00124E6E" w:rsidRPr="00BD5A4F" w:rsidTr="00124E6E">
        <w:trPr>
          <w:cantSplit/>
          <w:trHeight w:val="403"/>
        </w:trPr>
        <w:tc>
          <w:tcPr>
            <w:tcW w:w="4770" w:type="dxa"/>
          </w:tcPr>
          <w:p w:rsidR="00124E6E" w:rsidRPr="00BD5A4F" w:rsidRDefault="00124E6E" w:rsidP="00124E6E">
            <w:pPr>
              <w:suppressAutoHyphens w:val="0"/>
              <w:spacing w:before="40" w:after="40" w:line="220" w:lineRule="exact"/>
              <w:ind w:right="113"/>
              <w:rPr>
                <w:lang w:val="fr-FR"/>
              </w:rPr>
            </w:pPr>
            <w:r w:rsidRPr="00BD5A4F">
              <w:rPr>
                <w:lang w:val="fr-FR"/>
              </w:rPr>
              <w:t>MARCHANDISES DANGEREUSES CONTENUES DANS DES OBJETS </w:t>
            </w:r>
          </w:p>
        </w:tc>
        <w:tc>
          <w:tcPr>
            <w:tcW w:w="1084" w:type="dxa"/>
          </w:tcPr>
          <w:p w:rsidR="00124E6E" w:rsidRPr="00BD5A4F" w:rsidRDefault="00124E6E" w:rsidP="00124E6E">
            <w:pPr>
              <w:spacing w:after="120"/>
              <w:ind w:left="284" w:hanging="284"/>
              <w:jc w:val="center"/>
            </w:pPr>
            <w:r w:rsidRPr="00BD5A4F">
              <w:t>3363</w:t>
            </w:r>
          </w:p>
        </w:tc>
        <w:tc>
          <w:tcPr>
            <w:tcW w:w="1084" w:type="dxa"/>
          </w:tcPr>
          <w:p w:rsidR="00124E6E" w:rsidRPr="00BD5A4F" w:rsidRDefault="00124E6E" w:rsidP="00124E6E">
            <w:pPr>
              <w:spacing w:after="120"/>
              <w:ind w:left="284" w:hanging="284"/>
              <w:jc w:val="center"/>
              <w:rPr>
                <w:lang w:val="fr-FR"/>
              </w:rPr>
            </w:pPr>
            <w:r w:rsidRPr="00BD5A4F">
              <w:t>9</w:t>
            </w:r>
          </w:p>
        </w:tc>
      </w:tr>
      <w:tr w:rsidR="00124E6E" w:rsidRPr="00BD5A4F" w:rsidTr="00124E6E">
        <w:trPr>
          <w:cantSplit/>
          <w:trHeight w:val="403"/>
        </w:trPr>
        <w:tc>
          <w:tcPr>
            <w:tcW w:w="4770" w:type="dxa"/>
          </w:tcPr>
          <w:p w:rsidR="00124E6E" w:rsidRPr="00BD5A4F" w:rsidRDefault="00124E6E" w:rsidP="00124E6E">
            <w:pPr>
              <w:suppressAutoHyphens w:val="0"/>
              <w:spacing w:before="40" w:after="40" w:line="220" w:lineRule="exact"/>
              <w:ind w:right="113"/>
              <w:rPr>
                <w:lang w:val="fr-FR"/>
              </w:rPr>
            </w:pPr>
            <w:r w:rsidRPr="00DB6934">
              <w:rPr>
                <w:lang w:val="fr-FR"/>
              </w:rPr>
              <w:t>DÉTONATEURS de mine (de sautage) ÉLECTRONIQUE programmables</w:t>
            </w:r>
          </w:p>
        </w:tc>
        <w:tc>
          <w:tcPr>
            <w:tcW w:w="1084" w:type="dxa"/>
          </w:tcPr>
          <w:p w:rsidR="00124E6E" w:rsidRDefault="00124E6E" w:rsidP="00124E6E">
            <w:pPr>
              <w:spacing w:after="120"/>
              <w:jc w:val="center"/>
            </w:pPr>
            <w:r>
              <w:t>0511</w:t>
            </w:r>
            <w:r>
              <w:br/>
              <w:t>0512</w:t>
            </w:r>
            <w:r>
              <w:br/>
              <w:t>0513</w:t>
            </w:r>
          </w:p>
        </w:tc>
        <w:tc>
          <w:tcPr>
            <w:tcW w:w="1084" w:type="dxa"/>
          </w:tcPr>
          <w:p w:rsidR="00124E6E" w:rsidRPr="00BD5A4F" w:rsidRDefault="00124E6E" w:rsidP="00124E6E">
            <w:pPr>
              <w:spacing w:after="120"/>
              <w:jc w:val="center"/>
            </w:pPr>
            <w:r>
              <w:t>1</w:t>
            </w:r>
            <w:r>
              <w:br/>
              <w:t>1</w:t>
            </w:r>
            <w:r>
              <w:br/>
              <w:t>1</w:t>
            </w:r>
          </w:p>
        </w:tc>
      </w:tr>
    </w:tbl>
    <w:p w:rsidR="00124E6E" w:rsidRPr="00313FBA" w:rsidRDefault="00124E6E" w:rsidP="00B926A4">
      <w:pPr>
        <w:pStyle w:val="SingleTxtG"/>
        <w:spacing w:before="120"/>
        <w:rPr>
          <w:b/>
          <w:lang w:val="fr-FR"/>
        </w:rPr>
      </w:pPr>
      <w:r>
        <w:rPr>
          <w:lang w:val="fr-FR"/>
        </w:rPr>
        <w:t>Pour « </w:t>
      </w:r>
      <w:r w:rsidRPr="00313FBA">
        <w:rPr>
          <w:lang w:val="fr-FR"/>
        </w:rPr>
        <w:t>MÉTHACRYLATE DE</w:t>
      </w:r>
      <w:r>
        <w:rPr>
          <w:lang w:val="fr-FR"/>
        </w:rPr>
        <w:t xml:space="preserve"> </w:t>
      </w:r>
      <w:r w:rsidRPr="00313FBA">
        <w:rPr>
          <w:lang w:val="fr-FR"/>
        </w:rPr>
        <w:t>2-DIMÉTHYLAMINOÉTHYLE</w:t>
      </w:r>
      <w:r>
        <w:rPr>
          <w:lang w:val="fr-FR"/>
        </w:rPr>
        <w:t> », dans la colonne « Nom et description » ajouter « </w:t>
      </w:r>
      <w:r>
        <w:t>STABILISÉ » à la fin.</w:t>
      </w:r>
    </w:p>
    <w:p w:rsidR="00124E6E" w:rsidRDefault="00124E6E" w:rsidP="00A23C89">
      <w:pPr>
        <w:pStyle w:val="SingleTxtG"/>
        <w:tabs>
          <w:tab w:val="left" w:pos="2268"/>
        </w:tabs>
        <w:ind w:left="2259" w:hanging="1125"/>
        <w:rPr>
          <w:lang w:val="fr-FR"/>
        </w:rPr>
      </w:pPr>
      <w:r>
        <w:rPr>
          <w:lang w:val="fr-FR"/>
        </w:rPr>
        <w:t>Les trois derniers amendements à la version anglaise sont sans objet en français</w:t>
      </w:r>
      <w:r w:rsidRPr="00640C9E">
        <w:rPr>
          <w:lang w:val="fr-FR"/>
        </w:rPr>
        <w:t>.</w:t>
      </w:r>
    </w:p>
    <w:p w:rsidR="00124E6E" w:rsidRPr="00DB6934" w:rsidRDefault="00124E6E" w:rsidP="00124E6E">
      <w:pPr>
        <w:pStyle w:val="H1G"/>
      </w:pPr>
      <w:r w:rsidRPr="00DB6934">
        <w:tab/>
      </w:r>
      <w:r w:rsidRPr="00DB6934">
        <w:tab/>
        <w:t>Chapitre 3.3</w:t>
      </w:r>
    </w:p>
    <w:p w:rsidR="00124E6E" w:rsidRPr="00AB7C1B" w:rsidRDefault="00124E6E" w:rsidP="00A23C89">
      <w:pPr>
        <w:pStyle w:val="SingleTxtG"/>
        <w:tabs>
          <w:tab w:val="left" w:pos="2268"/>
        </w:tabs>
        <w:ind w:left="2259" w:hanging="1125"/>
        <w:rPr>
          <w:b/>
          <w:bCs/>
          <w:lang w:val="fr-FR"/>
        </w:rPr>
      </w:pPr>
      <w:r>
        <w:rPr>
          <w:szCs w:val="24"/>
          <w:lang w:val="fr-FR"/>
        </w:rPr>
        <w:t>DS 188</w:t>
      </w:r>
      <w:r>
        <w:rPr>
          <w:szCs w:val="24"/>
          <w:lang w:val="fr-FR"/>
        </w:rPr>
        <w:tab/>
        <w:t>L’amendement à la version anglaise est sans objet en français</w:t>
      </w:r>
      <w:r w:rsidRPr="00640C9E">
        <w:rPr>
          <w:szCs w:val="24"/>
          <w:lang w:val="fr-FR"/>
        </w:rPr>
        <w:t>.</w:t>
      </w:r>
    </w:p>
    <w:p w:rsidR="00124E6E" w:rsidRPr="00B37176" w:rsidRDefault="00124E6E" w:rsidP="00124E6E">
      <w:pPr>
        <w:pStyle w:val="SingleTxtG"/>
        <w:tabs>
          <w:tab w:val="left" w:pos="2268"/>
        </w:tabs>
        <w:rPr>
          <w:i/>
          <w:iCs/>
          <w:szCs w:val="24"/>
        </w:rPr>
      </w:pPr>
      <w:r w:rsidRPr="00B37176">
        <w:rPr>
          <w:i/>
          <w:iCs/>
          <w:szCs w:val="24"/>
        </w:rPr>
        <w:t>(Correction à la vingtième édition révisée du Règlement type)</w:t>
      </w:r>
    </w:p>
    <w:p w:rsidR="00DA57DD" w:rsidRDefault="00DA57DD" w:rsidP="00A23C89">
      <w:pPr>
        <w:pStyle w:val="SingleTxtG"/>
        <w:tabs>
          <w:tab w:val="left" w:pos="2268"/>
        </w:tabs>
        <w:ind w:left="2259" w:hanging="1125"/>
        <w:rPr>
          <w:rFonts w:asciiTheme="majorBidi" w:hAnsiTheme="majorBidi" w:cstheme="majorBidi"/>
        </w:rPr>
      </w:pPr>
      <w:r>
        <w:rPr>
          <w:rFonts w:asciiTheme="majorBidi" w:hAnsiTheme="majorBidi" w:cstheme="majorBidi"/>
        </w:rPr>
        <w:t>DS 237</w:t>
      </w:r>
      <w:r>
        <w:rPr>
          <w:rFonts w:asciiTheme="majorBidi" w:hAnsiTheme="majorBidi" w:cstheme="majorBidi"/>
        </w:rPr>
        <w:tab/>
        <w:t>Remplacer « sous-section 33.2.1 »</w:t>
      </w:r>
      <w:r>
        <w:rPr>
          <w:rFonts w:asciiTheme="majorBidi" w:hAnsiTheme="majorBidi" w:cstheme="majorBidi"/>
          <w:lang w:eastAsia="en-GB"/>
        </w:rPr>
        <w:t xml:space="preserve"> par « sous-section 33.2 ».</w:t>
      </w:r>
    </w:p>
    <w:p w:rsidR="00DA57DD" w:rsidRDefault="00DA57DD" w:rsidP="00A23C89">
      <w:pPr>
        <w:pStyle w:val="SingleTxtG"/>
        <w:tabs>
          <w:tab w:val="left" w:pos="2268"/>
        </w:tabs>
        <w:ind w:left="2259" w:hanging="1125"/>
        <w:rPr>
          <w:rFonts w:asciiTheme="majorBidi" w:hAnsiTheme="majorBidi" w:cstheme="majorBidi"/>
        </w:rPr>
      </w:pPr>
      <w:r>
        <w:rPr>
          <w:rFonts w:asciiTheme="majorBidi" w:hAnsiTheme="majorBidi" w:cstheme="majorBidi"/>
        </w:rPr>
        <w:t>DS 241</w:t>
      </w:r>
      <w:r>
        <w:rPr>
          <w:rFonts w:asciiTheme="majorBidi" w:hAnsiTheme="majorBidi" w:cstheme="majorBidi"/>
        </w:rPr>
        <w:tab/>
        <w:t>Remplacer « sous-section 33.2.1.4 »</w:t>
      </w:r>
      <w:r>
        <w:rPr>
          <w:rFonts w:asciiTheme="majorBidi" w:hAnsiTheme="majorBidi" w:cstheme="majorBidi"/>
          <w:lang w:eastAsia="en-GB"/>
        </w:rPr>
        <w:t xml:space="preserve"> par « sous-section 33.2.4 ».</w:t>
      </w:r>
    </w:p>
    <w:p w:rsidR="00124E6E" w:rsidRPr="0057171C" w:rsidRDefault="00124E6E" w:rsidP="00A23C89">
      <w:pPr>
        <w:pStyle w:val="SingleTxtG"/>
        <w:tabs>
          <w:tab w:val="left" w:pos="2268"/>
        </w:tabs>
        <w:ind w:left="2259" w:hanging="1125"/>
        <w:rPr>
          <w:lang w:val="fr-FR"/>
        </w:rPr>
      </w:pPr>
      <w:r>
        <w:rPr>
          <w:lang w:val="fr-FR"/>
        </w:rPr>
        <w:lastRenderedPageBreak/>
        <w:t>DS 301 </w:t>
      </w:r>
      <w:r>
        <w:rPr>
          <w:lang w:val="fr-FR"/>
        </w:rPr>
        <w:tab/>
        <w:t>Dans la première phrase, remplacer « </w:t>
      </w:r>
      <w:r w:rsidRPr="0057171C">
        <w:rPr>
          <w:lang w:val="fr-FR"/>
        </w:rPr>
        <w:t>machines ou appareils</w:t>
      </w:r>
      <w:r>
        <w:rPr>
          <w:lang w:val="fr-FR"/>
        </w:rPr>
        <w:t xml:space="preserve"> » par « objets tels que machines, appareils ou dispositifs ». Dans les deuxième, troisième, </w:t>
      </w:r>
      <w:proofErr w:type="gramStart"/>
      <w:r>
        <w:rPr>
          <w:lang w:val="fr-FR"/>
        </w:rPr>
        <w:t>quatrième et cinquième phrases</w:t>
      </w:r>
      <w:proofErr w:type="gramEnd"/>
      <w:r>
        <w:rPr>
          <w:lang w:val="fr-FR"/>
        </w:rPr>
        <w:t xml:space="preserve"> et dans la dernière phrase, remplacer « </w:t>
      </w:r>
      <w:r w:rsidRPr="0057171C">
        <w:rPr>
          <w:lang w:val="fr-FR"/>
        </w:rPr>
        <w:t>machines ou appareils</w:t>
      </w:r>
      <w:r>
        <w:rPr>
          <w:lang w:val="fr-FR"/>
        </w:rPr>
        <w:t xml:space="preserve"> » </w:t>
      </w:r>
      <w:r w:rsidRPr="00C41D6E">
        <w:rPr>
          <w:lang w:val="fr-FR"/>
        </w:rPr>
        <w:t xml:space="preserve">ou « machines et appareils » </w:t>
      </w:r>
      <w:r>
        <w:rPr>
          <w:lang w:val="fr-FR"/>
        </w:rPr>
        <w:t>par « objets ».</w:t>
      </w:r>
    </w:p>
    <w:p w:rsidR="00124E6E" w:rsidRPr="00D40296" w:rsidRDefault="00124E6E" w:rsidP="00A23C89">
      <w:pPr>
        <w:pStyle w:val="SingleTxtG"/>
        <w:tabs>
          <w:tab w:val="left" w:pos="2268"/>
        </w:tabs>
        <w:ind w:left="2259" w:hanging="1125"/>
        <w:rPr>
          <w:iCs/>
        </w:rPr>
      </w:pPr>
      <w:r>
        <w:rPr>
          <w:iCs/>
        </w:rPr>
        <w:t>DS 309</w:t>
      </w:r>
      <w:r>
        <w:rPr>
          <w:iCs/>
        </w:rPr>
        <w:tab/>
        <w:t>Dans le dernier paragraphe, remplacer « doivent satisfaire aux épreuves 8 a), 8 b) et 8 c) » par « doivent satisfaire aux critères de classification en tant que nitrate d’ammonium ».  </w:t>
      </w:r>
    </w:p>
    <w:p w:rsidR="00124E6E" w:rsidRDefault="00124E6E" w:rsidP="00A23C89">
      <w:pPr>
        <w:pStyle w:val="SingleTxtG"/>
        <w:tabs>
          <w:tab w:val="left" w:pos="2268"/>
        </w:tabs>
        <w:ind w:left="2259" w:hanging="1125"/>
      </w:pPr>
      <w:r>
        <w:t>DS 327</w:t>
      </w:r>
      <w:r>
        <w:tab/>
        <w:t>Dans la première phrase, remplacer « Les générateurs d’aérosol » par « Les générateurs d’aérosol </w:t>
      </w:r>
      <w:r w:rsidRPr="00FB6356">
        <w:t>et les cartouches à gaz</w:t>
      </w:r>
      <w:r>
        <w:t xml:space="preserve"> » et « transportés sous cette rubrique » par « transportés sous les Nos ONU 1950 ou 2037, selon le cas ». </w:t>
      </w:r>
    </w:p>
    <w:p w:rsidR="00124E6E" w:rsidRDefault="00B926A4" w:rsidP="00A23C89">
      <w:pPr>
        <w:pStyle w:val="SingleTxtG"/>
        <w:tabs>
          <w:tab w:val="left" w:pos="2268"/>
        </w:tabs>
        <w:ind w:left="2259" w:hanging="1125"/>
        <w:rPr>
          <w:lang w:val="fr-FR"/>
        </w:rPr>
      </w:pPr>
      <w:r>
        <w:tab/>
      </w:r>
      <w:r w:rsidR="00124E6E">
        <w:t xml:space="preserve">Après la troisième phrase, insérer la nouvelle phrase suivante : </w:t>
      </w:r>
      <w:r w:rsidR="00124E6E" w:rsidRPr="006918E4">
        <w:t xml:space="preserve">« Les cartouches à gaz mises au rebut, à l’exclusion de celles qui présentent des fuites ou de graves déformations, doivent être emballées conformément à l’instruction d’emballage P003 et aux dispositions spéciales </w:t>
      </w:r>
      <w:r w:rsidR="00124E6E">
        <w:t xml:space="preserve">d’emballage </w:t>
      </w:r>
      <w:r w:rsidR="00124E6E" w:rsidRPr="006918E4">
        <w:t xml:space="preserve">PP17 et </w:t>
      </w:r>
      <w:r w:rsidR="00124E6E" w:rsidRPr="00C027D2">
        <w:t>PP</w:t>
      </w:r>
      <w:r w:rsidR="00124E6E">
        <w:t>96 (ADN : de l’ADR)</w:t>
      </w:r>
      <w:r w:rsidR="00124E6E" w:rsidRPr="006918E4">
        <w:rPr>
          <w:lang w:val="fr-FR"/>
        </w:rPr>
        <w:t xml:space="preserve">, ou </w:t>
      </w:r>
      <w:r w:rsidR="00124E6E" w:rsidRPr="006918E4">
        <w:t xml:space="preserve">à l’instruction d’emballage </w:t>
      </w:r>
      <w:r w:rsidR="00124E6E" w:rsidRPr="006918E4">
        <w:rPr>
          <w:lang w:val="fr-FR"/>
        </w:rPr>
        <w:t xml:space="preserve">LP200 </w:t>
      </w:r>
      <w:r w:rsidR="00124E6E" w:rsidRPr="006918E4">
        <w:t xml:space="preserve">et à la disposition spéciale </w:t>
      </w:r>
      <w:r w:rsidR="00124E6E">
        <w:t>d’emballage</w:t>
      </w:r>
      <w:r w:rsidR="00124E6E" w:rsidRPr="006918E4">
        <w:rPr>
          <w:lang w:val="fr-FR"/>
        </w:rPr>
        <w:t xml:space="preserve"> L2</w:t>
      </w:r>
      <w:r w:rsidR="00124E6E">
        <w:rPr>
          <w:lang w:val="fr-FR"/>
        </w:rPr>
        <w:t xml:space="preserve"> </w:t>
      </w:r>
      <w:r w:rsidR="00124E6E">
        <w:t>(ADN : de l’ADR)</w:t>
      </w:r>
      <w:r w:rsidR="00124E6E" w:rsidRPr="006918E4">
        <w:rPr>
          <w:lang w:val="fr-FR"/>
        </w:rPr>
        <w:t>.</w:t>
      </w:r>
      <w:r w:rsidR="00124E6E">
        <w:rPr>
          <w:lang w:val="fr-FR"/>
        </w:rPr>
        <w:t xml:space="preserve"> ». </w:t>
      </w:r>
    </w:p>
    <w:p w:rsidR="00124E6E" w:rsidRDefault="00B926A4" w:rsidP="00A23C89">
      <w:pPr>
        <w:pStyle w:val="SingleTxtG"/>
        <w:tabs>
          <w:tab w:val="left" w:pos="2268"/>
        </w:tabs>
        <w:ind w:left="2259" w:hanging="1125"/>
        <w:rPr>
          <w:lang w:val="fr-FR"/>
        </w:rPr>
      </w:pPr>
      <w:r>
        <w:rPr>
          <w:lang w:val="fr-FR"/>
        </w:rPr>
        <w:tab/>
      </w:r>
      <w:r w:rsidR="00124E6E">
        <w:rPr>
          <w:lang w:val="fr-FR"/>
        </w:rPr>
        <w:t xml:space="preserve">Dans la phrase suivante, </w:t>
      </w:r>
      <w:r w:rsidR="00124E6E">
        <w:t xml:space="preserve">après « les générateurs d’aérosol », ajouter « et les cartouches à gaz » et </w:t>
      </w:r>
      <w:r w:rsidR="00124E6E">
        <w:rPr>
          <w:lang w:val="fr-FR"/>
        </w:rPr>
        <w:t>remplacer « transportés dans des emballages de secours » par « </w:t>
      </w:r>
      <w:r w:rsidR="00124E6E">
        <w:t xml:space="preserve">transportés dans des </w:t>
      </w:r>
      <w:r w:rsidR="00124E6E" w:rsidRPr="003A6E40">
        <w:t>récipients à pression de secours</w:t>
      </w:r>
      <w:r w:rsidR="00124E6E" w:rsidRPr="003A6E40">
        <w:rPr>
          <w:lang w:val="fr-FR"/>
        </w:rPr>
        <w:t xml:space="preserve"> ou des</w:t>
      </w:r>
      <w:r w:rsidR="00124E6E">
        <w:rPr>
          <w:lang w:val="fr-FR"/>
        </w:rPr>
        <w:t xml:space="preserve"> </w:t>
      </w:r>
      <w:r w:rsidR="00124E6E">
        <w:t xml:space="preserve">emballages </w:t>
      </w:r>
      <w:r w:rsidR="00124E6E">
        <w:rPr>
          <w:lang w:val="fr-FR"/>
        </w:rPr>
        <w:t xml:space="preserve">de secours ». </w:t>
      </w:r>
    </w:p>
    <w:p w:rsidR="00124E6E" w:rsidRDefault="00B926A4" w:rsidP="00A23C89">
      <w:pPr>
        <w:pStyle w:val="SingleTxtG"/>
        <w:tabs>
          <w:tab w:val="left" w:pos="2268"/>
        </w:tabs>
        <w:ind w:left="2259" w:hanging="1125"/>
      </w:pPr>
      <w:r>
        <w:rPr>
          <w:lang w:val="fr-FR"/>
        </w:rPr>
        <w:tab/>
      </w:r>
      <w:r w:rsidR="00124E6E">
        <w:rPr>
          <w:lang w:val="fr-FR"/>
        </w:rPr>
        <w:t xml:space="preserve">Dans la dernière phrase, </w:t>
      </w:r>
      <w:r w:rsidR="00124E6E">
        <w:t xml:space="preserve">remplacer « les générateurs d’aérosol mis au rebut ne doivent pas » par </w:t>
      </w:r>
      <w:r w:rsidR="00124E6E" w:rsidRPr="00FB6356">
        <w:t>« </w:t>
      </w:r>
      <w:r w:rsidR="00124E6E">
        <w:t>les générateurs d’aérosol</w:t>
      </w:r>
      <w:r w:rsidR="00124E6E" w:rsidRPr="00FB6356">
        <w:t xml:space="preserve"> et les cartouches à gaz</w:t>
      </w:r>
      <w:r w:rsidR="00124E6E">
        <w:t xml:space="preserve"> mis au rebut ne doivent pas ». </w:t>
      </w:r>
    </w:p>
    <w:p w:rsidR="00124E6E" w:rsidRDefault="00B926A4" w:rsidP="00A23C89">
      <w:pPr>
        <w:pStyle w:val="SingleTxtG"/>
        <w:tabs>
          <w:tab w:val="left" w:pos="2268"/>
        </w:tabs>
        <w:ind w:left="2259" w:hanging="1125"/>
        <w:rPr>
          <w:lang w:val="fr-FR"/>
        </w:rPr>
      </w:pPr>
      <w:r>
        <w:tab/>
      </w:r>
      <w:r w:rsidR="00124E6E">
        <w:t>A</w:t>
      </w:r>
      <w:r w:rsidR="00124E6E">
        <w:rPr>
          <w:lang w:val="fr-FR"/>
        </w:rPr>
        <w:t xml:space="preserve">jouter le nouveau paragraphe suivant à la fin : </w:t>
      </w:r>
    </w:p>
    <w:p w:rsidR="00124E6E" w:rsidRPr="00FA0DA8" w:rsidRDefault="00B926A4" w:rsidP="00A23C89">
      <w:pPr>
        <w:pStyle w:val="SingleTxtG"/>
        <w:tabs>
          <w:tab w:val="left" w:pos="2268"/>
        </w:tabs>
        <w:ind w:left="2259" w:hanging="1125"/>
      </w:pPr>
      <w:r>
        <w:rPr>
          <w:lang w:val="fr-FR"/>
        </w:rPr>
        <w:tab/>
      </w:r>
      <w:r w:rsidR="00124E6E" w:rsidRPr="00FA0DA8">
        <w:rPr>
          <w:lang w:val="fr-FR"/>
        </w:rPr>
        <w:t>« </w:t>
      </w:r>
      <w:r w:rsidR="00124E6E" w:rsidRPr="00FA0DA8">
        <w:t>Les cartouches à gaz mises au rebut</w:t>
      </w:r>
      <w:r w:rsidR="00124E6E" w:rsidRPr="00FA0DA8">
        <w:rPr>
          <w:lang w:val="fr-FR"/>
        </w:rPr>
        <w:t xml:space="preserve"> qui contenaient des gaz </w:t>
      </w:r>
      <w:r w:rsidR="00124E6E">
        <w:rPr>
          <w:lang w:val="fr-FR"/>
        </w:rPr>
        <w:t>non-inflammables et non-toxiques du groupe A ou O</w:t>
      </w:r>
      <w:r w:rsidR="00124E6E" w:rsidRPr="00FA0DA8">
        <w:rPr>
          <w:lang w:val="fr-FR"/>
        </w:rPr>
        <w:t xml:space="preserve"> </w:t>
      </w:r>
      <w:r w:rsidR="00124E6E">
        <w:rPr>
          <w:lang w:val="fr-FR"/>
        </w:rPr>
        <w:t xml:space="preserve">de la classe 2, </w:t>
      </w:r>
      <w:r w:rsidR="00124E6E" w:rsidRPr="00FA0DA8">
        <w:rPr>
          <w:lang w:val="fr-FR"/>
        </w:rPr>
        <w:t xml:space="preserve">et ont été percées ne sont </w:t>
      </w:r>
      <w:r w:rsidR="00124E6E">
        <w:rPr>
          <w:lang w:val="fr-FR"/>
        </w:rPr>
        <w:t>pas soumises aux</w:t>
      </w:r>
      <w:r w:rsidR="00124E6E" w:rsidRPr="00FA0DA8">
        <w:rPr>
          <w:lang w:val="fr-FR"/>
        </w:rPr>
        <w:t xml:space="preserve"> prescriptions du </w:t>
      </w:r>
      <w:r w:rsidR="00124E6E">
        <w:rPr>
          <w:lang w:val="fr-FR"/>
        </w:rPr>
        <w:t>RID/de l’ADR/de l’ADN</w:t>
      </w:r>
      <w:r w:rsidR="00124E6E" w:rsidRPr="00FA0DA8">
        <w:rPr>
          <w:lang w:val="fr-FR"/>
        </w:rPr>
        <w:t>. ».</w:t>
      </w:r>
    </w:p>
    <w:p w:rsidR="00B926A4" w:rsidRDefault="00124E6E" w:rsidP="00A23C89">
      <w:pPr>
        <w:pStyle w:val="SingleTxtG"/>
        <w:tabs>
          <w:tab w:val="left" w:pos="2268"/>
        </w:tabs>
        <w:ind w:left="2259" w:hanging="1125"/>
        <w:rPr>
          <w:lang w:val="fr-FR"/>
        </w:rPr>
      </w:pPr>
      <w:r w:rsidRPr="00EB4D25">
        <w:rPr>
          <w:b/>
          <w:lang w:val="fr-FR"/>
        </w:rPr>
        <w:t>(RID :)</w:t>
      </w:r>
      <w:r>
        <w:rPr>
          <w:lang w:val="fr-FR"/>
        </w:rPr>
        <w:t xml:space="preserve"> DS 356</w:t>
      </w:r>
    </w:p>
    <w:p w:rsidR="00124E6E" w:rsidRDefault="00124E6E" w:rsidP="00A23C89">
      <w:pPr>
        <w:pStyle w:val="SingleTxtG"/>
        <w:tabs>
          <w:tab w:val="left" w:pos="2268"/>
        </w:tabs>
        <w:ind w:left="2259" w:hanging="1125"/>
        <w:rPr>
          <w:lang w:val="fr-FR"/>
        </w:rPr>
      </w:pPr>
      <w:r>
        <w:rPr>
          <w:lang w:val="fr-FR"/>
        </w:rPr>
        <w:tab/>
        <w:t xml:space="preserve">Après « des bateaux », ajouter </w:t>
      </w:r>
      <w:proofErr w:type="gramStart"/>
      <w:r>
        <w:rPr>
          <w:lang w:val="fr-FR"/>
        </w:rPr>
        <w:t>« ,</w:t>
      </w:r>
      <w:proofErr w:type="gramEnd"/>
      <w:r>
        <w:rPr>
          <w:lang w:val="fr-FR"/>
        </w:rPr>
        <w:t xml:space="preserve"> des machines, des moteurs » </w:t>
      </w:r>
    </w:p>
    <w:p w:rsidR="00B926A4" w:rsidRDefault="00124E6E" w:rsidP="00A23C89">
      <w:pPr>
        <w:pStyle w:val="SingleTxtG"/>
        <w:tabs>
          <w:tab w:val="left" w:pos="2268"/>
        </w:tabs>
        <w:ind w:left="2259" w:hanging="1125"/>
        <w:rPr>
          <w:lang w:val="fr-FR"/>
        </w:rPr>
      </w:pPr>
      <w:r w:rsidRPr="00EB4D25">
        <w:rPr>
          <w:b/>
          <w:lang w:val="fr-FR"/>
        </w:rPr>
        <w:t>(ADR/ADN :)</w:t>
      </w:r>
      <w:r>
        <w:rPr>
          <w:lang w:val="fr-FR"/>
        </w:rPr>
        <w:t xml:space="preserve"> DS 356</w:t>
      </w:r>
    </w:p>
    <w:p w:rsidR="00124E6E" w:rsidRDefault="00124E6E" w:rsidP="00A23C89">
      <w:pPr>
        <w:pStyle w:val="SingleTxtG"/>
        <w:tabs>
          <w:tab w:val="left" w:pos="2268"/>
        </w:tabs>
        <w:ind w:left="2259" w:hanging="1125"/>
        <w:rPr>
          <w:lang w:val="fr-FR"/>
        </w:rPr>
      </w:pPr>
      <w:r>
        <w:rPr>
          <w:lang w:val="fr-FR"/>
        </w:rPr>
        <w:tab/>
        <w:t xml:space="preserve">Après « des bateaux », ajouter </w:t>
      </w:r>
      <w:proofErr w:type="gramStart"/>
      <w:r>
        <w:rPr>
          <w:lang w:val="fr-FR"/>
        </w:rPr>
        <w:t>« ,</w:t>
      </w:r>
      <w:proofErr w:type="gramEnd"/>
      <w:r>
        <w:rPr>
          <w:lang w:val="fr-FR"/>
        </w:rPr>
        <w:t xml:space="preserve"> des machines, des moteurs ».</w:t>
      </w:r>
    </w:p>
    <w:p w:rsidR="00124E6E" w:rsidRPr="006B0E45" w:rsidRDefault="00124E6E" w:rsidP="00A23C89">
      <w:pPr>
        <w:pStyle w:val="SingleTxtG"/>
        <w:tabs>
          <w:tab w:val="left" w:pos="2268"/>
        </w:tabs>
        <w:ind w:left="2259" w:hanging="1125"/>
        <w:rPr>
          <w:lang w:val="fr-FR"/>
        </w:rPr>
      </w:pPr>
      <w:r>
        <w:rPr>
          <w:lang w:val="fr-FR"/>
        </w:rPr>
        <w:t>DS</w:t>
      </w:r>
      <w:r w:rsidRPr="006B0E45">
        <w:rPr>
          <w:lang w:val="fr-FR"/>
        </w:rPr>
        <w:t xml:space="preserve"> 360</w:t>
      </w:r>
      <w:r w:rsidRPr="006B0E45">
        <w:rPr>
          <w:lang w:val="fr-FR"/>
        </w:rPr>
        <w:tab/>
        <w:t>Remplacer « </w:t>
      </w:r>
      <w:r>
        <w:rPr>
          <w:lang w:val="fr-FR"/>
        </w:rPr>
        <w:t>classés</w:t>
      </w:r>
      <w:r w:rsidRPr="006B0E45">
        <w:rPr>
          <w:lang w:val="fr-FR"/>
        </w:rPr>
        <w:t xml:space="preserve"> sous » par « affectés à ». Ajouter la phrase suivante à la fin :</w:t>
      </w:r>
    </w:p>
    <w:p w:rsidR="00124E6E" w:rsidRPr="006B0E45" w:rsidRDefault="00B926A4" w:rsidP="00A23C89">
      <w:pPr>
        <w:pStyle w:val="SingleTxtG"/>
        <w:tabs>
          <w:tab w:val="left" w:pos="2268"/>
        </w:tabs>
        <w:ind w:left="2259" w:hanging="1125"/>
        <w:rPr>
          <w:lang w:val="fr-FR"/>
        </w:rPr>
      </w:pPr>
      <w:r>
        <w:rPr>
          <w:lang w:val="fr-FR"/>
        </w:rPr>
        <w:tab/>
      </w:r>
      <w:r w:rsidR="00124E6E" w:rsidRPr="006B0E45">
        <w:rPr>
          <w:lang w:val="fr-FR"/>
        </w:rPr>
        <w:t xml:space="preserve">« Les batteries au lithium installées dans des engins de transport, conçues uniquement pour fournir de l’énergie hors de l’engin de transport doivent être affectées à la rubrique </w:t>
      </w:r>
      <w:r w:rsidR="00124E6E">
        <w:rPr>
          <w:lang w:val="fr-FR"/>
        </w:rPr>
        <w:t>[</w:t>
      </w:r>
      <w:r w:rsidR="00124E6E" w:rsidRPr="006B0E45">
        <w:rPr>
          <w:lang w:val="fr-FR"/>
        </w:rPr>
        <w:t>ONU 3536 BATTERIES AU LITHIUM INSTALLÉES DANS DES ENGINS DE TRANSPORT</w:t>
      </w:r>
      <w:r w:rsidR="00124E6E">
        <w:rPr>
          <w:lang w:val="fr-FR"/>
        </w:rPr>
        <w:t xml:space="preserve"> </w:t>
      </w:r>
      <w:r w:rsidR="00124E6E" w:rsidRPr="00F94600">
        <w:rPr>
          <w:lang w:val="fr-FR"/>
        </w:rPr>
        <w:t>batteries au lithium ionique ou batteries au lithium métal</w:t>
      </w:r>
      <w:r w:rsidR="00124E6E">
        <w:rPr>
          <w:lang w:val="fr-FR"/>
        </w:rPr>
        <w:t>]</w:t>
      </w:r>
      <w:r w:rsidR="00124E6E" w:rsidRPr="006B0E45">
        <w:rPr>
          <w:lang w:val="fr-FR"/>
        </w:rPr>
        <w:t>. ».</w:t>
      </w:r>
    </w:p>
    <w:p w:rsidR="00124E6E" w:rsidRPr="000C5447" w:rsidRDefault="00124E6E" w:rsidP="00A23C89">
      <w:pPr>
        <w:pStyle w:val="SingleTxtG"/>
        <w:tabs>
          <w:tab w:val="left" w:pos="2268"/>
        </w:tabs>
        <w:ind w:left="2259" w:hanging="1125"/>
      </w:pPr>
      <w:r>
        <w:rPr>
          <w:lang w:val="fr-FR"/>
        </w:rPr>
        <w:t>DS</w:t>
      </w:r>
      <w:r w:rsidRPr="000C5447">
        <w:t xml:space="preserve"> 370</w:t>
      </w:r>
      <w:r>
        <w:tab/>
        <w:t>Modifier la première phrase pour lire comme suit : « Cette rubrique s’applique uniquement au nitrate d’ammonium qui répond à l’un des critères suivants : » et à la fin du premier tiret remplacer « ; et » par « ; </w:t>
      </w:r>
      <w:proofErr w:type="gramStart"/>
      <w:r>
        <w:t>ou »</w:t>
      </w:r>
      <w:proofErr w:type="gramEnd"/>
      <w:r w:rsidR="00FB6D76">
        <w:t>.</w:t>
      </w:r>
    </w:p>
    <w:p w:rsidR="00124E6E" w:rsidRPr="004559DF" w:rsidRDefault="00B926A4" w:rsidP="00A23C89">
      <w:pPr>
        <w:pStyle w:val="SingleTxtG"/>
        <w:tabs>
          <w:tab w:val="left" w:pos="2268"/>
        </w:tabs>
        <w:ind w:left="2259" w:hanging="1125"/>
      </w:pPr>
      <w:r>
        <w:tab/>
      </w:r>
      <w:r w:rsidR="00124E6E" w:rsidRPr="004559DF">
        <w:t>Ajouter le nouveau paragraphe suivant, après les tirets</w:t>
      </w:r>
      <w:r w:rsidR="00124E6E">
        <w:t xml:space="preserve"> </w:t>
      </w:r>
      <w:r w:rsidR="00124E6E" w:rsidRPr="004559DF">
        <w:t xml:space="preserve">: </w:t>
      </w:r>
    </w:p>
    <w:p w:rsidR="00124E6E" w:rsidRDefault="00B926A4" w:rsidP="00A23C89">
      <w:pPr>
        <w:pStyle w:val="SingleTxtG"/>
        <w:tabs>
          <w:tab w:val="left" w:pos="2268"/>
        </w:tabs>
        <w:ind w:left="2259" w:hanging="1125"/>
      </w:pPr>
      <w:r>
        <w:tab/>
      </w:r>
      <w:r w:rsidR="00124E6E" w:rsidRPr="004559DF">
        <w:t>« </w:t>
      </w:r>
      <w:r w:rsidR="00124E6E" w:rsidRPr="004559DF">
        <w:rPr>
          <w:lang w:val="fr-FR"/>
        </w:rPr>
        <w:t xml:space="preserve">Cette rubrique ne doit pas être utilisée pour le nitrate d’ammonium pour lequel une désignation officielle de transport existe dans </w:t>
      </w:r>
      <w:r w:rsidR="00124E6E">
        <w:rPr>
          <w:lang w:val="fr-FR"/>
        </w:rPr>
        <w:t>le tableau A</w:t>
      </w:r>
      <w:r w:rsidR="00124E6E" w:rsidRPr="004559DF">
        <w:rPr>
          <w:lang w:val="fr-FR"/>
        </w:rPr>
        <w:t xml:space="preserve"> du </w:t>
      </w:r>
      <w:r w:rsidR="00124E6E">
        <w:rPr>
          <w:lang w:val="fr-FR"/>
        </w:rPr>
        <w:t>c</w:t>
      </w:r>
      <w:r w:rsidR="00124E6E" w:rsidRPr="004559DF">
        <w:rPr>
          <w:lang w:val="fr-FR"/>
        </w:rPr>
        <w:t>hapitre 3.2 y compris le nitrate d’ammonium mélangé au gazole (ANFO) ou tout nitrate d’ammonium de qualité commerciale.</w:t>
      </w:r>
      <w:r w:rsidR="00124E6E" w:rsidRPr="004559DF">
        <w:t> ».</w:t>
      </w:r>
    </w:p>
    <w:p w:rsidR="00FB6D76" w:rsidRPr="000C5447" w:rsidRDefault="00FB6D76" w:rsidP="00FB6D76">
      <w:pPr>
        <w:pStyle w:val="SingleTxtG"/>
        <w:tabs>
          <w:tab w:val="left" w:pos="2268"/>
        </w:tabs>
        <w:ind w:left="2259" w:hanging="1125"/>
      </w:pPr>
      <w:r>
        <w:tab/>
        <w:t xml:space="preserve">Numérotez le premier tiret </w:t>
      </w:r>
      <w:proofErr w:type="gramStart"/>
      <w:r>
        <w:t>en tant que a</w:t>
      </w:r>
      <w:proofErr w:type="gramEnd"/>
      <w:r>
        <w:t>) et le deuxième tiret en tant que b).</w:t>
      </w:r>
    </w:p>
    <w:p w:rsidR="00124E6E" w:rsidRDefault="00124E6E" w:rsidP="00A23C89">
      <w:pPr>
        <w:pStyle w:val="SingleTxtG"/>
        <w:tabs>
          <w:tab w:val="left" w:pos="2268"/>
        </w:tabs>
        <w:ind w:left="2259" w:hanging="1125"/>
        <w:rPr>
          <w:lang w:val="fr-FR"/>
        </w:rPr>
      </w:pPr>
      <w:r>
        <w:rPr>
          <w:lang w:val="fr-FR"/>
        </w:rPr>
        <w:t>DS 376</w:t>
      </w:r>
      <w:r>
        <w:rPr>
          <w:lang w:val="fr-FR"/>
        </w:rPr>
        <w:tab/>
        <w:t>Modifier le Nota pour lire comme suit :</w:t>
      </w:r>
    </w:p>
    <w:p w:rsidR="00124E6E" w:rsidRDefault="00B926A4" w:rsidP="00A23C89">
      <w:pPr>
        <w:pStyle w:val="SingleTxtG"/>
        <w:tabs>
          <w:tab w:val="left" w:pos="2268"/>
        </w:tabs>
        <w:ind w:left="2259" w:hanging="1125"/>
        <w:rPr>
          <w:i/>
          <w:iCs/>
          <w:lang w:val="fr-FR"/>
        </w:rPr>
      </w:pPr>
      <w:r>
        <w:rPr>
          <w:lang w:val="fr-FR"/>
        </w:rPr>
        <w:tab/>
      </w:r>
      <w:r w:rsidR="00124E6E">
        <w:rPr>
          <w:lang w:val="fr-FR"/>
        </w:rPr>
        <w:t>« </w:t>
      </w:r>
      <w:r w:rsidR="00124E6E" w:rsidRPr="0064774E">
        <w:rPr>
          <w:b/>
          <w:bCs/>
          <w:i/>
          <w:iCs/>
          <w:lang w:val="fr-FR"/>
        </w:rPr>
        <w:t>NOTA</w:t>
      </w:r>
      <w:r w:rsidR="00124E6E">
        <w:rPr>
          <w:b/>
          <w:bCs/>
          <w:i/>
          <w:iCs/>
          <w:lang w:val="fr-FR"/>
        </w:rPr>
        <w:t xml:space="preserve"> </w:t>
      </w:r>
      <w:r w:rsidR="00124E6E" w:rsidRPr="0064774E">
        <w:rPr>
          <w:b/>
          <w:bCs/>
          <w:i/>
          <w:iCs/>
          <w:lang w:val="fr-FR"/>
        </w:rPr>
        <w:t>:</w:t>
      </w:r>
      <w:r w:rsidR="00124E6E" w:rsidRPr="0064774E">
        <w:rPr>
          <w:i/>
          <w:iCs/>
          <w:lang w:val="fr-FR"/>
        </w:rPr>
        <w:t xml:space="preserve"> </w:t>
      </w:r>
      <w:r w:rsidR="00124E6E">
        <w:rPr>
          <w:i/>
          <w:iCs/>
          <w:lang w:val="fr-FR"/>
        </w:rPr>
        <w:tab/>
      </w:r>
      <w:r w:rsidR="00124E6E" w:rsidRPr="0064774E">
        <w:rPr>
          <w:i/>
          <w:iCs/>
          <w:lang w:val="fr-FR"/>
        </w:rPr>
        <w:t xml:space="preserve">Afin de déterminer si une </w:t>
      </w:r>
      <w:r w:rsidR="00124E6E">
        <w:rPr>
          <w:i/>
          <w:iCs/>
          <w:lang w:val="fr-FR"/>
        </w:rPr>
        <w:t xml:space="preserve">pile ou </w:t>
      </w:r>
      <w:r w:rsidR="00124E6E" w:rsidRPr="0064774E">
        <w:rPr>
          <w:i/>
          <w:iCs/>
          <w:lang w:val="fr-FR"/>
        </w:rPr>
        <w:t xml:space="preserve">batterie peut être considérée comme endommagée ou défectueuse, une </w:t>
      </w:r>
      <w:r w:rsidR="00124E6E">
        <w:rPr>
          <w:i/>
          <w:iCs/>
          <w:lang w:val="fr-FR"/>
        </w:rPr>
        <w:t>estimation</w:t>
      </w:r>
      <w:r w:rsidR="00124E6E" w:rsidRPr="0064774E">
        <w:rPr>
          <w:i/>
          <w:iCs/>
          <w:lang w:val="fr-FR"/>
        </w:rPr>
        <w:t xml:space="preserve"> ou une évaluation doit </w:t>
      </w:r>
      <w:r w:rsidR="00124E6E" w:rsidRPr="0064774E">
        <w:rPr>
          <w:i/>
          <w:iCs/>
          <w:lang w:val="fr-FR"/>
        </w:rPr>
        <w:lastRenderedPageBreak/>
        <w:t xml:space="preserve">être effectuée sur la base des critères de sécurité du fabricant de la pile, de la batterie ou du produit </w:t>
      </w:r>
      <w:r w:rsidR="00124E6E">
        <w:rPr>
          <w:i/>
          <w:iCs/>
          <w:lang w:val="fr-FR"/>
        </w:rPr>
        <w:t xml:space="preserve">fini </w:t>
      </w:r>
      <w:r w:rsidR="00124E6E" w:rsidRPr="0064774E">
        <w:rPr>
          <w:i/>
          <w:iCs/>
          <w:lang w:val="fr-FR"/>
        </w:rPr>
        <w:t xml:space="preserve">ou par un expert technique connaissant les caractéristiques de sécurité de la </w:t>
      </w:r>
      <w:r w:rsidR="00124E6E">
        <w:rPr>
          <w:i/>
          <w:iCs/>
          <w:lang w:val="fr-FR"/>
        </w:rPr>
        <w:t xml:space="preserve">pile ou de la </w:t>
      </w:r>
      <w:r w:rsidR="00124E6E" w:rsidRPr="0064774E">
        <w:rPr>
          <w:i/>
          <w:iCs/>
          <w:lang w:val="fr-FR"/>
        </w:rPr>
        <w:t xml:space="preserve">batterie. Une </w:t>
      </w:r>
      <w:r w:rsidR="00124E6E">
        <w:rPr>
          <w:i/>
          <w:iCs/>
          <w:lang w:val="fr-FR"/>
        </w:rPr>
        <w:t>estimation</w:t>
      </w:r>
      <w:r w:rsidR="00124E6E" w:rsidRPr="0064774E">
        <w:rPr>
          <w:i/>
          <w:iCs/>
          <w:lang w:val="fr-FR"/>
        </w:rPr>
        <w:t xml:space="preserve"> ou évaluation peut </w:t>
      </w:r>
      <w:r w:rsidR="00124E6E">
        <w:rPr>
          <w:i/>
          <w:iCs/>
          <w:lang w:val="fr-FR"/>
        </w:rPr>
        <w:t>inclure</w:t>
      </w:r>
      <w:r w:rsidR="00124E6E" w:rsidRPr="0064774E">
        <w:rPr>
          <w:i/>
          <w:iCs/>
          <w:lang w:val="fr-FR"/>
        </w:rPr>
        <w:t>, sans s'y limiter, les critères suivants</w:t>
      </w:r>
      <w:r w:rsidR="00124E6E">
        <w:rPr>
          <w:i/>
          <w:iCs/>
          <w:lang w:val="fr-FR"/>
        </w:rPr>
        <w:t xml:space="preserve"> </w:t>
      </w:r>
      <w:r w:rsidR="00124E6E" w:rsidRPr="0064774E">
        <w:rPr>
          <w:i/>
          <w:iCs/>
          <w:lang w:val="fr-FR"/>
        </w:rPr>
        <w:t>:</w:t>
      </w:r>
    </w:p>
    <w:p w:rsidR="00124E6E" w:rsidRDefault="00124E6E" w:rsidP="00124E6E">
      <w:pPr>
        <w:pStyle w:val="SingleTxtG"/>
        <w:numPr>
          <w:ilvl w:val="0"/>
          <w:numId w:val="30"/>
        </w:numPr>
        <w:kinsoku/>
        <w:overflowPunct/>
        <w:autoSpaceDE/>
        <w:autoSpaceDN/>
        <w:adjustRightInd/>
        <w:snapToGrid/>
        <w:ind w:left="2268" w:firstLine="0"/>
        <w:rPr>
          <w:i/>
          <w:iCs/>
          <w:lang w:val="fr-FR"/>
        </w:rPr>
      </w:pPr>
      <w:r>
        <w:rPr>
          <w:i/>
          <w:iCs/>
          <w:lang w:val="fr-FR"/>
        </w:rPr>
        <w:t>Danger important tel que présence de gaz, incendie ou fuite d’électrolyte ;</w:t>
      </w:r>
    </w:p>
    <w:p w:rsidR="00124E6E" w:rsidRDefault="00124E6E" w:rsidP="00124E6E">
      <w:pPr>
        <w:pStyle w:val="SingleTxtG"/>
        <w:numPr>
          <w:ilvl w:val="0"/>
          <w:numId w:val="30"/>
        </w:numPr>
        <w:kinsoku/>
        <w:overflowPunct/>
        <w:autoSpaceDE/>
        <w:autoSpaceDN/>
        <w:adjustRightInd/>
        <w:snapToGrid/>
        <w:ind w:left="2268" w:firstLine="0"/>
        <w:rPr>
          <w:i/>
          <w:iCs/>
          <w:lang w:val="fr-FR"/>
        </w:rPr>
      </w:pPr>
      <w:r>
        <w:rPr>
          <w:i/>
          <w:iCs/>
          <w:lang w:val="fr-FR"/>
        </w:rPr>
        <w:t xml:space="preserve">Utilisation qui a été faite de la pile ou de la batterie et éventuel </w:t>
      </w:r>
      <w:r w:rsidRPr="0064774E">
        <w:rPr>
          <w:i/>
          <w:iCs/>
          <w:lang w:val="fr-FR"/>
        </w:rPr>
        <w:t>usage impropre de celle-ci</w:t>
      </w:r>
      <w:r>
        <w:rPr>
          <w:i/>
          <w:iCs/>
          <w:lang w:val="fr-FR"/>
        </w:rPr>
        <w:t xml:space="preserve"> ;</w:t>
      </w:r>
    </w:p>
    <w:p w:rsidR="00124E6E" w:rsidRPr="005419C7" w:rsidRDefault="00124E6E" w:rsidP="00124E6E">
      <w:pPr>
        <w:pStyle w:val="SingleTxtG"/>
        <w:numPr>
          <w:ilvl w:val="0"/>
          <w:numId w:val="30"/>
        </w:numPr>
        <w:kinsoku/>
        <w:overflowPunct/>
        <w:autoSpaceDE/>
        <w:autoSpaceDN/>
        <w:adjustRightInd/>
        <w:snapToGrid/>
        <w:ind w:left="2268" w:firstLine="0"/>
        <w:rPr>
          <w:i/>
          <w:iCs/>
          <w:lang w:val="fr-FR"/>
        </w:rPr>
      </w:pPr>
      <w:r>
        <w:rPr>
          <w:i/>
          <w:iCs/>
          <w:lang w:val="fr-FR"/>
        </w:rPr>
        <w:t>S</w:t>
      </w:r>
      <w:r w:rsidRPr="005419C7">
        <w:rPr>
          <w:i/>
          <w:iCs/>
          <w:lang w:val="fr-FR"/>
        </w:rPr>
        <w:t xml:space="preserve">ignes de dommages physiques, tels que déformation </w:t>
      </w:r>
      <w:r>
        <w:rPr>
          <w:i/>
          <w:iCs/>
          <w:lang w:val="fr-FR"/>
        </w:rPr>
        <w:t xml:space="preserve">du </w:t>
      </w:r>
      <w:r w:rsidRPr="005419C7">
        <w:rPr>
          <w:i/>
          <w:iCs/>
          <w:lang w:val="fr-FR"/>
        </w:rPr>
        <w:t>boîtier</w:t>
      </w:r>
      <w:r>
        <w:rPr>
          <w:i/>
          <w:iCs/>
          <w:lang w:val="fr-FR"/>
        </w:rPr>
        <w:t xml:space="preserve"> de la pile ou </w:t>
      </w:r>
      <w:r w:rsidRPr="005419C7">
        <w:rPr>
          <w:i/>
          <w:iCs/>
          <w:lang w:val="fr-FR"/>
        </w:rPr>
        <w:t>de la batterie, ou couleurs sur le boîtier</w:t>
      </w:r>
      <w:r>
        <w:rPr>
          <w:i/>
          <w:iCs/>
          <w:lang w:val="fr-FR"/>
        </w:rPr>
        <w:t xml:space="preserve"> </w:t>
      </w:r>
      <w:r w:rsidRPr="005419C7">
        <w:rPr>
          <w:i/>
          <w:iCs/>
          <w:lang w:val="fr-FR"/>
        </w:rPr>
        <w:t>;</w:t>
      </w:r>
    </w:p>
    <w:p w:rsidR="00124E6E" w:rsidRPr="005419C7" w:rsidRDefault="00124E6E" w:rsidP="00124E6E">
      <w:pPr>
        <w:pStyle w:val="SingleTxtG"/>
        <w:numPr>
          <w:ilvl w:val="0"/>
          <w:numId w:val="30"/>
        </w:numPr>
        <w:kinsoku/>
        <w:overflowPunct/>
        <w:autoSpaceDE/>
        <w:autoSpaceDN/>
        <w:adjustRightInd/>
        <w:snapToGrid/>
        <w:ind w:left="2268" w:firstLine="0"/>
        <w:rPr>
          <w:i/>
          <w:iCs/>
          <w:lang w:val="fr-FR"/>
        </w:rPr>
      </w:pPr>
      <w:r w:rsidRPr="005419C7">
        <w:rPr>
          <w:i/>
          <w:iCs/>
          <w:lang w:val="fr-FR"/>
        </w:rPr>
        <w:t>Protection contre les courts-circuits externes et internes, tels que les mesures de tension ou d'isolation</w:t>
      </w:r>
      <w:r>
        <w:rPr>
          <w:i/>
          <w:iCs/>
          <w:lang w:val="fr-FR"/>
        </w:rPr>
        <w:t xml:space="preserve"> </w:t>
      </w:r>
      <w:r w:rsidRPr="005419C7">
        <w:rPr>
          <w:i/>
          <w:iCs/>
          <w:lang w:val="fr-FR"/>
        </w:rPr>
        <w:t>;</w:t>
      </w:r>
    </w:p>
    <w:p w:rsidR="00124E6E" w:rsidRPr="005419C7" w:rsidRDefault="00124E6E" w:rsidP="00124E6E">
      <w:pPr>
        <w:pStyle w:val="SingleTxtG"/>
        <w:numPr>
          <w:ilvl w:val="0"/>
          <w:numId w:val="30"/>
        </w:numPr>
        <w:kinsoku/>
        <w:overflowPunct/>
        <w:autoSpaceDE/>
        <w:autoSpaceDN/>
        <w:adjustRightInd/>
        <w:snapToGrid/>
        <w:ind w:left="2268" w:firstLine="0"/>
        <w:rPr>
          <w:i/>
          <w:iCs/>
          <w:lang w:val="fr-FR"/>
        </w:rPr>
      </w:pPr>
      <w:r>
        <w:rPr>
          <w:i/>
          <w:iCs/>
          <w:lang w:val="fr-FR"/>
        </w:rPr>
        <w:t xml:space="preserve">Etat des dispositifs de sécurité de la pile ou de la batterie </w:t>
      </w:r>
      <w:r w:rsidRPr="005419C7">
        <w:rPr>
          <w:i/>
          <w:iCs/>
          <w:lang w:val="fr-FR"/>
        </w:rPr>
        <w:t xml:space="preserve">; </w:t>
      </w:r>
      <w:proofErr w:type="gramStart"/>
      <w:r w:rsidRPr="005419C7">
        <w:rPr>
          <w:i/>
          <w:iCs/>
          <w:lang w:val="fr-FR"/>
        </w:rPr>
        <w:t>ou</w:t>
      </w:r>
      <w:proofErr w:type="gramEnd"/>
    </w:p>
    <w:p w:rsidR="00124E6E" w:rsidRDefault="00124E6E" w:rsidP="00124E6E">
      <w:pPr>
        <w:pStyle w:val="SingleTxtG"/>
        <w:numPr>
          <w:ilvl w:val="0"/>
          <w:numId w:val="30"/>
        </w:numPr>
        <w:kinsoku/>
        <w:overflowPunct/>
        <w:autoSpaceDE/>
        <w:autoSpaceDN/>
        <w:adjustRightInd/>
        <w:snapToGrid/>
        <w:ind w:left="2268" w:firstLine="0"/>
        <w:rPr>
          <w:i/>
          <w:iCs/>
          <w:lang w:val="fr-FR"/>
        </w:rPr>
      </w:pPr>
      <w:r w:rsidRPr="005419C7">
        <w:rPr>
          <w:i/>
          <w:iCs/>
          <w:lang w:val="fr-FR"/>
        </w:rPr>
        <w:t xml:space="preserve">Dommages à </w:t>
      </w:r>
      <w:r>
        <w:rPr>
          <w:i/>
          <w:iCs/>
          <w:lang w:val="fr-FR"/>
        </w:rPr>
        <w:t>tout composant de sécurité interne, tel</w:t>
      </w:r>
      <w:r w:rsidRPr="005419C7">
        <w:rPr>
          <w:i/>
          <w:iCs/>
          <w:lang w:val="fr-FR"/>
        </w:rPr>
        <w:t xml:space="preserve"> que système de gestion de la batterie.</w:t>
      </w:r>
      <w:r>
        <w:rPr>
          <w:i/>
          <w:iCs/>
          <w:lang w:val="fr-FR"/>
        </w:rPr>
        <w:t> ».</w:t>
      </w:r>
    </w:p>
    <w:p w:rsidR="00124E6E" w:rsidRPr="006B0E45" w:rsidRDefault="00124E6E" w:rsidP="00A23C89">
      <w:pPr>
        <w:pStyle w:val="SingleTxtG"/>
        <w:tabs>
          <w:tab w:val="left" w:pos="2268"/>
        </w:tabs>
        <w:ind w:left="2259" w:hanging="1125"/>
        <w:rPr>
          <w:lang w:val="fr-FR"/>
        </w:rPr>
      </w:pPr>
      <w:r>
        <w:rPr>
          <w:lang w:val="fr-FR"/>
        </w:rPr>
        <w:t>DS</w:t>
      </w:r>
      <w:r w:rsidRPr="006B0E45">
        <w:rPr>
          <w:lang w:val="fr-FR"/>
        </w:rPr>
        <w:t xml:space="preserve"> 379 d) i)</w:t>
      </w:r>
      <w:r w:rsidRPr="006B0E45">
        <w:rPr>
          <w:lang w:val="fr-FR"/>
        </w:rPr>
        <w:tab/>
        <w:t>Remplacer « ISO 11114-</w:t>
      </w:r>
      <w:proofErr w:type="gramStart"/>
      <w:r w:rsidRPr="006B0E45">
        <w:rPr>
          <w:lang w:val="fr-FR"/>
        </w:rPr>
        <w:t>1:</w:t>
      </w:r>
      <w:proofErr w:type="gramEnd"/>
      <w:r w:rsidRPr="006B0E45">
        <w:rPr>
          <w:lang w:val="fr-FR"/>
        </w:rPr>
        <w:t xml:space="preserve">2012 » par « ISO 11114-1:2012 + </w:t>
      </w:r>
      <w:r>
        <w:rPr>
          <w:lang w:val="fr-FR"/>
        </w:rPr>
        <w:t>A</w:t>
      </w:r>
      <w:r w:rsidRPr="006B0E45">
        <w:rPr>
          <w:lang w:val="fr-FR"/>
        </w:rPr>
        <w:t>1:2017 ».</w:t>
      </w:r>
    </w:p>
    <w:p w:rsidR="00124E6E" w:rsidRPr="006B0E45" w:rsidRDefault="00124E6E" w:rsidP="00A23C89">
      <w:pPr>
        <w:pStyle w:val="SingleTxtG"/>
        <w:tabs>
          <w:tab w:val="left" w:pos="2268"/>
        </w:tabs>
        <w:ind w:left="2259" w:hanging="1125"/>
        <w:rPr>
          <w:lang w:val="fr-FR"/>
        </w:rPr>
      </w:pPr>
      <w:r>
        <w:rPr>
          <w:lang w:val="fr-FR"/>
        </w:rPr>
        <w:t>DS</w:t>
      </w:r>
      <w:r w:rsidRPr="006B0E45">
        <w:rPr>
          <w:lang w:val="fr-FR"/>
        </w:rPr>
        <w:t xml:space="preserve"> 388</w:t>
      </w:r>
      <w:r w:rsidRPr="006B0E45">
        <w:rPr>
          <w:lang w:val="fr-FR"/>
        </w:rPr>
        <w:tab/>
        <w:t>A la fin du septième paragraphe, ajouter la phrase suivante :</w:t>
      </w:r>
    </w:p>
    <w:p w:rsidR="00124E6E" w:rsidRPr="006B0E45" w:rsidRDefault="00B926A4" w:rsidP="00A23C89">
      <w:pPr>
        <w:pStyle w:val="SingleTxtG"/>
        <w:tabs>
          <w:tab w:val="left" w:pos="2268"/>
        </w:tabs>
        <w:ind w:left="2259" w:hanging="1125"/>
        <w:rPr>
          <w:iCs/>
          <w:lang w:val="fr-FR"/>
        </w:rPr>
      </w:pPr>
      <w:r>
        <w:rPr>
          <w:lang w:val="fr-FR"/>
        </w:rPr>
        <w:tab/>
      </w:r>
      <w:r w:rsidR="00124E6E" w:rsidRPr="006B0E45">
        <w:rPr>
          <w:lang w:val="fr-FR"/>
        </w:rPr>
        <w:t>« </w:t>
      </w:r>
      <w:r w:rsidR="00124E6E" w:rsidRPr="006B0E45">
        <w:rPr>
          <w:iCs/>
          <w:lang w:val="fr-FR"/>
        </w:rPr>
        <w:t xml:space="preserve">Les </w:t>
      </w:r>
      <w:r w:rsidR="00124E6E" w:rsidRPr="006B0E45">
        <w:rPr>
          <w:lang w:val="fr-FR"/>
        </w:rPr>
        <w:t xml:space="preserve">batteries au lithium ionique ou batteries au lithium métal installées dans un engin de transport et conçues uniquement pour fournir de l’énergie hors de l’engin de transport doivent être affectées à la </w:t>
      </w:r>
      <w:r w:rsidR="00124E6E" w:rsidRPr="00F3075C">
        <w:t xml:space="preserve">rubrique ONU 3536 </w:t>
      </w:r>
      <w:r w:rsidR="00124E6E">
        <w:t>[</w:t>
      </w:r>
      <w:r w:rsidR="00124E6E" w:rsidRPr="00F3075C">
        <w:t>BATTERIES AU LITHIUM INSTALLÉES DANS DES ENGINS DE TRANSPORT batteries au lithium ionique ou batteries au lithium métal</w:t>
      </w:r>
      <w:r w:rsidR="00124E6E">
        <w:t>]</w:t>
      </w:r>
      <w:proofErr w:type="gramStart"/>
      <w:r w:rsidR="00124E6E" w:rsidRPr="00F3075C">
        <w:t>.</w:t>
      </w:r>
      <w:r w:rsidR="00124E6E" w:rsidRPr="006B0E45">
        <w:rPr>
          <w:lang w:val="fr-FR"/>
        </w:rPr>
        <w:t>»</w:t>
      </w:r>
      <w:proofErr w:type="gramEnd"/>
      <w:r w:rsidR="00124E6E" w:rsidRPr="006B0E45">
        <w:rPr>
          <w:lang w:val="fr-FR"/>
        </w:rPr>
        <w:t>.</w:t>
      </w:r>
    </w:p>
    <w:p w:rsidR="00124E6E" w:rsidRDefault="00124E6E" w:rsidP="00A23C89">
      <w:pPr>
        <w:pStyle w:val="SingleTxtG"/>
        <w:tabs>
          <w:tab w:val="left" w:pos="2268"/>
        </w:tabs>
        <w:ind w:left="2259" w:hanging="1125"/>
        <w:rPr>
          <w:lang w:val="fr-FR"/>
        </w:rPr>
      </w:pPr>
      <w:r>
        <w:rPr>
          <w:lang w:val="fr-FR"/>
        </w:rPr>
        <w:t>DS 660</w:t>
      </w:r>
      <w:r>
        <w:rPr>
          <w:lang w:val="fr-FR"/>
        </w:rPr>
        <w:tab/>
        <w:t>Supprimer et ajouter « 666</w:t>
      </w:r>
      <w:r>
        <w:rPr>
          <w:lang w:val="fr-FR"/>
        </w:rPr>
        <w:tab/>
      </w:r>
      <w:r w:rsidRPr="00AB7C1B">
        <w:rPr>
          <w:i/>
          <w:iCs/>
          <w:lang w:val="fr-FR"/>
        </w:rPr>
        <w:t>(Supprimé)</w:t>
      </w:r>
      <w:r>
        <w:rPr>
          <w:lang w:val="fr-FR"/>
        </w:rPr>
        <w:t> »</w:t>
      </w:r>
    </w:p>
    <w:p w:rsidR="00124E6E" w:rsidRDefault="00124E6E" w:rsidP="00A23C89">
      <w:pPr>
        <w:pStyle w:val="SingleTxtG"/>
        <w:tabs>
          <w:tab w:val="left" w:pos="2268"/>
        </w:tabs>
        <w:ind w:left="2259" w:hanging="1125"/>
        <w:rPr>
          <w:lang w:val="fr-FR"/>
        </w:rPr>
      </w:pPr>
      <w:r>
        <w:rPr>
          <w:lang w:val="fr-FR"/>
        </w:rPr>
        <w:t>Ajouter les nouvelles dispositions spéciales suivantes :</w:t>
      </w:r>
    </w:p>
    <w:p w:rsidR="00124E6E" w:rsidRPr="00987D7E" w:rsidRDefault="00124E6E" w:rsidP="00A23C89">
      <w:pPr>
        <w:pStyle w:val="SingleTxtG"/>
        <w:tabs>
          <w:tab w:val="left" w:pos="2268"/>
        </w:tabs>
        <w:ind w:left="2259" w:hanging="1125"/>
        <w:rPr>
          <w:lang w:val="fr-FR"/>
        </w:rPr>
      </w:pPr>
      <w:r>
        <w:rPr>
          <w:lang w:val="fr-FR"/>
        </w:rPr>
        <w:t>« 390</w:t>
      </w:r>
      <w:r>
        <w:rPr>
          <w:lang w:val="fr-FR"/>
        </w:rPr>
        <w:tab/>
      </w:r>
      <w:r w:rsidRPr="00987D7E">
        <w:rPr>
          <w:lang w:val="fr-FR"/>
        </w:rPr>
        <w:t>Si un colis contient à la fois des piles au lithium contenues dans un équipement et des piles au lithium emballées avec un équipement, les presc</w:t>
      </w:r>
      <w:r>
        <w:rPr>
          <w:lang w:val="fr-FR"/>
        </w:rPr>
        <w:t xml:space="preserve">riptions suivantes s’appliquent aux fins du marquage du colis et de la documentation </w:t>
      </w:r>
      <w:r w:rsidRPr="00987D7E">
        <w:rPr>
          <w:lang w:val="fr-FR"/>
        </w:rPr>
        <w:t>:</w:t>
      </w:r>
    </w:p>
    <w:p w:rsidR="00124E6E" w:rsidRPr="00987D7E" w:rsidRDefault="00124E6E" w:rsidP="00B926A4">
      <w:pPr>
        <w:pStyle w:val="SingleTxtG"/>
        <w:tabs>
          <w:tab w:val="left" w:pos="2268"/>
        </w:tabs>
        <w:ind w:left="2835" w:hanging="576"/>
        <w:rPr>
          <w:lang w:val="fr-FR"/>
        </w:rPr>
      </w:pPr>
      <w:r>
        <w:rPr>
          <w:lang w:val="fr-FR"/>
        </w:rPr>
        <w:t>a)</w:t>
      </w:r>
      <w:r>
        <w:rPr>
          <w:lang w:val="fr-FR"/>
        </w:rPr>
        <w:tab/>
      </w:r>
      <w:r w:rsidRPr="00987D7E">
        <w:rPr>
          <w:lang w:val="fr-FR"/>
        </w:rPr>
        <w:t xml:space="preserve">Le colis doit porter la mention </w:t>
      </w:r>
      <w:r>
        <w:rPr>
          <w:lang w:val="fr-FR"/>
        </w:rPr>
        <w:t>"UN</w:t>
      </w:r>
      <w:r w:rsidRPr="00987D7E">
        <w:rPr>
          <w:lang w:val="fr-FR"/>
        </w:rPr>
        <w:t xml:space="preserve"> 3091" ou "</w:t>
      </w:r>
      <w:r>
        <w:rPr>
          <w:lang w:val="fr-FR"/>
        </w:rPr>
        <w:t>UN</w:t>
      </w:r>
      <w:r w:rsidRPr="00987D7E">
        <w:rPr>
          <w:lang w:val="fr-FR"/>
        </w:rPr>
        <w:t xml:space="preserve"> 3481", selon le cas. Si un colis contient à la fois des piles au lithium ion</w:t>
      </w:r>
      <w:r>
        <w:rPr>
          <w:lang w:val="fr-FR"/>
        </w:rPr>
        <w:t>ique</w:t>
      </w:r>
      <w:r w:rsidRPr="00987D7E">
        <w:rPr>
          <w:lang w:val="fr-FR"/>
        </w:rPr>
        <w:t xml:space="preserve"> et des piles au lithium métal emballées avec un équipement et contenues dans un équipement, le colis doit porter </w:t>
      </w:r>
      <w:r>
        <w:rPr>
          <w:lang w:val="fr-FR"/>
        </w:rPr>
        <w:t>les marques requises pour les</w:t>
      </w:r>
      <w:r w:rsidRPr="00987D7E">
        <w:rPr>
          <w:lang w:val="fr-FR"/>
        </w:rPr>
        <w:t xml:space="preserve"> deux types de piles. Cependant, il n’est pas nécessaire de prendre en compte les piles bouton installées dans un équipement (y</w:t>
      </w:r>
      <w:r>
        <w:rPr>
          <w:lang w:val="fr-FR"/>
        </w:rPr>
        <w:t xml:space="preserve"> compris les circuits imprimés) ;</w:t>
      </w:r>
    </w:p>
    <w:p w:rsidR="00124E6E" w:rsidRDefault="00124E6E" w:rsidP="00B926A4">
      <w:pPr>
        <w:pStyle w:val="SingleTxtG"/>
        <w:tabs>
          <w:tab w:val="left" w:pos="2268"/>
        </w:tabs>
        <w:ind w:left="2835" w:hanging="576"/>
        <w:rPr>
          <w:lang w:val="fr-FR"/>
        </w:rPr>
      </w:pPr>
      <w:r w:rsidRPr="00987D7E">
        <w:rPr>
          <w:lang w:val="fr-FR"/>
        </w:rPr>
        <w:t>b)</w:t>
      </w:r>
      <w:r w:rsidRPr="00987D7E">
        <w:rPr>
          <w:lang w:val="fr-FR"/>
        </w:rPr>
        <w:tab/>
        <w:t xml:space="preserve">Le document de transport doit porter la mention </w:t>
      </w:r>
      <w:r>
        <w:rPr>
          <w:lang w:val="fr-FR"/>
        </w:rPr>
        <w:t>"UN</w:t>
      </w:r>
      <w:r w:rsidRPr="00987D7E">
        <w:rPr>
          <w:lang w:val="fr-FR"/>
        </w:rPr>
        <w:t xml:space="preserve"> 3091 </w:t>
      </w:r>
      <w:r w:rsidRPr="00EB4D25">
        <w:rPr>
          <w:caps/>
          <w:lang w:val="fr-FR"/>
        </w:rPr>
        <w:t>Piles au lithium métal emballées avec un équipement</w:t>
      </w:r>
      <w:r>
        <w:rPr>
          <w:lang w:val="fr-FR"/>
        </w:rPr>
        <w:t>"</w:t>
      </w:r>
      <w:r w:rsidRPr="00987D7E">
        <w:rPr>
          <w:lang w:val="fr-FR"/>
        </w:rPr>
        <w:t xml:space="preserve"> ou </w:t>
      </w:r>
      <w:r>
        <w:rPr>
          <w:lang w:val="fr-FR"/>
        </w:rPr>
        <w:t xml:space="preserve">"UN </w:t>
      </w:r>
      <w:r w:rsidRPr="00987D7E">
        <w:rPr>
          <w:lang w:val="fr-FR"/>
        </w:rPr>
        <w:t xml:space="preserve">3481 </w:t>
      </w:r>
      <w:r w:rsidRPr="00EB4D25">
        <w:rPr>
          <w:caps/>
          <w:lang w:val="fr-FR"/>
        </w:rPr>
        <w:t>Piles au lithium ionique emballées avec un équipement</w:t>
      </w:r>
      <w:r>
        <w:rPr>
          <w:lang w:val="fr-FR"/>
        </w:rPr>
        <w:t>"</w:t>
      </w:r>
      <w:r w:rsidRPr="00987D7E">
        <w:rPr>
          <w:lang w:val="fr-FR"/>
        </w:rPr>
        <w:t>, selon le cas. Si un colis contient à la fois des piles au lithium métal et des piles au lithium ion</w:t>
      </w:r>
      <w:r>
        <w:rPr>
          <w:lang w:val="fr-FR"/>
        </w:rPr>
        <w:t>ique</w:t>
      </w:r>
      <w:r w:rsidRPr="00987D7E">
        <w:rPr>
          <w:lang w:val="fr-FR"/>
        </w:rPr>
        <w:t xml:space="preserve"> emballées avec un équipement et contenues dans un équipement, le document de transport doit indiquer à la fois </w:t>
      </w:r>
      <w:r>
        <w:rPr>
          <w:lang w:val="fr-FR"/>
        </w:rPr>
        <w:t xml:space="preserve">"UN </w:t>
      </w:r>
      <w:r w:rsidRPr="00987D7E">
        <w:rPr>
          <w:lang w:val="fr-FR"/>
        </w:rPr>
        <w:t xml:space="preserve">3091 </w:t>
      </w:r>
      <w:r w:rsidRPr="00EB4D25">
        <w:rPr>
          <w:caps/>
          <w:lang w:val="fr-FR"/>
        </w:rPr>
        <w:t>Piles au lithium métal emballées avec un équipement</w:t>
      </w:r>
      <w:r>
        <w:rPr>
          <w:lang w:val="fr-FR"/>
        </w:rPr>
        <w:t>"</w:t>
      </w:r>
      <w:r w:rsidRPr="00987D7E">
        <w:rPr>
          <w:lang w:val="fr-FR"/>
        </w:rPr>
        <w:t xml:space="preserve"> et </w:t>
      </w:r>
      <w:r>
        <w:rPr>
          <w:lang w:val="fr-FR"/>
        </w:rPr>
        <w:t xml:space="preserve">"UN </w:t>
      </w:r>
      <w:r w:rsidRPr="00987D7E">
        <w:rPr>
          <w:lang w:val="fr-FR"/>
        </w:rPr>
        <w:t xml:space="preserve">3481 </w:t>
      </w:r>
      <w:r w:rsidRPr="00EB4D25">
        <w:rPr>
          <w:caps/>
          <w:lang w:val="fr-FR"/>
        </w:rPr>
        <w:t>Piles au lithium ionique emballées avec un équipement</w:t>
      </w:r>
      <w:r>
        <w:rPr>
          <w:lang w:val="fr-FR"/>
        </w:rPr>
        <w:t> »</w:t>
      </w:r>
      <w:r w:rsidRPr="00987D7E">
        <w:rPr>
          <w:lang w:val="fr-FR"/>
        </w:rPr>
        <w:t>.</w:t>
      </w:r>
    </w:p>
    <w:p w:rsidR="00124E6E" w:rsidRPr="00F16320" w:rsidRDefault="00124E6E" w:rsidP="00A23C89">
      <w:pPr>
        <w:pStyle w:val="SingleTxtG"/>
        <w:tabs>
          <w:tab w:val="left" w:pos="2268"/>
        </w:tabs>
        <w:ind w:left="2259" w:hanging="1125"/>
      </w:pPr>
      <w:r>
        <w:t>[</w:t>
      </w:r>
      <w:r w:rsidRPr="00F16320">
        <w:t>« 393</w:t>
      </w:r>
      <w:r w:rsidRPr="00F16320">
        <w:tab/>
        <w:t xml:space="preserve">La nitrocellulose doit remplir les critères de l’épreuve de Bergmann-Junk ou </w:t>
      </w:r>
      <w:r>
        <w:t>du papier réactif</w:t>
      </w:r>
      <w:r w:rsidRPr="00F16320">
        <w:t xml:space="preserve"> au violet de méthyle qui figurent à l’appendice 10 du Manuel d’épreuves et de critères. Il n’est pas nécessaire de réaliser les épreuves de la série 3 c). »</w:t>
      </w:r>
    </w:p>
    <w:p w:rsidR="00124E6E" w:rsidRPr="00F16320" w:rsidRDefault="00124E6E" w:rsidP="00A23C89">
      <w:pPr>
        <w:pStyle w:val="SingleTxtG"/>
        <w:tabs>
          <w:tab w:val="left" w:pos="2268"/>
        </w:tabs>
        <w:ind w:left="2259" w:hanging="1125"/>
      </w:pPr>
      <w:r w:rsidRPr="00F16320">
        <w:t>« 394</w:t>
      </w:r>
      <w:r w:rsidRPr="00F16320">
        <w:tab/>
        <w:t xml:space="preserve">La nitrocellulose doit remplir les critères de l’épreuve de Bergmann-Junk ou </w:t>
      </w:r>
      <w:r>
        <w:t>du papier réactif</w:t>
      </w:r>
      <w:r w:rsidRPr="00F16320">
        <w:t xml:space="preserve"> au violet de méthyle qui figurent à l’appendice 10 du Manuel d’épreuves et de critères. ».</w:t>
      </w:r>
      <w:r>
        <w:t>]</w:t>
      </w:r>
    </w:p>
    <w:p w:rsidR="00124E6E" w:rsidRDefault="00124E6E" w:rsidP="00A23C89">
      <w:pPr>
        <w:pStyle w:val="SingleTxtG"/>
        <w:tabs>
          <w:tab w:val="left" w:pos="2268"/>
        </w:tabs>
        <w:ind w:left="2259" w:hanging="1125"/>
        <w:rPr>
          <w:lang w:val="fr-FR"/>
        </w:rPr>
      </w:pPr>
      <w:r>
        <w:rPr>
          <w:lang w:val="fr-FR"/>
        </w:rPr>
        <w:lastRenderedPageBreak/>
        <w:t>« 395</w:t>
      </w:r>
      <w:r>
        <w:rPr>
          <w:lang w:val="fr-FR"/>
        </w:rPr>
        <w:tab/>
        <w:t xml:space="preserve">Cette rubrique ne doit être utilisée que pour les déchets médicaux solides de catégorie A </w:t>
      </w:r>
      <w:r w:rsidRPr="00B120FD">
        <w:rPr>
          <w:lang w:val="fr-FR"/>
        </w:rPr>
        <w:t>transportés en vue de leur élimination.</w:t>
      </w:r>
      <w:r>
        <w:rPr>
          <w:lang w:val="fr-FR"/>
        </w:rPr>
        <w:t> ».</w:t>
      </w:r>
    </w:p>
    <w:p w:rsidR="00124E6E" w:rsidRPr="00DD20E7" w:rsidRDefault="00124E6E" w:rsidP="00A23C89">
      <w:pPr>
        <w:pStyle w:val="SingleTxtG"/>
        <w:tabs>
          <w:tab w:val="left" w:pos="2268"/>
        </w:tabs>
        <w:ind w:left="2259" w:hanging="1125"/>
        <w:rPr>
          <w:lang w:val="fr-FR"/>
        </w:rPr>
      </w:pPr>
      <w:r>
        <w:rPr>
          <w:lang w:val="fr-FR"/>
        </w:rPr>
        <w:t>« 6XX</w:t>
      </w:r>
      <w:r>
        <w:rPr>
          <w:lang w:val="fr-FR"/>
        </w:rPr>
        <w:tab/>
        <w:t>L</w:t>
      </w:r>
      <w:r w:rsidRPr="00DD3815">
        <w:rPr>
          <w:lang w:val="fr-FR"/>
        </w:rPr>
        <w:t>'azote liquide réfrigéré</w:t>
      </w:r>
      <w:r>
        <w:rPr>
          <w:lang w:val="fr-FR"/>
        </w:rPr>
        <w:t xml:space="preserve"> ne doit pas être utilisé comme réfrigérant pour les substances figurant sous cette rubrique. ».</w:t>
      </w:r>
    </w:p>
    <w:p w:rsidR="00124E6E" w:rsidRPr="006B0E45" w:rsidRDefault="00124E6E" w:rsidP="00124E6E">
      <w:pPr>
        <w:pStyle w:val="H1G"/>
        <w:rPr>
          <w:lang w:val="fr-FR"/>
        </w:rPr>
      </w:pPr>
      <w:r w:rsidRPr="006B0E45">
        <w:rPr>
          <w:lang w:val="fr-FR"/>
        </w:rPr>
        <w:tab/>
      </w:r>
      <w:r w:rsidRPr="006B0E45">
        <w:rPr>
          <w:lang w:val="fr-FR"/>
        </w:rPr>
        <w:tab/>
        <w:t>Chapitre 4.1</w:t>
      </w:r>
    </w:p>
    <w:p w:rsidR="00124E6E" w:rsidRPr="006B0E45" w:rsidRDefault="00124E6E" w:rsidP="00A23C89">
      <w:pPr>
        <w:pStyle w:val="SingleTxtG"/>
        <w:tabs>
          <w:tab w:val="left" w:pos="2268"/>
        </w:tabs>
        <w:ind w:left="2259" w:hanging="1125"/>
        <w:rPr>
          <w:lang w:val="fr-FR"/>
        </w:rPr>
      </w:pPr>
      <w:r w:rsidRPr="006B0E45">
        <w:rPr>
          <w:lang w:val="fr-FR"/>
        </w:rPr>
        <w:t>4.1.1</w:t>
      </w:r>
      <w:r w:rsidRPr="006B0E45">
        <w:rPr>
          <w:lang w:val="fr-FR"/>
        </w:rPr>
        <w:tab/>
      </w:r>
      <w:r w:rsidRPr="006B0E45">
        <w:rPr>
          <w:lang w:val="fr-FR"/>
        </w:rPr>
        <w:tab/>
        <w:t>Dans le Nota, remplacer « (</w:t>
      </w:r>
      <w:r>
        <w:rPr>
          <w:lang w:val="fr-FR"/>
        </w:rPr>
        <w:t>classe</w:t>
      </w:r>
      <w:r w:rsidRPr="006B0E45">
        <w:rPr>
          <w:lang w:val="fr-FR"/>
        </w:rPr>
        <w:t xml:space="preserve"> 6.2) » par « (</w:t>
      </w:r>
      <w:r>
        <w:rPr>
          <w:lang w:val="fr-FR"/>
        </w:rPr>
        <w:t>classe</w:t>
      </w:r>
      <w:r w:rsidRPr="006B0E45">
        <w:rPr>
          <w:lang w:val="fr-FR"/>
        </w:rPr>
        <w:t xml:space="preserve"> 6.2, Nos ONU 2814 et 2900) ». Modifier la fin du paragraphe pour lire comme suit : «</w:t>
      </w:r>
      <w:r>
        <w:rPr>
          <w:lang w:val="fr-FR"/>
        </w:rPr>
        <w:t> </w:t>
      </w:r>
      <w:r w:rsidRPr="006B0E45">
        <w:rPr>
          <w:lang w:val="fr-FR"/>
        </w:rPr>
        <w:t xml:space="preserve">(P201, P207 et LP02 pour la classe 2 et P620, P621, P622, IBC620, LP621 et LP622 pour la </w:t>
      </w:r>
      <w:r>
        <w:rPr>
          <w:lang w:val="fr-FR"/>
        </w:rPr>
        <w:t>classe</w:t>
      </w:r>
      <w:r w:rsidRPr="006B0E45">
        <w:rPr>
          <w:lang w:val="fr-FR"/>
        </w:rPr>
        <w:t xml:space="preserve"> 6.2).</w:t>
      </w:r>
    </w:p>
    <w:p w:rsidR="00124E6E" w:rsidRDefault="00124E6E" w:rsidP="00A23C89">
      <w:pPr>
        <w:pStyle w:val="SingleTxtG"/>
        <w:tabs>
          <w:tab w:val="left" w:pos="2268"/>
        </w:tabs>
        <w:ind w:left="2259" w:hanging="1125"/>
      </w:pPr>
      <w:r>
        <w:t>4.1.1.3</w:t>
      </w:r>
      <w:r>
        <w:tab/>
      </w:r>
      <w:r>
        <w:tab/>
        <w:t>Ajouter un nouveau titre pour lire « 4.1.1.3</w:t>
      </w:r>
      <w:r>
        <w:tab/>
        <w:t xml:space="preserve">Modèle type ». Numéroter le 4.1.1.3 actuel en tant que 4.1.1.3.1 et ajouter le nouveau 4.1.1.3.2 </w:t>
      </w:r>
      <w:proofErr w:type="gramStart"/>
      <w:r>
        <w:t>suivant</w:t>
      </w:r>
      <w:proofErr w:type="gramEnd"/>
      <w:r>
        <w:t> :</w:t>
      </w:r>
    </w:p>
    <w:p w:rsidR="00124E6E" w:rsidRDefault="00124E6E" w:rsidP="00A23C89">
      <w:pPr>
        <w:pStyle w:val="SingleTxtG"/>
        <w:tabs>
          <w:tab w:val="left" w:pos="2268"/>
        </w:tabs>
        <w:ind w:left="2259" w:hanging="1125"/>
      </w:pPr>
      <w:r>
        <w:t>« 4.1.1.3.2</w:t>
      </w:r>
      <w:r>
        <w:tab/>
        <w:t>Les emballages, y compris les GRV et les grands emballages, peuvent être conformes à un ou plusieurs modèles types ayant satisfait aux épreuves et peuvent porter plus d’une marque. ».</w:t>
      </w:r>
    </w:p>
    <w:p w:rsidR="00124E6E" w:rsidRDefault="00124E6E" w:rsidP="00A23C89">
      <w:pPr>
        <w:pStyle w:val="SingleTxtG"/>
        <w:tabs>
          <w:tab w:val="left" w:pos="2268"/>
        </w:tabs>
        <w:ind w:left="2259" w:hanging="1125"/>
      </w:pPr>
      <w:r>
        <w:t>4.1.1.21.6</w:t>
      </w:r>
      <w:r>
        <w:tab/>
      </w:r>
      <w:r>
        <w:rPr>
          <w:szCs w:val="24"/>
          <w:lang w:val="fr-FR"/>
        </w:rPr>
        <w:t>L’amendement à la version anglaise est sans objet en français</w:t>
      </w:r>
      <w:r w:rsidRPr="00640C9E">
        <w:rPr>
          <w:szCs w:val="24"/>
          <w:lang w:val="fr-FR"/>
        </w:rPr>
        <w:t>.</w:t>
      </w:r>
    </w:p>
    <w:p w:rsidR="00124E6E" w:rsidRPr="00455982" w:rsidRDefault="00124E6E" w:rsidP="00A23C89">
      <w:pPr>
        <w:pStyle w:val="SingleTxtG"/>
        <w:tabs>
          <w:tab w:val="left" w:pos="2268"/>
        </w:tabs>
        <w:ind w:left="2259" w:hanging="1125"/>
        <w:rPr>
          <w:lang w:val="fr-FR"/>
        </w:rPr>
      </w:pPr>
      <w:r>
        <w:t>4.1.4.1, P001</w:t>
      </w:r>
      <w:r>
        <w:tab/>
        <w:t xml:space="preserve">Pour « Emballages composites », dans la dernière rubrique, remplacer « en plastique rigide ou en plastique expansé » par « en plastique expansé ou en plastique rigide ». </w:t>
      </w:r>
    </w:p>
    <w:p w:rsidR="00124E6E" w:rsidRDefault="00124E6E" w:rsidP="00124E6E">
      <w:pPr>
        <w:pStyle w:val="SingleTxtG"/>
        <w:tabs>
          <w:tab w:val="left" w:pos="2268"/>
        </w:tabs>
        <w:rPr>
          <w:i/>
          <w:iCs/>
          <w:szCs w:val="24"/>
        </w:rPr>
      </w:pPr>
      <w:r w:rsidRPr="001242C6">
        <w:rPr>
          <w:i/>
          <w:iCs/>
          <w:szCs w:val="24"/>
        </w:rPr>
        <w:t>(</w:t>
      </w:r>
      <w:r>
        <w:rPr>
          <w:i/>
          <w:iCs/>
          <w:szCs w:val="24"/>
        </w:rPr>
        <w:t>Modification éditoriale dans</w:t>
      </w:r>
      <w:r w:rsidRPr="001242C6">
        <w:rPr>
          <w:i/>
          <w:iCs/>
          <w:szCs w:val="24"/>
        </w:rPr>
        <w:t xml:space="preserve"> la vingt</w:t>
      </w:r>
      <w:r>
        <w:rPr>
          <w:i/>
          <w:iCs/>
          <w:szCs w:val="24"/>
        </w:rPr>
        <w:t>-et-un</w:t>
      </w:r>
      <w:r w:rsidRPr="001242C6">
        <w:rPr>
          <w:i/>
          <w:iCs/>
          <w:szCs w:val="24"/>
        </w:rPr>
        <w:t>ième édition révisée du Règlement type)</w:t>
      </w:r>
    </w:p>
    <w:p w:rsidR="00124E6E" w:rsidRDefault="00124E6E" w:rsidP="00A23C89">
      <w:pPr>
        <w:pStyle w:val="SingleTxtG"/>
        <w:tabs>
          <w:tab w:val="left" w:pos="2268"/>
        </w:tabs>
        <w:ind w:left="2259" w:hanging="1125"/>
      </w:pPr>
      <w:r>
        <w:t>4.1.4.1, P002</w:t>
      </w:r>
      <w:r>
        <w:tab/>
        <w:t xml:space="preserve">Pour « Emballages composites », dans la dernière rubrique, remplacer « en plastique rigide ou en plastique expansé (6PH2 ou 6PH1 </w:t>
      </w:r>
      <w:r>
        <w:rPr>
          <w:vertAlign w:val="superscript"/>
        </w:rPr>
        <w:t>e</w:t>
      </w:r>
      <w:r>
        <w:t xml:space="preserve">) » par « en plastique expansé ou en plastique rigide (6PH1 ou 6PH2 </w:t>
      </w:r>
      <w:r>
        <w:rPr>
          <w:vertAlign w:val="superscript"/>
        </w:rPr>
        <w:t>e</w:t>
      </w:r>
      <w:r>
        <w:t>) ».</w:t>
      </w:r>
    </w:p>
    <w:p w:rsidR="00124E6E" w:rsidRDefault="00124E6E" w:rsidP="00124E6E">
      <w:pPr>
        <w:pStyle w:val="SingleTxtG"/>
        <w:tabs>
          <w:tab w:val="left" w:pos="2268"/>
        </w:tabs>
        <w:rPr>
          <w:i/>
          <w:iCs/>
          <w:szCs w:val="24"/>
        </w:rPr>
      </w:pPr>
      <w:r w:rsidRPr="001242C6">
        <w:rPr>
          <w:i/>
          <w:iCs/>
          <w:szCs w:val="24"/>
        </w:rPr>
        <w:t>(</w:t>
      </w:r>
      <w:r>
        <w:rPr>
          <w:i/>
          <w:iCs/>
          <w:szCs w:val="24"/>
        </w:rPr>
        <w:t>Modification éditoriale dans</w:t>
      </w:r>
      <w:r w:rsidRPr="001242C6">
        <w:rPr>
          <w:i/>
          <w:iCs/>
          <w:szCs w:val="24"/>
        </w:rPr>
        <w:t xml:space="preserve"> la vingt</w:t>
      </w:r>
      <w:r>
        <w:rPr>
          <w:i/>
          <w:iCs/>
          <w:szCs w:val="24"/>
        </w:rPr>
        <w:t>-et-un</w:t>
      </w:r>
      <w:r w:rsidRPr="001242C6">
        <w:rPr>
          <w:i/>
          <w:iCs/>
          <w:szCs w:val="24"/>
        </w:rPr>
        <w:t>ième édition révisée du Règlement type)</w:t>
      </w:r>
    </w:p>
    <w:p w:rsidR="00124E6E" w:rsidRDefault="00124E6E" w:rsidP="00A23C89">
      <w:pPr>
        <w:pStyle w:val="SingleTxtG"/>
        <w:tabs>
          <w:tab w:val="left" w:pos="2268"/>
        </w:tabs>
        <w:ind w:left="2259" w:hanging="1125"/>
      </w:pPr>
      <w:r>
        <w:t>4.1.4.1, P003</w:t>
      </w:r>
      <w:r>
        <w:tab/>
        <w:t xml:space="preserve">Pour la disposition spéciale d’emballage PP16, remplacer « P801a » par « P801 (2) ». </w:t>
      </w:r>
    </w:p>
    <w:p w:rsidR="00124E6E" w:rsidRPr="00D4466B" w:rsidRDefault="00124E6E" w:rsidP="00A23C89">
      <w:pPr>
        <w:pStyle w:val="SingleTxtG"/>
        <w:tabs>
          <w:tab w:val="left" w:pos="2268"/>
        </w:tabs>
        <w:ind w:left="2259" w:hanging="1125"/>
        <w:rPr>
          <w:lang w:val="fr-FR"/>
        </w:rPr>
      </w:pPr>
      <w:r>
        <w:rPr>
          <w:lang w:val="fr-FR"/>
        </w:rPr>
        <w:t>4.1.4.1, P003</w:t>
      </w:r>
      <w:r>
        <w:rPr>
          <w:lang w:val="fr-FR"/>
        </w:rPr>
        <w:tab/>
        <w:t>Dans la disposition spéciale d’emballage PP32, après « 3358 » ajouter « et les objets robustes expédiés sous le No ONU 3164 ».</w:t>
      </w:r>
    </w:p>
    <w:p w:rsidR="00124E6E" w:rsidRDefault="00124E6E" w:rsidP="00A23C89">
      <w:pPr>
        <w:pStyle w:val="SingleTxtG"/>
        <w:tabs>
          <w:tab w:val="left" w:pos="2268"/>
        </w:tabs>
        <w:ind w:left="2259" w:hanging="1125"/>
      </w:pPr>
      <w:r>
        <w:t>4.1.4.1, P003</w:t>
      </w:r>
      <w:r>
        <w:tab/>
        <w:t>Ajouter la nouvelle disposition spéciale d’emballage suivante :</w:t>
      </w:r>
    </w:p>
    <w:p w:rsidR="00124E6E" w:rsidRPr="00C57B22" w:rsidRDefault="00B926A4" w:rsidP="00A23C89">
      <w:pPr>
        <w:pStyle w:val="SingleTxtG"/>
        <w:tabs>
          <w:tab w:val="left" w:pos="2268"/>
        </w:tabs>
        <w:ind w:left="2259" w:hanging="1125"/>
        <w:rPr>
          <w:lang w:val="fr-FR"/>
        </w:rPr>
      </w:pPr>
      <w:r>
        <w:rPr>
          <w:lang w:val="fr-FR"/>
        </w:rPr>
        <w:tab/>
      </w:r>
      <w:r w:rsidR="00124E6E" w:rsidRPr="00C57B22">
        <w:rPr>
          <w:lang w:val="fr-FR"/>
        </w:rPr>
        <w:t>« </w:t>
      </w:r>
      <w:r w:rsidR="00124E6E" w:rsidRPr="007D66C5">
        <w:rPr>
          <w:b/>
          <w:bCs/>
          <w:lang w:val="fr-FR"/>
        </w:rPr>
        <w:t>PP96</w:t>
      </w:r>
      <w:r w:rsidR="00124E6E" w:rsidRPr="00C57B22">
        <w:rPr>
          <w:lang w:val="fr-FR"/>
        </w:rPr>
        <w:tab/>
        <w:t>Pour le No ONU 2037, les emballages des cartouches à gaz mises au rebut transportées conformément à la disposition spéciale 327 doivent être correctement ventilés afin d’empêcher la formation d’atmosphères dangereuses et une augmentation de la pression</w:t>
      </w:r>
      <w:r w:rsidR="00124E6E" w:rsidRPr="00F31699">
        <w:rPr>
          <w:lang w:val="fr-FR"/>
        </w:rPr>
        <w:t>. ».</w:t>
      </w:r>
    </w:p>
    <w:p w:rsidR="00B926A4" w:rsidRDefault="00124E6E" w:rsidP="00A23C89">
      <w:pPr>
        <w:pStyle w:val="SingleTxtG"/>
        <w:tabs>
          <w:tab w:val="left" w:pos="2268"/>
        </w:tabs>
        <w:ind w:left="2259" w:hanging="1125"/>
      </w:pPr>
      <w:r w:rsidRPr="007241EF">
        <w:t>4.1.4.1, P200</w:t>
      </w:r>
      <w:r w:rsidRPr="007241EF">
        <w:tab/>
      </w:r>
      <w:r w:rsidRPr="007241EF">
        <w:tab/>
      </w:r>
      <w:r>
        <w:t xml:space="preserve"> </w:t>
      </w:r>
      <w:r w:rsidRPr="007241EF">
        <w:t>5) a)</w:t>
      </w:r>
    </w:p>
    <w:p w:rsidR="00124E6E" w:rsidRPr="007241EF" w:rsidRDefault="00124E6E" w:rsidP="00A23C89">
      <w:pPr>
        <w:pStyle w:val="SingleTxtG"/>
        <w:tabs>
          <w:tab w:val="left" w:pos="2268"/>
        </w:tabs>
        <w:ind w:left="2259" w:hanging="1125"/>
      </w:pPr>
      <w:r w:rsidRPr="007241EF">
        <w:tab/>
      </w:r>
      <w:r>
        <w:rPr>
          <w:szCs w:val="24"/>
          <w:lang w:val="fr-FR"/>
        </w:rPr>
        <w:t>Après « disposition spéciale d’emballage "o" » ajouter « sous 10) »</w:t>
      </w:r>
      <w:r w:rsidRPr="00640C9E">
        <w:rPr>
          <w:szCs w:val="24"/>
          <w:lang w:val="fr-FR"/>
        </w:rPr>
        <w:t>.</w:t>
      </w:r>
    </w:p>
    <w:p w:rsidR="00B926A4" w:rsidRDefault="00124E6E" w:rsidP="00A23C89">
      <w:pPr>
        <w:pStyle w:val="SingleTxtG"/>
        <w:tabs>
          <w:tab w:val="left" w:pos="2268"/>
        </w:tabs>
        <w:ind w:left="2259" w:hanging="1125"/>
      </w:pPr>
      <w:r w:rsidRPr="007241EF">
        <w:t>4.1.4.1, P200</w:t>
      </w:r>
      <w:r w:rsidRPr="007241EF">
        <w:tab/>
      </w:r>
      <w:r>
        <w:t xml:space="preserve"> </w:t>
      </w:r>
      <w:r w:rsidRPr="007241EF">
        <w:t>5) b)</w:t>
      </w:r>
    </w:p>
    <w:p w:rsidR="00124E6E" w:rsidRPr="007241EF" w:rsidRDefault="00124E6E" w:rsidP="00A23C89">
      <w:pPr>
        <w:pStyle w:val="SingleTxtG"/>
        <w:tabs>
          <w:tab w:val="left" w:pos="2268"/>
        </w:tabs>
        <w:ind w:left="2259" w:hanging="1125"/>
      </w:pPr>
      <w:r w:rsidRPr="007241EF">
        <w:tab/>
      </w:r>
      <w:r>
        <w:rPr>
          <w:szCs w:val="24"/>
          <w:lang w:val="fr-FR"/>
        </w:rPr>
        <w:t>Après « disposition spéciale "o" » ajouter « sous 10) »</w:t>
      </w:r>
      <w:r w:rsidRPr="00640C9E">
        <w:rPr>
          <w:szCs w:val="24"/>
          <w:lang w:val="fr-FR"/>
        </w:rPr>
        <w:t>.</w:t>
      </w:r>
    </w:p>
    <w:p w:rsidR="00B926A4" w:rsidRDefault="00124E6E" w:rsidP="00A23C89">
      <w:pPr>
        <w:pStyle w:val="SingleTxtG"/>
        <w:tabs>
          <w:tab w:val="left" w:pos="2268"/>
        </w:tabs>
        <w:ind w:left="2259" w:hanging="1125"/>
      </w:pPr>
      <w:r w:rsidRPr="007241EF">
        <w:t>4.1.4.1, P200</w:t>
      </w:r>
      <w:r w:rsidRPr="007241EF">
        <w:tab/>
      </w:r>
      <w:r w:rsidRPr="007241EF">
        <w:tab/>
      </w:r>
      <w:r>
        <w:t xml:space="preserve"> </w:t>
      </w:r>
      <w:r w:rsidRPr="007241EF">
        <w:t>5) b) i)</w:t>
      </w:r>
    </w:p>
    <w:p w:rsidR="00124E6E" w:rsidRDefault="00124E6E" w:rsidP="00A23C89">
      <w:pPr>
        <w:pStyle w:val="SingleTxtG"/>
        <w:tabs>
          <w:tab w:val="left" w:pos="2268"/>
        </w:tabs>
        <w:ind w:left="2259" w:hanging="1125"/>
        <w:rPr>
          <w:szCs w:val="24"/>
          <w:lang w:val="fr-FR"/>
        </w:rPr>
      </w:pPr>
      <w:r w:rsidRPr="007241EF">
        <w:tab/>
      </w:r>
      <w:r>
        <w:rPr>
          <w:szCs w:val="24"/>
          <w:lang w:val="fr-FR"/>
        </w:rPr>
        <w:t>Après « disposition spéciale "r" » ajouter « sous 10) »</w:t>
      </w:r>
      <w:r w:rsidRPr="00640C9E">
        <w:rPr>
          <w:szCs w:val="24"/>
          <w:lang w:val="fr-FR"/>
        </w:rPr>
        <w:t>.</w:t>
      </w:r>
    </w:p>
    <w:p w:rsidR="00124E6E" w:rsidRDefault="00124E6E" w:rsidP="00A23C89">
      <w:pPr>
        <w:pStyle w:val="SingleTxtG"/>
        <w:tabs>
          <w:tab w:val="left" w:pos="2268"/>
        </w:tabs>
        <w:ind w:left="2259" w:hanging="1125"/>
        <w:rPr>
          <w:lang w:val="fr-FR"/>
        </w:rPr>
      </w:pPr>
      <w:r>
        <w:t>4.1.4.1, P200</w:t>
      </w:r>
      <w:r>
        <w:tab/>
        <w:t xml:space="preserve">Dans le tableau 2, remplacer les valeurs </w:t>
      </w:r>
      <w:r>
        <w:rPr>
          <w:lang w:val="fr-FR"/>
        </w:rPr>
        <w:t>de la colonne « </w:t>
      </w:r>
      <w:r w:rsidRPr="00D300E0">
        <w:rPr>
          <w:lang w:val="fr-FR"/>
        </w:rPr>
        <w:t>CL</w:t>
      </w:r>
      <w:r w:rsidRPr="00D300E0">
        <w:rPr>
          <w:vertAlign w:val="subscript"/>
          <w:lang w:val="fr-FR"/>
        </w:rPr>
        <w:t>50</w:t>
      </w:r>
      <w:r w:rsidRPr="00D300E0">
        <w:rPr>
          <w:lang w:val="fr-FR"/>
        </w:rPr>
        <w:t xml:space="preserve"> (en ml/m</w:t>
      </w:r>
      <w:r w:rsidRPr="00CA799F">
        <w:rPr>
          <w:vertAlign w:val="superscript"/>
          <w:lang w:val="fr-FR"/>
        </w:rPr>
        <w:t>3</w:t>
      </w:r>
      <w:r w:rsidRPr="00D300E0">
        <w:rPr>
          <w:lang w:val="fr-FR"/>
        </w:rPr>
        <w:t>)</w:t>
      </w:r>
      <w:r>
        <w:rPr>
          <w:lang w:val="fr-FR"/>
        </w:rPr>
        <w:t> </w:t>
      </w:r>
      <w:r w:rsidRPr="00D300E0">
        <w:rPr>
          <w:lang w:val="fr-FR"/>
        </w:rPr>
        <w:t xml:space="preserve">» </w:t>
      </w:r>
      <w:r>
        <w:rPr>
          <w:lang w:val="fr-FR"/>
        </w:rPr>
        <w:t>comme suit </w:t>
      </w:r>
      <w:r w:rsidRPr="00D300E0">
        <w:rPr>
          <w:lang w:val="fr-FR"/>
        </w:rPr>
        <w:t>:</w:t>
      </w:r>
      <w:r>
        <w:rPr>
          <w:lang w:val="fr-FR"/>
        </w:rPr>
        <w:t xml:space="preserve"> </w:t>
      </w:r>
    </w:p>
    <w:p w:rsidR="00124E6E" w:rsidRPr="00F11D23" w:rsidRDefault="00124E6E" w:rsidP="002C7B99">
      <w:pPr>
        <w:pStyle w:val="SingleTxtG"/>
        <w:tabs>
          <w:tab w:val="left" w:pos="2268"/>
        </w:tabs>
        <w:ind w:left="3384" w:hanging="1125"/>
      </w:pPr>
      <w:r>
        <w:rPr>
          <w:lang w:val="fr-FR"/>
        </w:rPr>
        <w:t>No ONU 1859, remplacer « 450 » par « 922 ».</w:t>
      </w:r>
    </w:p>
    <w:p w:rsidR="00124E6E" w:rsidRPr="00F11D23" w:rsidRDefault="00124E6E" w:rsidP="002C7B99">
      <w:pPr>
        <w:pStyle w:val="SingleTxtG"/>
        <w:tabs>
          <w:tab w:val="left" w:pos="2268"/>
        </w:tabs>
        <w:ind w:left="3384" w:hanging="1125"/>
      </w:pPr>
      <w:r>
        <w:rPr>
          <w:lang w:val="fr-FR"/>
        </w:rPr>
        <w:t xml:space="preserve">No ONU 2188, remplacer « 20 » par « 178 ». </w:t>
      </w:r>
    </w:p>
    <w:p w:rsidR="00124E6E" w:rsidRPr="00F11D23" w:rsidRDefault="00124E6E" w:rsidP="002C7B99">
      <w:pPr>
        <w:pStyle w:val="SingleTxtG"/>
        <w:tabs>
          <w:tab w:val="left" w:pos="2268"/>
        </w:tabs>
        <w:ind w:left="3384" w:hanging="1125"/>
      </w:pPr>
      <w:r>
        <w:rPr>
          <w:lang w:val="fr-FR"/>
        </w:rPr>
        <w:t xml:space="preserve">No ONU « 2202 », remplacer « 2 » par « 51 ». </w:t>
      </w:r>
    </w:p>
    <w:p w:rsidR="00124E6E" w:rsidRPr="00F11D23" w:rsidRDefault="00124E6E" w:rsidP="002C7B99">
      <w:pPr>
        <w:pStyle w:val="SingleTxtG"/>
        <w:tabs>
          <w:tab w:val="left" w:pos="2268"/>
        </w:tabs>
        <w:ind w:left="3384" w:hanging="1125"/>
      </w:pPr>
      <w:r>
        <w:rPr>
          <w:lang w:val="fr-FR"/>
        </w:rPr>
        <w:t xml:space="preserve">No ONU 2534, remplacer « 600 » par « 2810 ». </w:t>
      </w:r>
    </w:p>
    <w:p w:rsidR="00124E6E" w:rsidRDefault="00124E6E" w:rsidP="002C7B99">
      <w:pPr>
        <w:pStyle w:val="SingleTxtG"/>
        <w:tabs>
          <w:tab w:val="left" w:pos="2268"/>
        </w:tabs>
        <w:ind w:left="3384" w:hanging="1125"/>
      </w:pPr>
      <w:r>
        <w:rPr>
          <w:lang w:val="fr-FR"/>
        </w:rPr>
        <w:lastRenderedPageBreak/>
        <w:t>No ONU 2676, remplacer « 20 » par « 178 ».</w:t>
      </w:r>
    </w:p>
    <w:p w:rsidR="002C7B99" w:rsidRDefault="002C7B99" w:rsidP="00FE3F4F">
      <w:pPr>
        <w:pStyle w:val="SingleTxtG"/>
        <w:tabs>
          <w:tab w:val="left" w:pos="2268"/>
        </w:tabs>
        <w:ind w:left="2259" w:hanging="1125"/>
      </w:pPr>
      <w:r>
        <w:t xml:space="preserve">4.1.4.1, </w:t>
      </w:r>
      <w:r w:rsidR="00124E6E" w:rsidRPr="00A649C7">
        <w:t>P200 11)</w:t>
      </w:r>
    </w:p>
    <w:p w:rsidR="00124E6E" w:rsidRPr="00AB7C1B" w:rsidRDefault="00124E6E" w:rsidP="00FE3F4F">
      <w:pPr>
        <w:pStyle w:val="SingleTxtG"/>
        <w:tabs>
          <w:tab w:val="left" w:pos="2268"/>
        </w:tabs>
        <w:ind w:left="2259" w:hanging="1125"/>
      </w:pPr>
      <w:r w:rsidRPr="00A649C7">
        <w:tab/>
      </w:r>
      <w:r>
        <w:t>Supprimer la ligne pour « </w:t>
      </w:r>
      <w:r w:rsidRPr="00A649C7">
        <w:t xml:space="preserve">7) a) </w:t>
      </w:r>
      <w:r w:rsidRPr="00AB7C1B">
        <w:t xml:space="preserve">ISO </w:t>
      </w:r>
      <w:proofErr w:type="gramStart"/>
      <w:r w:rsidRPr="00AB7C1B">
        <w:t>24431:</w:t>
      </w:r>
      <w:proofErr w:type="gramEnd"/>
      <w:r w:rsidRPr="00AB7C1B">
        <w:t>2006</w:t>
      </w:r>
      <w:r>
        <w:t> »</w:t>
      </w:r>
      <w:r w:rsidRPr="00AB7C1B">
        <w:t xml:space="preserve">. </w:t>
      </w:r>
      <w:r>
        <w:t>Dans la ligne pour « </w:t>
      </w:r>
      <w:r w:rsidRPr="00A649C7">
        <w:t xml:space="preserve">7) EN ISO </w:t>
      </w:r>
      <w:proofErr w:type="gramStart"/>
      <w:r w:rsidRPr="00A649C7">
        <w:t>24431:</w:t>
      </w:r>
      <w:proofErr w:type="gramEnd"/>
      <w:r w:rsidRPr="00A649C7">
        <w:t>2016</w:t>
      </w:r>
      <w:r>
        <w:t> »</w:t>
      </w:r>
      <w:r w:rsidRPr="00A649C7">
        <w:t xml:space="preserve">, </w:t>
      </w:r>
      <w:r>
        <w:t>remplacer « </w:t>
      </w:r>
      <w:r w:rsidRPr="00A649C7">
        <w:t>EN ISO 24431:2016</w:t>
      </w:r>
      <w:r>
        <w:t> »</w:t>
      </w:r>
      <w:r w:rsidRPr="00A649C7">
        <w:t xml:space="preserve"> </w:t>
      </w:r>
      <w:r>
        <w:t>par « </w:t>
      </w:r>
      <w:r w:rsidRPr="00A649C7">
        <w:t>ISO 24431:2016</w:t>
      </w:r>
      <w:r>
        <w:t> »</w:t>
      </w:r>
      <w:r w:rsidRPr="00A649C7">
        <w:t xml:space="preserve"> </w:t>
      </w:r>
      <w:r>
        <w:t>et ajouter le Nota suivant dans la colonne « Titre du document » : « </w:t>
      </w:r>
      <w:r w:rsidRPr="00AB7C1B">
        <w:rPr>
          <w:i/>
          <w:iCs/>
        </w:rPr>
        <w:t>NOTA: La version EN de cette norme ISO est conforme aux prescriptions et peut aussi être utilisée.</w:t>
      </w:r>
      <w:r>
        <w:t> »</w:t>
      </w:r>
      <w:r w:rsidRPr="00A649C7">
        <w:t xml:space="preserve">. </w:t>
      </w:r>
    </w:p>
    <w:p w:rsidR="002C7B99" w:rsidRDefault="00124E6E" w:rsidP="002C7B99">
      <w:pPr>
        <w:pStyle w:val="SingleTxtG"/>
        <w:tabs>
          <w:tab w:val="left" w:pos="2268"/>
        </w:tabs>
        <w:ind w:left="2259" w:hanging="1125"/>
      </w:pPr>
      <w:r w:rsidRPr="00A649C7">
        <w:t>4.1.4.1, P200 13) 2.4</w:t>
      </w:r>
    </w:p>
    <w:p w:rsidR="00124E6E" w:rsidRPr="00A649C7" w:rsidRDefault="00124E6E" w:rsidP="002C7B99">
      <w:pPr>
        <w:pStyle w:val="SingleTxtG"/>
        <w:tabs>
          <w:tab w:val="left" w:pos="2268"/>
        </w:tabs>
        <w:ind w:left="2259" w:hanging="1125"/>
      </w:pPr>
      <w:r w:rsidRPr="00A649C7">
        <w:tab/>
      </w:r>
      <w:r>
        <w:t>Remplacer</w:t>
      </w:r>
      <w:r w:rsidRPr="00A649C7">
        <w:t xml:space="preserve"> </w:t>
      </w:r>
      <w:r>
        <w:t>« </w:t>
      </w:r>
      <w:r w:rsidRPr="00A649C7">
        <w:t>EN ISO 11114-</w:t>
      </w:r>
      <w:proofErr w:type="gramStart"/>
      <w:r w:rsidRPr="00A649C7">
        <w:t>1:</w:t>
      </w:r>
      <w:proofErr w:type="gramEnd"/>
      <w:r w:rsidRPr="00A649C7">
        <w:t>2012</w:t>
      </w:r>
      <w:r>
        <w:t> »</w:t>
      </w:r>
      <w:r w:rsidRPr="00A649C7">
        <w:t xml:space="preserve"> </w:t>
      </w:r>
      <w:r>
        <w:t>par « </w:t>
      </w:r>
      <w:r w:rsidRPr="00A649C7">
        <w:t>EN ISO 11114-1:2012 + A1:2017</w:t>
      </w:r>
      <w:r>
        <w:t> »</w:t>
      </w:r>
      <w:r w:rsidRPr="00A649C7">
        <w:t>.</w:t>
      </w:r>
    </w:p>
    <w:p w:rsidR="00124E6E" w:rsidRDefault="00124E6E" w:rsidP="00FE3F4F">
      <w:pPr>
        <w:pStyle w:val="SingleTxtG"/>
        <w:tabs>
          <w:tab w:val="left" w:pos="2268"/>
        </w:tabs>
        <w:ind w:left="2259" w:hanging="1125"/>
      </w:pPr>
      <w:r>
        <w:t>4.1.4.1, P206</w:t>
      </w:r>
      <w:r>
        <w:tab/>
        <w:t>Dans le titre de la dernière ligne de l’instruction d’emballage, remplacer « Disposition spéciale d’emballage » par « Dispositions spéciales d’emballage ».</w:t>
      </w:r>
    </w:p>
    <w:p w:rsidR="00124E6E" w:rsidRDefault="002C7B99" w:rsidP="00FE3F4F">
      <w:pPr>
        <w:pStyle w:val="SingleTxtG"/>
        <w:tabs>
          <w:tab w:val="left" w:pos="2268"/>
        </w:tabs>
        <w:ind w:left="2259" w:hanging="1125"/>
      </w:pPr>
      <w:r>
        <w:tab/>
      </w:r>
      <w:r w:rsidR="00124E6E">
        <w:t xml:space="preserve">Ajouter la nouvelle disposition spéciale d’emballage suivante : </w:t>
      </w:r>
    </w:p>
    <w:p w:rsidR="00124E6E" w:rsidRDefault="002C7B99" w:rsidP="00FE3F4F">
      <w:pPr>
        <w:pStyle w:val="SingleTxtG"/>
        <w:tabs>
          <w:tab w:val="left" w:pos="2268"/>
        </w:tabs>
        <w:ind w:left="2259" w:hanging="1125"/>
      </w:pPr>
      <w:r>
        <w:tab/>
      </w:r>
      <w:proofErr w:type="gramStart"/>
      <w:r w:rsidR="00124E6E" w:rsidRPr="009C0DF4">
        <w:t>«</w:t>
      </w:r>
      <w:r w:rsidR="00124E6E" w:rsidRPr="000A16B2">
        <w:rPr>
          <w:b/>
          <w:bCs/>
        </w:rPr>
        <w:t>PP</w:t>
      </w:r>
      <w:proofErr w:type="gramEnd"/>
      <w:r w:rsidR="00124E6E" w:rsidRPr="000A16B2">
        <w:rPr>
          <w:b/>
          <w:bCs/>
        </w:rPr>
        <w:t>97</w:t>
      </w:r>
      <w:r w:rsidR="00124E6E">
        <w:rPr>
          <w:b/>
          <w:bCs/>
        </w:rPr>
        <w:tab/>
      </w:r>
      <w:r w:rsidR="00124E6E" w:rsidRPr="009C0DF4">
        <w:rPr>
          <w:lang w:val="fr-FR"/>
        </w:rPr>
        <w:t>Pour les agents d’extinction affectés au No</w:t>
      </w:r>
      <w:r w:rsidR="00124E6E" w:rsidRPr="009C0DF4">
        <w:rPr>
          <w:vertAlign w:val="superscript"/>
          <w:lang w:val="fr-FR"/>
        </w:rPr>
        <w:t xml:space="preserve"> </w:t>
      </w:r>
      <w:r w:rsidR="00124E6E" w:rsidRPr="009C0DF4">
        <w:rPr>
          <w:lang w:val="fr-FR"/>
        </w:rPr>
        <w:t xml:space="preserve">ONU 3500, la périodicité maximale des épreuves pour les contrôles périodiques </w:t>
      </w:r>
      <w:r w:rsidR="00124E6E">
        <w:rPr>
          <w:lang w:val="fr-FR"/>
        </w:rPr>
        <w:t>doit être</w:t>
      </w:r>
      <w:r w:rsidR="00124E6E" w:rsidRPr="009C0DF4">
        <w:rPr>
          <w:lang w:val="fr-FR"/>
        </w:rPr>
        <w:t xml:space="preserve"> de 10 ans. Ils peuvent être transportés dans des tubes d’une capacité maximale en eau de 450 </w:t>
      </w:r>
      <w:r w:rsidR="00124E6E" w:rsidRPr="00ED75E1">
        <w:rPr>
          <w:i/>
          <w:iCs/>
          <w:lang w:val="fr-FR"/>
        </w:rPr>
        <w:t>l</w:t>
      </w:r>
      <w:r w:rsidR="00124E6E" w:rsidRPr="009C0DF4">
        <w:rPr>
          <w:lang w:val="fr-FR"/>
        </w:rPr>
        <w:t>, conformément aux prescriptions</w:t>
      </w:r>
      <w:r w:rsidR="00124E6E">
        <w:rPr>
          <w:lang w:val="fr-FR"/>
        </w:rPr>
        <w:t xml:space="preserve"> applicables du Chapitre </w:t>
      </w:r>
      <w:r w:rsidR="00124E6E" w:rsidRPr="009C0DF4">
        <w:rPr>
          <w:lang w:val="fr-FR"/>
        </w:rPr>
        <w:t>6.2. ».</w:t>
      </w:r>
    </w:p>
    <w:p w:rsidR="00124E6E" w:rsidRDefault="00124E6E" w:rsidP="00FE3F4F">
      <w:pPr>
        <w:pStyle w:val="SingleTxtG"/>
        <w:tabs>
          <w:tab w:val="left" w:pos="2268"/>
        </w:tabs>
        <w:ind w:left="2259" w:hanging="1125"/>
      </w:pPr>
      <w:r>
        <w:t>4.1.4.1, P207</w:t>
      </w:r>
      <w:r>
        <w:tab/>
        <w:t>Dans la disposition spéciale d’emballage PP87, remplacer « d’une atmosphère inflammable » par « d’atmosphères dangereuses ».</w:t>
      </w:r>
    </w:p>
    <w:p w:rsidR="00124E6E" w:rsidRDefault="00124E6E" w:rsidP="00FE3F4F">
      <w:pPr>
        <w:pStyle w:val="SingleTxtG"/>
        <w:tabs>
          <w:tab w:val="left" w:pos="2268"/>
        </w:tabs>
        <w:ind w:left="2259" w:hanging="1125"/>
      </w:pPr>
      <w:r>
        <w:t>4.1.4.1, P301</w:t>
      </w:r>
      <w:r>
        <w:tab/>
        <w:t xml:space="preserve">À la dernière phrase des alinéas 1) et 2) remplacer « récipient » par « rétention primaire ». </w:t>
      </w:r>
    </w:p>
    <w:p w:rsidR="00124E6E" w:rsidRDefault="00124E6E" w:rsidP="00FE3F4F">
      <w:pPr>
        <w:pStyle w:val="SingleTxtG"/>
        <w:tabs>
          <w:tab w:val="left" w:pos="2268"/>
        </w:tabs>
        <w:ind w:left="2259" w:hanging="1125"/>
      </w:pPr>
      <w:r w:rsidRPr="00BD6319">
        <w:t>4.1.4.1, P400</w:t>
      </w:r>
      <w:r w:rsidRPr="00BD6319">
        <w:tab/>
      </w:r>
      <w:r>
        <w:t xml:space="preserve">Aux </w:t>
      </w:r>
      <w:r w:rsidRPr="00BD6319">
        <w:t>2)</w:t>
      </w:r>
      <w:r>
        <w:t xml:space="preserve"> et 3) :</w:t>
      </w:r>
    </w:p>
    <w:p w:rsidR="00124E6E" w:rsidRDefault="002C7B99" w:rsidP="00FE3F4F">
      <w:pPr>
        <w:pStyle w:val="SingleTxtG"/>
        <w:tabs>
          <w:tab w:val="left" w:pos="2268"/>
        </w:tabs>
        <w:ind w:left="2259" w:hanging="1125"/>
      </w:pPr>
      <w:r>
        <w:tab/>
      </w:r>
      <w:r w:rsidR="00124E6E">
        <w:t xml:space="preserve">Première phrase : remplacer « d’un bouchon fileté avec joints » par « de bouchons avec joints ». </w:t>
      </w:r>
    </w:p>
    <w:p w:rsidR="00124E6E" w:rsidRDefault="002C7B99" w:rsidP="00FE3F4F">
      <w:pPr>
        <w:pStyle w:val="SingleTxtG"/>
        <w:tabs>
          <w:tab w:val="left" w:pos="2268"/>
        </w:tabs>
        <w:ind w:left="2259" w:hanging="1125"/>
        <w:rPr>
          <w:u w:val="single"/>
          <w:lang w:val="fr-FR" w:eastAsia="fr-FR"/>
        </w:rPr>
      </w:pPr>
      <w:r>
        <w:tab/>
      </w:r>
      <w:r w:rsidR="00124E6E">
        <w:t>Après</w:t>
      </w:r>
      <w:r w:rsidR="00124E6E" w:rsidRPr="00BD6319">
        <w:t xml:space="preserve"> la première phrase, insérer la nouvelle phrase suivante : « </w:t>
      </w:r>
      <w:r w:rsidR="00124E6E" w:rsidRPr="0055727B">
        <w:rPr>
          <w:lang w:val="fr-FR" w:eastAsia="fr-FR"/>
        </w:rPr>
        <w:t>Les emballages intérieurs doivent être munis de bouchons filetés ou de fermetures bloquées par tout moyen physique empêchant leur dégagement ou leur relâchement en cas de choc ou de vibration au cours du transport. ».</w:t>
      </w:r>
    </w:p>
    <w:p w:rsidR="00124E6E" w:rsidRDefault="00124E6E" w:rsidP="002C7B99">
      <w:pPr>
        <w:pStyle w:val="SingleTxtG"/>
        <w:tabs>
          <w:tab w:val="left" w:pos="2268"/>
        </w:tabs>
        <w:ind w:left="2259" w:hanging="1125"/>
      </w:pPr>
      <w:r w:rsidRPr="00BD6319">
        <w:t>4.1.4.1, P404</w:t>
      </w:r>
      <w:r w:rsidRPr="00BD6319">
        <w:tab/>
      </w:r>
      <w:r>
        <w:t xml:space="preserve"> Au 1)</w:t>
      </w:r>
      <w:r w:rsidRPr="00BD6319">
        <w:t>, sous «</w:t>
      </w:r>
      <w:r>
        <w:t> </w:t>
      </w:r>
      <w:r w:rsidRPr="00BD6319">
        <w:t>emballage</w:t>
      </w:r>
      <w:r>
        <w:t>s</w:t>
      </w:r>
      <w:r w:rsidRPr="00BD6319">
        <w:t xml:space="preserve"> intérieurs »</w:t>
      </w:r>
      <w:r>
        <w:t> :</w:t>
      </w:r>
    </w:p>
    <w:p w:rsidR="00124E6E" w:rsidRDefault="002C7B99" w:rsidP="00FE3F4F">
      <w:pPr>
        <w:pStyle w:val="SingleTxtG"/>
        <w:tabs>
          <w:tab w:val="left" w:pos="2268"/>
        </w:tabs>
        <w:ind w:left="2259" w:hanging="1125"/>
      </w:pPr>
      <w:r>
        <w:tab/>
      </w:r>
      <w:r w:rsidR="00124E6E">
        <w:t>Premier</w:t>
      </w:r>
      <w:r w:rsidR="00124E6E" w:rsidRPr="00BD6319">
        <w:t xml:space="preserve"> </w:t>
      </w:r>
      <w:r w:rsidR="00124E6E">
        <w:t xml:space="preserve">paragraphe : </w:t>
      </w:r>
      <w:r w:rsidR="00124E6E" w:rsidRPr="00BD6319">
        <w:t xml:space="preserve">supprimer « et munis d’un bouchon fileté ». </w:t>
      </w:r>
    </w:p>
    <w:p w:rsidR="00124E6E" w:rsidRDefault="002C7B99" w:rsidP="00FE3F4F">
      <w:pPr>
        <w:pStyle w:val="SingleTxtG"/>
        <w:tabs>
          <w:tab w:val="left" w:pos="2268"/>
        </w:tabs>
        <w:ind w:left="2259" w:hanging="1125"/>
      </w:pPr>
      <w:r>
        <w:tab/>
      </w:r>
      <w:r w:rsidR="00124E6E">
        <w:t xml:space="preserve">Deuxième paragraphe : </w:t>
      </w:r>
      <w:r w:rsidR="00124E6E" w:rsidRPr="00BD6319">
        <w:t>supprimer «</w:t>
      </w:r>
      <w:r w:rsidR="00124E6E">
        <w:t> </w:t>
      </w:r>
      <w:r w:rsidR="00124E6E" w:rsidRPr="00BD6319">
        <w:t>filetés</w:t>
      </w:r>
      <w:r w:rsidR="00124E6E">
        <w:t> </w:t>
      </w:r>
      <w:r w:rsidR="00124E6E" w:rsidRPr="00BD6319">
        <w:t xml:space="preserve">». </w:t>
      </w:r>
    </w:p>
    <w:p w:rsidR="00124E6E" w:rsidRPr="00F11D23" w:rsidRDefault="002C7B99" w:rsidP="00FE3F4F">
      <w:pPr>
        <w:pStyle w:val="SingleTxtG"/>
        <w:tabs>
          <w:tab w:val="left" w:pos="2268"/>
        </w:tabs>
        <w:ind w:left="2259" w:hanging="1125"/>
        <w:rPr>
          <w:lang w:val="fr-FR" w:eastAsia="fr-FR"/>
        </w:rPr>
      </w:pPr>
      <w:r>
        <w:tab/>
      </w:r>
      <w:r w:rsidR="00124E6E">
        <w:t>A</w:t>
      </w:r>
      <w:r w:rsidR="00124E6E" w:rsidRPr="00BD6319">
        <w:t xml:space="preserve">jouter </w:t>
      </w:r>
      <w:r w:rsidR="00124E6E">
        <w:t>le nouveau troisième paragraphe suivant</w:t>
      </w:r>
      <w:r w:rsidR="00124E6E" w:rsidRPr="00BD6319">
        <w:t xml:space="preserve"> </w:t>
      </w:r>
      <w:r w:rsidR="00124E6E">
        <w:t>a</w:t>
      </w:r>
      <w:r w:rsidR="00124E6E" w:rsidRPr="00BD6319">
        <w:t xml:space="preserve">vant la dernière phrase </w:t>
      </w:r>
      <w:r w:rsidR="00124E6E">
        <w:t>(« La masse nette maximale…125 kg »</w:t>
      </w:r>
      <w:proofErr w:type="gramStart"/>
      <w:r w:rsidR="00124E6E" w:rsidRPr="00BD6319">
        <w:t>):</w:t>
      </w:r>
      <w:proofErr w:type="gramEnd"/>
      <w:r w:rsidR="00124E6E" w:rsidRPr="00BD6319">
        <w:t xml:space="preserve"> </w:t>
      </w:r>
    </w:p>
    <w:p w:rsidR="00124E6E" w:rsidRDefault="002C7B99" w:rsidP="00FE3F4F">
      <w:pPr>
        <w:pStyle w:val="SingleTxtG"/>
        <w:tabs>
          <w:tab w:val="left" w:pos="2268"/>
        </w:tabs>
        <w:ind w:left="2259" w:hanging="1125"/>
        <w:rPr>
          <w:lang w:val="fr-FR" w:eastAsia="fr-FR"/>
        </w:rPr>
      </w:pPr>
      <w:r>
        <w:tab/>
      </w:r>
      <w:r w:rsidR="00124E6E" w:rsidRPr="00BD6319">
        <w:t xml:space="preserve">« </w:t>
      </w:r>
      <w:r w:rsidR="00124E6E" w:rsidRPr="00B34CFD">
        <w:rPr>
          <w:lang w:val="fr-FR" w:eastAsia="fr-FR"/>
        </w:rPr>
        <w:t>Les emballages intérieurs doivent être munis de bouchons filetés ou de fermetures bloquées par tout moyen physique empêchant leur dégagement ou leur relâchement en cas de choc ou de vibration au cours du transport. »</w:t>
      </w:r>
      <w:r w:rsidR="00124E6E">
        <w:rPr>
          <w:lang w:val="fr-FR" w:eastAsia="fr-FR"/>
        </w:rPr>
        <w:t xml:space="preserve">. </w:t>
      </w:r>
    </w:p>
    <w:p w:rsidR="00124E6E" w:rsidRDefault="00124E6E" w:rsidP="00FE3F4F">
      <w:pPr>
        <w:pStyle w:val="SingleTxtG"/>
        <w:tabs>
          <w:tab w:val="left" w:pos="2268"/>
        </w:tabs>
        <w:ind w:left="2259" w:hanging="1125"/>
        <w:rPr>
          <w:lang w:val="fr-FR" w:eastAsia="fr-FR"/>
        </w:rPr>
      </w:pPr>
      <w:r>
        <w:rPr>
          <w:lang w:val="fr-FR" w:eastAsia="fr-FR"/>
        </w:rPr>
        <w:t>4.1.4.1, P404</w:t>
      </w:r>
      <w:r>
        <w:rPr>
          <w:lang w:val="fr-FR" w:eastAsia="fr-FR"/>
        </w:rPr>
        <w:tab/>
      </w:r>
      <w:r w:rsidRPr="004559DF">
        <w:rPr>
          <w:lang w:val="fr-FR" w:eastAsia="fr-FR"/>
        </w:rPr>
        <w:t xml:space="preserve">Au 2), </w:t>
      </w:r>
      <w:r w:rsidRPr="00F11D23">
        <w:rPr>
          <w:lang w:val="fr-FR" w:eastAsia="fr-FR"/>
        </w:rPr>
        <w:t xml:space="preserve">insérer </w:t>
      </w:r>
      <w:proofErr w:type="gramStart"/>
      <w:r w:rsidRPr="004559DF">
        <w:rPr>
          <w:lang w:val="fr-FR" w:eastAsia="fr-FR"/>
        </w:rPr>
        <w:t>« </w:t>
      </w:r>
      <w:r>
        <w:rPr>
          <w:lang w:val="fr-FR" w:eastAsia="fr-FR"/>
        </w:rPr>
        <w:t>,</w:t>
      </w:r>
      <w:proofErr w:type="gramEnd"/>
      <w:r>
        <w:rPr>
          <w:lang w:val="fr-FR" w:eastAsia="fr-FR"/>
        </w:rPr>
        <w:t xml:space="preserve"> </w:t>
      </w:r>
      <w:r w:rsidRPr="004559DF">
        <w:rPr>
          <w:lang w:val="fr-FR" w:eastAsia="fr-FR"/>
        </w:rPr>
        <w:t>1B2 »</w:t>
      </w:r>
      <w:r w:rsidRPr="00F11D23">
        <w:rPr>
          <w:lang w:val="fr-FR" w:eastAsia="fr-FR"/>
        </w:rPr>
        <w:t xml:space="preserve"> entre </w:t>
      </w:r>
      <w:bookmarkStart w:id="49" w:name="_Hlk532910672"/>
      <w:r w:rsidRPr="004559DF">
        <w:rPr>
          <w:lang w:val="fr-FR" w:eastAsia="fr-FR"/>
        </w:rPr>
        <w:t>«</w:t>
      </w:r>
      <w:r w:rsidRPr="004559DF">
        <w:t>, 1B1 » et «, 1N1 ».</w:t>
      </w:r>
      <w:bookmarkEnd w:id="49"/>
    </w:p>
    <w:p w:rsidR="00124E6E" w:rsidRPr="00455982" w:rsidRDefault="00124E6E" w:rsidP="00FE3F4F">
      <w:pPr>
        <w:pStyle w:val="SingleTxtG"/>
        <w:tabs>
          <w:tab w:val="left" w:pos="2268"/>
        </w:tabs>
        <w:ind w:left="2259" w:hanging="1125"/>
        <w:rPr>
          <w:lang w:val="fr-FR"/>
        </w:rPr>
      </w:pPr>
      <w:r>
        <w:t>4.1.4.1, P410</w:t>
      </w:r>
      <w:r>
        <w:tab/>
        <w:t>Modifier la note de bas de tableau d pour lire comme suit :</w:t>
      </w:r>
    </w:p>
    <w:p w:rsidR="00124E6E" w:rsidRDefault="002C7B99" w:rsidP="00FE3F4F">
      <w:pPr>
        <w:pStyle w:val="SingleTxtG"/>
        <w:tabs>
          <w:tab w:val="left" w:pos="2268"/>
        </w:tabs>
        <w:ind w:left="2259" w:hanging="1125"/>
      </w:pPr>
      <w:r>
        <w:tab/>
      </w:r>
      <w:r w:rsidR="00124E6E">
        <w:t>« </w:t>
      </w:r>
      <w:proofErr w:type="gramStart"/>
      <w:r w:rsidR="00124E6E">
        <w:rPr>
          <w:b/>
          <w:vertAlign w:val="superscript"/>
        </w:rPr>
        <w:t>d</w:t>
      </w:r>
      <w:proofErr w:type="gramEnd"/>
      <w:r w:rsidR="00124E6E">
        <w:tab/>
      </w:r>
      <w:r w:rsidR="00124E6E">
        <w:rPr>
          <w:i/>
          <w:iCs/>
          <w:lang w:val="fr-FR"/>
        </w:rPr>
        <w:t>Ces emballages ne peuvent être utilisés pour les matières du groupe d’emballage II que</w:t>
      </w:r>
      <w:r w:rsidR="00124E6E">
        <w:rPr>
          <w:i/>
          <w:iCs/>
          <w:color w:val="FF0000"/>
          <w:lang w:val="fr-FR"/>
        </w:rPr>
        <w:t xml:space="preserve"> </w:t>
      </w:r>
      <w:r w:rsidR="00124E6E">
        <w:rPr>
          <w:i/>
          <w:iCs/>
          <w:lang w:val="fr-FR"/>
        </w:rPr>
        <w:t>lorsqu’ils sont transportés dans un véhicule couvert ou dans un conteneur fermé. ».</w:t>
      </w:r>
    </w:p>
    <w:p w:rsidR="00124E6E" w:rsidRPr="00B37176" w:rsidRDefault="00124E6E" w:rsidP="00124E6E">
      <w:pPr>
        <w:pStyle w:val="SingleTxtG"/>
        <w:tabs>
          <w:tab w:val="left" w:pos="2268"/>
        </w:tabs>
        <w:rPr>
          <w:i/>
          <w:iCs/>
          <w:szCs w:val="24"/>
        </w:rPr>
      </w:pPr>
      <w:r w:rsidRPr="00B37176">
        <w:rPr>
          <w:i/>
          <w:iCs/>
          <w:szCs w:val="24"/>
        </w:rPr>
        <w:t>(Correction à la vingtième édition révisée du Règlement type)</w:t>
      </w:r>
    </w:p>
    <w:p w:rsidR="00124E6E" w:rsidRDefault="00124E6E" w:rsidP="00FE3F4F">
      <w:pPr>
        <w:pStyle w:val="SingleTxtG"/>
        <w:tabs>
          <w:tab w:val="left" w:pos="2268"/>
        </w:tabs>
        <w:ind w:left="2259" w:hanging="1125"/>
      </w:pPr>
      <w:r>
        <w:t>4.1.4.1, P410</w:t>
      </w:r>
      <w:r>
        <w:tab/>
        <w:t>Pour « Emballages composites », dans la dernière rubrique, remplacer « en plastique rigide ou expansé » par « en plastique expansé ou en plastique rigide ».</w:t>
      </w:r>
    </w:p>
    <w:p w:rsidR="00124E6E" w:rsidRDefault="00124E6E" w:rsidP="00124E6E">
      <w:pPr>
        <w:pStyle w:val="SingleTxtG"/>
        <w:tabs>
          <w:tab w:val="left" w:pos="2268"/>
        </w:tabs>
        <w:rPr>
          <w:i/>
          <w:iCs/>
          <w:szCs w:val="24"/>
        </w:rPr>
      </w:pPr>
      <w:r w:rsidRPr="001242C6">
        <w:rPr>
          <w:i/>
          <w:iCs/>
          <w:szCs w:val="24"/>
        </w:rPr>
        <w:t>(</w:t>
      </w:r>
      <w:r>
        <w:rPr>
          <w:i/>
          <w:iCs/>
          <w:szCs w:val="24"/>
        </w:rPr>
        <w:t>Modification éditoriale dans</w:t>
      </w:r>
      <w:r w:rsidRPr="001242C6">
        <w:rPr>
          <w:i/>
          <w:iCs/>
          <w:szCs w:val="24"/>
        </w:rPr>
        <w:t xml:space="preserve"> la vingt</w:t>
      </w:r>
      <w:r>
        <w:rPr>
          <w:i/>
          <w:iCs/>
          <w:szCs w:val="24"/>
        </w:rPr>
        <w:t>-et-un</w:t>
      </w:r>
      <w:r w:rsidRPr="001242C6">
        <w:rPr>
          <w:i/>
          <w:iCs/>
          <w:szCs w:val="24"/>
        </w:rPr>
        <w:t>ième édition révisée du Règlement type)</w:t>
      </w:r>
    </w:p>
    <w:p w:rsidR="00124E6E" w:rsidRDefault="00124E6E" w:rsidP="00FE3F4F">
      <w:pPr>
        <w:pStyle w:val="SingleTxtG"/>
        <w:tabs>
          <w:tab w:val="left" w:pos="2268"/>
        </w:tabs>
        <w:ind w:left="2259" w:hanging="1125"/>
      </w:pPr>
      <w:r>
        <w:lastRenderedPageBreak/>
        <w:t>4.1.4.1, P501</w:t>
      </w:r>
      <w:r>
        <w:tab/>
      </w:r>
      <w:bookmarkStart w:id="50" w:name="_Hlk11162289"/>
      <w:r>
        <w:rPr>
          <w:szCs w:val="24"/>
          <w:lang w:val="fr-FR"/>
        </w:rPr>
        <w:t>L’amendement à la version anglaise est sans objet en français</w:t>
      </w:r>
      <w:r w:rsidRPr="00640C9E">
        <w:rPr>
          <w:szCs w:val="24"/>
          <w:lang w:val="fr-FR"/>
        </w:rPr>
        <w:t>.</w:t>
      </w:r>
      <w:bookmarkEnd w:id="50"/>
    </w:p>
    <w:p w:rsidR="00124E6E" w:rsidRDefault="00124E6E" w:rsidP="00124E6E">
      <w:pPr>
        <w:pStyle w:val="SingleTxtG"/>
        <w:tabs>
          <w:tab w:val="left" w:pos="2268"/>
        </w:tabs>
        <w:rPr>
          <w:i/>
          <w:iCs/>
          <w:szCs w:val="24"/>
        </w:rPr>
      </w:pPr>
      <w:r w:rsidRPr="001242C6">
        <w:rPr>
          <w:i/>
          <w:iCs/>
          <w:szCs w:val="24"/>
        </w:rPr>
        <w:t>(</w:t>
      </w:r>
      <w:r>
        <w:rPr>
          <w:i/>
          <w:iCs/>
          <w:szCs w:val="24"/>
        </w:rPr>
        <w:t>Modification éditoriale dans</w:t>
      </w:r>
      <w:r w:rsidRPr="001242C6">
        <w:rPr>
          <w:i/>
          <w:iCs/>
          <w:szCs w:val="24"/>
        </w:rPr>
        <w:t xml:space="preserve"> la vingt</w:t>
      </w:r>
      <w:r>
        <w:rPr>
          <w:i/>
          <w:iCs/>
          <w:szCs w:val="24"/>
        </w:rPr>
        <w:t>-et-un</w:t>
      </w:r>
      <w:r w:rsidRPr="001242C6">
        <w:rPr>
          <w:i/>
          <w:iCs/>
          <w:szCs w:val="24"/>
        </w:rPr>
        <w:t>ième édition révisée du Règlement type)</w:t>
      </w:r>
    </w:p>
    <w:p w:rsidR="00124E6E" w:rsidRDefault="00124E6E" w:rsidP="00FE3F4F">
      <w:pPr>
        <w:pStyle w:val="SingleTxtG"/>
        <w:tabs>
          <w:tab w:val="left" w:pos="2268"/>
        </w:tabs>
        <w:ind w:left="2259" w:hanging="1125"/>
      </w:pPr>
      <w:r>
        <w:t>4.1.4.1, P502</w:t>
      </w:r>
      <w:r>
        <w:tab/>
      </w:r>
      <w:r>
        <w:rPr>
          <w:szCs w:val="24"/>
          <w:lang w:val="fr-FR"/>
        </w:rPr>
        <w:t>L’amendement à la version anglaise est sans objet en français</w:t>
      </w:r>
      <w:r w:rsidRPr="00640C9E">
        <w:rPr>
          <w:szCs w:val="24"/>
          <w:lang w:val="fr-FR"/>
        </w:rPr>
        <w:t>.</w:t>
      </w:r>
    </w:p>
    <w:p w:rsidR="00124E6E" w:rsidRDefault="00124E6E" w:rsidP="00124E6E">
      <w:pPr>
        <w:pStyle w:val="SingleTxtG"/>
        <w:tabs>
          <w:tab w:val="left" w:pos="2268"/>
        </w:tabs>
        <w:rPr>
          <w:i/>
          <w:iCs/>
          <w:szCs w:val="24"/>
        </w:rPr>
      </w:pPr>
      <w:r w:rsidRPr="001242C6">
        <w:rPr>
          <w:i/>
          <w:iCs/>
          <w:szCs w:val="24"/>
        </w:rPr>
        <w:t>(</w:t>
      </w:r>
      <w:r>
        <w:rPr>
          <w:i/>
          <w:iCs/>
          <w:szCs w:val="24"/>
        </w:rPr>
        <w:t>Modification éditoriale dans</w:t>
      </w:r>
      <w:r w:rsidRPr="001242C6">
        <w:rPr>
          <w:i/>
          <w:iCs/>
          <w:szCs w:val="24"/>
        </w:rPr>
        <w:t xml:space="preserve"> la vingt</w:t>
      </w:r>
      <w:r>
        <w:rPr>
          <w:i/>
          <w:iCs/>
          <w:szCs w:val="24"/>
        </w:rPr>
        <w:t>-et-un</w:t>
      </w:r>
      <w:r w:rsidRPr="001242C6">
        <w:rPr>
          <w:i/>
          <w:iCs/>
          <w:szCs w:val="24"/>
        </w:rPr>
        <w:t>ième édition révisée du Règlement type)</w:t>
      </w:r>
    </w:p>
    <w:p w:rsidR="00124E6E" w:rsidRDefault="00124E6E" w:rsidP="00FE3F4F">
      <w:pPr>
        <w:pStyle w:val="SingleTxtG"/>
        <w:tabs>
          <w:tab w:val="left" w:pos="2268"/>
        </w:tabs>
        <w:ind w:left="2259" w:hanging="1125"/>
      </w:pPr>
      <w:r>
        <w:t>4.1.4.1, P504</w:t>
      </w:r>
      <w:r>
        <w:tab/>
      </w:r>
      <w:r>
        <w:rPr>
          <w:szCs w:val="24"/>
          <w:lang w:val="fr-FR"/>
        </w:rPr>
        <w:t>L’amendement à la version anglaise est sans objet en français</w:t>
      </w:r>
      <w:r w:rsidRPr="00640C9E">
        <w:rPr>
          <w:szCs w:val="24"/>
          <w:lang w:val="fr-FR"/>
        </w:rPr>
        <w:t>.</w:t>
      </w:r>
    </w:p>
    <w:p w:rsidR="00124E6E" w:rsidRDefault="00124E6E" w:rsidP="00124E6E">
      <w:pPr>
        <w:pStyle w:val="SingleTxtG"/>
        <w:tabs>
          <w:tab w:val="left" w:pos="2268"/>
        </w:tabs>
        <w:rPr>
          <w:i/>
          <w:iCs/>
          <w:szCs w:val="24"/>
        </w:rPr>
      </w:pPr>
      <w:r w:rsidRPr="001242C6">
        <w:rPr>
          <w:i/>
          <w:iCs/>
          <w:szCs w:val="24"/>
        </w:rPr>
        <w:t>(</w:t>
      </w:r>
      <w:r>
        <w:rPr>
          <w:i/>
          <w:iCs/>
          <w:szCs w:val="24"/>
        </w:rPr>
        <w:t>Modification éditoriale dans</w:t>
      </w:r>
      <w:r w:rsidRPr="001242C6">
        <w:rPr>
          <w:i/>
          <w:iCs/>
          <w:szCs w:val="24"/>
        </w:rPr>
        <w:t xml:space="preserve"> la vingt</w:t>
      </w:r>
      <w:r>
        <w:rPr>
          <w:i/>
          <w:iCs/>
          <w:szCs w:val="24"/>
        </w:rPr>
        <w:t>-et-un</w:t>
      </w:r>
      <w:r w:rsidRPr="001242C6">
        <w:rPr>
          <w:i/>
          <w:iCs/>
          <w:szCs w:val="24"/>
        </w:rPr>
        <w:t>ième édition révisée du Règlement type)</w:t>
      </w:r>
    </w:p>
    <w:p w:rsidR="00124E6E" w:rsidRDefault="00124E6E" w:rsidP="00FE3F4F">
      <w:pPr>
        <w:pStyle w:val="SingleTxtG"/>
        <w:tabs>
          <w:tab w:val="left" w:pos="2268"/>
        </w:tabs>
        <w:ind w:left="2259" w:hanging="1125"/>
      </w:pPr>
      <w:r>
        <w:t>4.1.4.1, P905</w:t>
      </w:r>
      <w:r>
        <w:tab/>
        <w:t>Dans la deuxième ligne sous la ligne de titre, dans le deuxième paragraphe, remplacer « bateaux de sauvetage » par « embarcations de sauvetage ».</w:t>
      </w:r>
    </w:p>
    <w:p w:rsidR="00124E6E" w:rsidRDefault="00124E6E" w:rsidP="00124E6E">
      <w:pPr>
        <w:pStyle w:val="SingleTxtG"/>
        <w:tabs>
          <w:tab w:val="left" w:pos="2268"/>
        </w:tabs>
        <w:rPr>
          <w:iCs/>
          <w:lang w:val="fr-FR"/>
        </w:rPr>
      </w:pPr>
      <w:r w:rsidRPr="001242C6">
        <w:rPr>
          <w:i/>
          <w:iCs/>
          <w:szCs w:val="24"/>
        </w:rPr>
        <w:t>(</w:t>
      </w:r>
      <w:r>
        <w:rPr>
          <w:i/>
          <w:iCs/>
          <w:szCs w:val="24"/>
        </w:rPr>
        <w:t>Modification éditoriale dans</w:t>
      </w:r>
      <w:r w:rsidRPr="001242C6">
        <w:rPr>
          <w:i/>
          <w:iCs/>
          <w:szCs w:val="24"/>
        </w:rPr>
        <w:t xml:space="preserve"> la vingt</w:t>
      </w:r>
      <w:r>
        <w:rPr>
          <w:i/>
          <w:iCs/>
          <w:szCs w:val="24"/>
        </w:rPr>
        <w:t>-et-un</w:t>
      </w:r>
      <w:r w:rsidRPr="001242C6">
        <w:rPr>
          <w:i/>
          <w:iCs/>
          <w:szCs w:val="24"/>
        </w:rPr>
        <w:t>ième édition révisée du Règlement type)</w:t>
      </w:r>
      <w:r w:rsidRPr="006B0E45">
        <w:rPr>
          <w:iCs/>
          <w:lang w:val="fr-FR"/>
        </w:rPr>
        <w:t xml:space="preserve"> </w:t>
      </w:r>
    </w:p>
    <w:p w:rsidR="00124E6E" w:rsidRDefault="00124E6E" w:rsidP="00124E6E">
      <w:pPr>
        <w:suppressAutoHyphens w:val="0"/>
        <w:spacing w:line="240" w:lineRule="auto"/>
        <w:rPr>
          <w:iCs/>
          <w:lang w:val="fr-FR"/>
        </w:rPr>
      </w:pPr>
      <w:r>
        <w:rPr>
          <w:iCs/>
          <w:lang w:val="fr-FR"/>
        </w:rPr>
        <w:br w:type="page"/>
      </w:r>
    </w:p>
    <w:p w:rsidR="00124E6E" w:rsidRPr="006B0E45" w:rsidRDefault="00124E6E" w:rsidP="002C7B99">
      <w:pPr>
        <w:pStyle w:val="SingleTxtG"/>
        <w:tabs>
          <w:tab w:val="left" w:pos="2268"/>
        </w:tabs>
        <w:rPr>
          <w:iCs/>
          <w:lang w:val="fr-FR"/>
        </w:rPr>
      </w:pPr>
      <w:r w:rsidRPr="006B0E45">
        <w:rPr>
          <w:iCs/>
          <w:lang w:val="fr-FR"/>
        </w:rPr>
        <w:lastRenderedPageBreak/>
        <w:t>4.1.4.1</w:t>
      </w:r>
      <w:r w:rsidRPr="006B0E45">
        <w:rPr>
          <w:iCs/>
          <w:lang w:val="fr-FR"/>
        </w:rPr>
        <w:tab/>
        <w:t>Ajouter la nouvelle instruction d’emballage 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365"/>
        <w:gridCol w:w="850"/>
      </w:tblGrid>
      <w:tr w:rsidR="00124E6E" w:rsidRPr="008A3492" w:rsidTr="00124E6E">
        <w:trPr>
          <w:tblHeader/>
        </w:trPr>
        <w:tc>
          <w:tcPr>
            <w:tcW w:w="855" w:type="dxa"/>
            <w:tcBorders>
              <w:top w:val="single" w:sz="4" w:space="0" w:color="000000"/>
              <w:bottom w:val="single" w:sz="4" w:space="0" w:color="auto"/>
            </w:tcBorders>
          </w:tcPr>
          <w:p w:rsidR="00124E6E" w:rsidRPr="008A3492" w:rsidRDefault="00124E6E" w:rsidP="00124E6E">
            <w:pPr>
              <w:spacing w:before="40" w:after="40"/>
              <w:rPr>
                <w:b/>
                <w:bCs/>
                <w:color w:val="000000"/>
                <w:sz w:val="18"/>
                <w:szCs w:val="18"/>
                <w:lang w:val="fr-FR"/>
              </w:rPr>
            </w:pPr>
            <w:r w:rsidRPr="008A3492">
              <w:rPr>
                <w:b/>
                <w:bCs/>
                <w:sz w:val="18"/>
                <w:szCs w:val="18"/>
                <w:lang w:val="fr-FR"/>
              </w:rPr>
              <w:t>P622</w:t>
            </w:r>
          </w:p>
        </w:tc>
        <w:tc>
          <w:tcPr>
            <w:tcW w:w="7938" w:type="dxa"/>
            <w:gridSpan w:val="3"/>
            <w:tcBorders>
              <w:top w:val="single" w:sz="4" w:space="0" w:color="000000"/>
              <w:bottom w:val="single" w:sz="4" w:space="0" w:color="auto"/>
            </w:tcBorders>
          </w:tcPr>
          <w:p w:rsidR="00124E6E" w:rsidRPr="008A3492" w:rsidRDefault="00124E6E" w:rsidP="00124E6E">
            <w:pPr>
              <w:spacing w:before="40" w:after="40"/>
              <w:jc w:val="center"/>
              <w:rPr>
                <w:b/>
                <w:bCs/>
                <w:color w:val="000000"/>
                <w:sz w:val="18"/>
                <w:szCs w:val="18"/>
                <w:lang w:val="fr-FR"/>
              </w:rPr>
            </w:pPr>
            <w:r w:rsidRPr="008A3492">
              <w:rPr>
                <w:b/>
                <w:bCs/>
                <w:sz w:val="18"/>
                <w:szCs w:val="18"/>
                <w:lang w:val="fr-FR"/>
              </w:rPr>
              <w:t>INSTRUCTION D’EMBALLAGE</w:t>
            </w:r>
          </w:p>
        </w:tc>
        <w:tc>
          <w:tcPr>
            <w:tcW w:w="850" w:type="dxa"/>
            <w:tcBorders>
              <w:top w:val="single" w:sz="4" w:space="0" w:color="000000"/>
              <w:bottom w:val="single" w:sz="4" w:space="0" w:color="auto"/>
            </w:tcBorders>
          </w:tcPr>
          <w:p w:rsidR="00124E6E" w:rsidRPr="008A3492" w:rsidRDefault="00124E6E" w:rsidP="00124E6E">
            <w:pPr>
              <w:spacing w:before="40" w:after="40"/>
              <w:rPr>
                <w:b/>
                <w:bCs/>
                <w:color w:val="000000"/>
                <w:sz w:val="18"/>
                <w:szCs w:val="18"/>
                <w:lang w:val="fr-FR"/>
              </w:rPr>
            </w:pPr>
            <w:r w:rsidRPr="008A3492">
              <w:rPr>
                <w:b/>
                <w:bCs/>
                <w:sz w:val="18"/>
                <w:szCs w:val="18"/>
                <w:lang w:val="fr-FR"/>
              </w:rPr>
              <w:t xml:space="preserve">     </w:t>
            </w:r>
            <w:r>
              <w:rPr>
                <w:b/>
                <w:bCs/>
                <w:sz w:val="18"/>
                <w:szCs w:val="18"/>
                <w:lang w:val="fr-FR"/>
              </w:rPr>
              <w:t xml:space="preserve">  </w:t>
            </w:r>
            <w:r w:rsidRPr="008A3492">
              <w:rPr>
                <w:b/>
                <w:bCs/>
                <w:sz w:val="18"/>
                <w:szCs w:val="18"/>
                <w:lang w:val="fr-FR"/>
              </w:rPr>
              <w:t>P622</w:t>
            </w:r>
          </w:p>
        </w:tc>
      </w:tr>
      <w:tr w:rsidR="00124E6E" w:rsidRPr="008A3492" w:rsidTr="00124E6E">
        <w:tc>
          <w:tcPr>
            <w:tcW w:w="9643" w:type="dxa"/>
            <w:gridSpan w:val="5"/>
            <w:tcBorders>
              <w:top w:val="single" w:sz="4" w:space="0" w:color="auto"/>
              <w:bottom w:val="single" w:sz="4" w:space="0" w:color="000000"/>
            </w:tcBorders>
          </w:tcPr>
          <w:p w:rsidR="00124E6E" w:rsidRPr="008A3492" w:rsidRDefault="00124E6E" w:rsidP="00124E6E">
            <w:pPr>
              <w:spacing w:before="40" w:after="40" w:line="240" w:lineRule="auto"/>
              <w:rPr>
                <w:color w:val="000000"/>
                <w:sz w:val="18"/>
                <w:szCs w:val="18"/>
                <w:lang w:val="fr-FR"/>
              </w:rPr>
            </w:pPr>
            <w:r>
              <w:t>La présente instruction s’applique aux déchets du No ONU 3549 transportés en vue de leur élimination.</w:t>
            </w:r>
          </w:p>
        </w:tc>
      </w:tr>
      <w:tr w:rsidR="00124E6E" w:rsidRPr="008A3492" w:rsidTr="00124E6E">
        <w:tc>
          <w:tcPr>
            <w:tcW w:w="9643" w:type="dxa"/>
            <w:gridSpan w:val="5"/>
            <w:tcBorders>
              <w:top w:val="single" w:sz="4" w:space="0" w:color="000000"/>
              <w:bottom w:val="single" w:sz="4" w:space="0" w:color="000000"/>
            </w:tcBorders>
          </w:tcPr>
          <w:p w:rsidR="00124E6E" w:rsidRPr="003C7EF7" w:rsidRDefault="00124E6E" w:rsidP="00124E6E">
            <w:pPr>
              <w:spacing w:before="40" w:after="40" w:line="240" w:lineRule="auto"/>
              <w:rPr>
                <w:color w:val="000000"/>
                <w:lang w:val="fr-FR"/>
              </w:rPr>
            </w:pPr>
            <w:r w:rsidRPr="003C7EF7">
              <w:rPr>
                <w:lang w:val="fr-FR"/>
              </w:rPr>
              <w:t xml:space="preserve">Les emballages suivants sont autorisés s’il est satisfait aux dispositions générales des </w:t>
            </w:r>
            <w:r w:rsidRPr="003C7EF7">
              <w:rPr>
                <w:b/>
                <w:lang w:val="fr-FR"/>
              </w:rPr>
              <w:t>4.1.1</w:t>
            </w:r>
            <w:r w:rsidRPr="003C7EF7">
              <w:rPr>
                <w:lang w:val="fr-FR"/>
              </w:rPr>
              <w:t xml:space="preserve"> et </w:t>
            </w:r>
            <w:r w:rsidRPr="003C7EF7">
              <w:rPr>
                <w:b/>
                <w:lang w:val="fr-FR"/>
              </w:rPr>
              <w:t>4.1.3</w:t>
            </w:r>
            <w:r w:rsidRPr="003C7EF7">
              <w:rPr>
                <w:lang w:val="fr-FR"/>
              </w:rPr>
              <w:t> :</w:t>
            </w:r>
          </w:p>
        </w:tc>
      </w:tr>
      <w:tr w:rsidR="00124E6E" w:rsidRPr="008A3492" w:rsidTr="00124E6E">
        <w:tc>
          <w:tcPr>
            <w:tcW w:w="3214" w:type="dxa"/>
            <w:gridSpan w:val="2"/>
            <w:tcBorders>
              <w:top w:val="single" w:sz="4" w:space="0" w:color="000000"/>
              <w:bottom w:val="single" w:sz="4" w:space="0" w:color="000000"/>
              <w:right w:val="single" w:sz="4" w:space="0" w:color="auto"/>
            </w:tcBorders>
          </w:tcPr>
          <w:p w:rsidR="00124E6E" w:rsidRPr="003C7EF7" w:rsidRDefault="00124E6E" w:rsidP="00124E6E">
            <w:pPr>
              <w:spacing w:before="40" w:after="40"/>
              <w:rPr>
                <w:b/>
                <w:color w:val="000000"/>
                <w:lang w:val="fr-FR"/>
              </w:rPr>
            </w:pPr>
            <w:r w:rsidRPr="003C7EF7">
              <w:rPr>
                <w:b/>
                <w:bCs/>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124E6E" w:rsidRPr="003C7EF7" w:rsidRDefault="00124E6E" w:rsidP="00124E6E">
            <w:pPr>
              <w:spacing w:before="40" w:after="40"/>
              <w:rPr>
                <w:b/>
                <w:color w:val="000000"/>
                <w:lang w:val="fr-FR"/>
              </w:rPr>
            </w:pPr>
            <w:r w:rsidRPr="003C7EF7">
              <w:rPr>
                <w:b/>
                <w:bCs/>
                <w:lang w:val="fr-FR"/>
              </w:rPr>
              <w:t>Emballages intermédiaires</w:t>
            </w:r>
          </w:p>
        </w:tc>
        <w:tc>
          <w:tcPr>
            <w:tcW w:w="3215" w:type="dxa"/>
            <w:gridSpan w:val="2"/>
            <w:tcBorders>
              <w:top w:val="single" w:sz="4" w:space="0" w:color="000000"/>
              <w:left w:val="single" w:sz="4" w:space="0" w:color="auto"/>
              <w:bottom w:val="single" w:sz="4" w:space="0" w:color="000000"/>
            </w:tcBorders>
          </w:tcPr>
          <w:p w:rsidR="00124E6E" w:rsidRPr="003C7EF7" w:rsidRDefault="00124E6E" w:rsidP="00124E6E">
            <w:pPr>
              <w:spacing w:before="40" w:after="40"/>
              <w:rPr>
                <w:b/>
                <w:color w:val="000000"/>
                <w:lang w:val="fr-FR"/>
              </w:rPr>
            </w:pPr>
            <w:r w:rsidRPr="003C7EF7">
              <w:rPr>
                <w:b/>
                <w:bCs/>
                <w:lang w:val="fr-FR"/>
              </w:rPr>
              <w:t>Emballages extérieurs</w:t>
            </w:r>
          </w:p>
        </w:tc>
      </w:tr>
      <w:tr w:rsidR="00124E6E" w:rsidRPr="008A3492" w:rsidTr="00124E6E">
        <w:trPr>
          <w:trHeight w:val="2897"/>
        </w:trPr>
        <w:tc>
          <w:tcPr>
            <w:tcW w:w="3214" w:type="dxa"/>
            <w:gridSpan w:val="2"/>
            <w:tcBorders>
              <w:top w:val="single" w:sz="4" w:space="0" w:color="000000"/>
              <w:bottom w:val="single" w:sz="4" w:space="0" w:color="000000"/>
              <w:right w:val="single" w:sz="4" w:space="0" w:color="auto"/>
            </w:tcBorders>
          </w:tcPr>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métal</w:t>
            </w:r>
          </w:p>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plastique</w:t>
            </w:r>
          </w:p>
        </w:tc>
        <w:tc>
          <w:tcPr>
            <w:tcW w:w="3214" w:type="dxa"/>
            <w:tcBorders>
              <w:top w:val="single" w:sz="4" w:space="0" w:color="000000"/>
              <w:left w:val="single" w:sz="4" w:space="0" w:color="auto"/>
              <w:bottom w:val="single" w:sz="4" w:space="0" w:color="000000"/>
              <w:right w:val="single" w:sz="4" w:space="0" w:color="auto"/>
            </w:tcBorders>
          </w:tcPr>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métal</w:t>
            </w:r>
          </w:p>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plastique</w:t>
            </w:r>
          </w:p>
        </w:tc>
        <w:tc>
          <w:tcPr>
            <w:tcW w:w="3215" w:type="dxa"/>
            <w:gridSpan w:val="2"/>
            <w:tcBorders>
              <w:top w:val="single" w:sz="4" w:space="0" w:color="000000"/>
              <w:left w:val="single" w:sz="4" w:space="0" w:color="auto"/>
              <w:bottom w:val="single" w:sz="4" w:space="0" w:color="000000"/>
            </w:tcBorders>
          </w:tcPr>
          <w:p w:rsidR="00124E6E" w:rsidRPr="003C7EF7" w:rsidRDefault="00124E6E" w:rsidP="00124E6E">
            <w:pPr>
              <w:spacing w:before="40" w:after="40"/>
              <w:rPr>
                <w:b/>
                <w:color w:val="000000"/>
                <w:lang w:val="fr-FR"/>
              </w:rPr>
            </w:pPr>
            <w:r w:rsidRPr="003C7EF7">
              <w:rPr>
                <w:b/>
                <w:bCs/>
                <w:lang w:val="fr-FR"/>
              </w:rPr>
              <w:t>Caisses</w:t>
            </w:r>
          </w:p>
          <w:p w:rsidR="00124E6E" w:rsidRPr="00835DB7" w:rsidRDefault="00124E6E" w:rsidP="00124E6E">
            <w:pPr>
              <w:spacing w:before="40" w:after="40"/>
              <w:rPr>
                <w:color w:val="000000"/>
                <w:lang w:val="es-ES"/>
              </w:rPr>
            </w:pPr>
            <w:r w:rsidRPr="00835DB7">
              <w:rPr>
                <w:lang w:val="es-ES"/>
              </w:rPr>
              <w:t xml:space="preserve">en </w:t>
            </w:r>
            <w:proofErr w:type="spellStart"/>
            <w:r w:rsidRPr="00835DB7">
              <w:rPr>
                <w:lang w:val="es-ES"/>
              </w:rPr>
              <w:t>acier</w:t>
            </w:r>
            <w:proofErr w:type="spellEnd"/>
            <w:r w:rsidRPr="00835DB7">
              <w:rPr>
                <w:lang w:val="es-ES"/>
              </w:rPr>
              <w:t xml:space="preserve"> (4A)</w:t>
            </w:r>
          </w:p>
          <w:p w:rsidR="00124E6E" w:rsidRPr="00835DB7" w:rsidRDefault="00124E6E" w:rsidP="00124E6E">
            <w:pPr>
              <w:spacing w:before="40" w:after="40"/>
              <w:rPr>
                <w:color w:val="000000"/>
                <w:lang w:val="es-ES"/>
              </w:rPr>
            </w:pPr>
            <w:r w:rsidRPr="00835DB7">
              <w:rPr>
                <w:lang w:val="es-ES"/>
              </w:rPr>
              <w:t xml:space="preserve">en </w:t>
            </w:r>
            <w:proofErr w:type="spellStart"/>
            <w:r w:rsidRPr="00835DB7">
              <w:rPr>
                <w:lang w:val="es-ES"/>
              </w:rPr>
              <w:t>aluminium</w:t>
            </w:r>
            <w:proofErr w:type="spellEnd"/>
            <w:r w:rsidRPr="00835DB7">
              <w:rPr>
                <w:lang w:val="es-ES"/>
              </w:rPr>
              <w:t xml:space="preserve"> (4B)</w:t>
            </w:r>
          </w:p>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un autre métal (4N)</w:t>
            </w:r>
          </w:p>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contreplaqué (4D)</w:t>
            </w:r>
          </w:p>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carton rigide (4G)</w:t>
            </w:r>
          </w:p>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plastique rigide (4H2)</w:t>
            </w:r>
          </w:p>
          <w:p w:rsidR="00124E6E" w:rsidRPr="003C7EF7" w:rsidRDefault="00124E6E" w:rsidP="00124E6E">
            <w:pPr>
              <w:spacing w:before="40" w:after="40"/>
              <w:rPr>
                <w:b/>
                <w:color w:val="000000"/>
                <w:lang w:val="fr-FR"/>
              </w:rPr>
            </w:pPr>
            <w:r w:rsidRPr="003C7EF7">
              <w:rPr>
                <w:b/>
                <w:bCs/>
                <w:lang w:val="fr-FR"/>
              </w:rPr>
              <w:t>Fûts</w:t>
            </w:r>
          </w:p>
          <w:p w:rsidR="00124E6E" w:rsidRPr="00835DB7" w:rsidRDefault="00124E6E" w:rsidP="00124E6E">
            <w:pPr>
              <w:spacing w:before="40" w:after="40"/>
              <w:rPr>
                <w:color w:val="000000"/>
                <w:lang w:val="es-ES"/>
              </w:rPr>
            </w:pPr>
            <w:r w:rsidRPr="00835DB7">
              <w:rPr>
                <w:lang w:val="es-ES"/>
              </w:rPr>
              <w:t xml:space="preserve">en </w:t>
            </w:r>
            <w:proofErr w:type="spellStart"/>
            <w:r w:rsidRPr="00835DB7">
              <w:rPr>
                <w:lang w:val="es-ES"/>
              </w:rPr>
              <w:t>acier</w:t>
            </w:r>
            <w:proofErr w:type="spellEnd"/>
            <w:r w:rsidRPr="00835DB7">
              <w:rPr>
                <w:lang w:val="es-ES"/>
              </w:rPr>
              <w:t xml:space="preserve"> (1A2)</w:t>
            </w:r>
          </w:p>
          <w:p w:rsidR="00124E6E" w:rsidRPr="00835DB7" w:rsidRDefault="00124E6E" w:rsidP="00124E6E">
            <w:pPr>
              <w:spacing w:before="40" w:after="40"/>
              <w:rPr>
                <w:color w:val="000000"/>
                <w:lang w:val="es-ES"/>
              </w:rPr>
            </w:pPr>
            <w:r w:rsidRPr="00835DB7">
              <w:rPr>
                <w:lang w:val="es-ES"/>
              </w:rPr>
              <w:t xml:space="preserve">en </w:t>
            </w:r>
            <w:proofErr w:type="spellStart"/>
            <w:r w:rsidRPr="00835DB7">
              <w:rPr>
                <w:lang w:val="es-ES"/>
              </w:rPr>
              <w:t>aluminium</w:t>
            </w:r>
            <w:proofErr w:type="spellEnd"/>
            <w:r w:rsidRPr="00835DB7">
              <w:rPr>
                <w:lang w:val="es-ES"/>
              </w:rPr>
              <w:t xml:space="preserve"> (1B2)</w:t>
            </w:r>
          </w:p>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un autre métal (1N2)</w:t>
            </w:r>
          </w:p>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contre-plaqué (1D)</w:t>
            </w:r>
          </w:p>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carton (1G)</w:t>
            </w:r>
          </w:p>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plastique (1H2)</w:t>
            </w:r>
          </w:p>
          <w:p w:rsidR="00124E6E" w:rsidRPr="00835DB7" w:rsidRDefault="00124E6E" w:rsidP="00124E6E">
            <w:pPr>
              <w:spacing w:before="40" w:after="40"/>
              <w:rPr>
                <w:b/>
                <w:color w:val="000000"/>
                <w:lang w:val="fr-FR"/>
              </w:rPr>
            </w:pPr>
            <w:r w:rsidRPr="00835DB7">
              <w:rPr>
                <w:b/>
                <w:bCs/>
                <w:lang w:val="fr-FR"/>
              </w:rPr>
              <w:t>Bidons (jerricanes)</w:t>
            </w:r>
          </w:p>
          <w:p w:rsidR="00124E6E" w:rsidRPr="003C7EF7" w:rsidRDefault="00124E6E" w:rsidP="00124E6E">
            <w:pPr>
              <w:spacing w:before="40" w:after="40"/>
              <w:rPr>
                <w:color w:val="000000"/>
                <w:lang w:val="es-ES"/>
              </w:rPr>
            </w:pPr>
            <w:r w:rsidRPr="003C7EF7">
              <w:rPr>
                <w:lang w:val="es-ES"/>
              </w:rPr>
              <w:t xml:space="preserve">en </w:t>
            </w:r>
            <w:proofErr w:type="spellStart"/>
            <w:r w:rsidRPr="003C7EF7">
              <w:rPr>
                <w:lang w:val="es-ES"/>
              </w:rPr>
              <w:t>acier</w:t>
            </w:r>
            <w:proofErr w:type="spellEnd"/>
            <w:r w:rsidRPr="003C7EF7">
              <w:rPr>
                <w:lang w:val="es-ES"/>
              </w:rPr>
              <w:t xml:space="preserve"> (3A2)</w:t>
            </w:r>
          </w:p>
          <w:p w:rsidR="00124E6E" w:rsidRPr="003C7EF7" w:rsidRDefault="00124E6E" w:rsidP="00124E6E">
            <w:pPr>
              <w:spacing w:before="40" w:after="40"/>
              <w:rPr>
                <w:color w:val="000000"/>
                <w:lang w:val="es-ES"/>
              </w:rPr>
            </w:pPr>
            <w:r w:rsidRPr="003C7EF7">
              <w:rPr>
                <w:lang w:val="es-ES"/>
              </w:rPr>
              <w:t xml:space="preserve">en </w:t>
            </w:r>
            <w:proofErr w:type="spellStart"/>
            <w:r w:rsidRPr="003C7EF7">
              <w:rPr>
                <w:lang w:val="es-ES"/>
              </w:rPr>
              <w:t>aluminium</w:t>
            </w:r>
            <w:proofErr w:type="spellEnd"/>
            <w:r w:rsidRPr="003C7EF7">
              <w:rPr>
                <w:lang w:val="es-ES"/>
              </w:rPr>
              <w:t xml:space="preserve"> (3B2)</w:t>
            </w:r>
          </w:p>
          <w:p w:rsidR="00124E6E" w:rsidRPr="003C7EF7" w:rsidRDefault="00124E6E" w:rsidP="00124E6E">
            <w:pPr>
              <w:spacing w:before="40" w:after="40"/>
              <w:rPr>
                <w:color w:val="000000"/>
                <w:lang w:val="fr-FR"/>
              </w:rPr>
            </w:pPr>
            <w:proofErr w:type="gramStart"/>
            <w:r w:rsidRPr="003C7EF7">
              <w:rPr>
                <w:lang w:val="fr-FR"/>
              </w:rPr>
              <w:t>en</w:t>
            </w:r>
            <w:proofErr w:type="gramEnd"/>
            <w:r w:rsidRPr="003C7EF7">
              <w:rPr>
                <w:lang w:val="fr-FR"/>
              </w:rPr>
              <w:t xml:space="preserve"> plastique (3H2)</w:t>
            </w:r>
          </w:p>
        </w:tc>
      </w:tr>
      <w:tr w:rsidR="00124E6E" w:rsidRPr="008A3492" w:rsidTr="00124E6E">
        <w:tc>
          <w:tcPr>
            <w:tcW w:w="9643" w:type="dxa"/>
            <w:gridSpan w:val="5"/>
          </w:tcPr>
          <w:p w:rsidR="00124E6E" w:rsidRPr="003C7EF7" w:rsidRDefault="00124E6E" w:rsidP="00124E6E">
            <w:pPr>
              <w:spacing w:before="40" w:after="40"/>
              <w:rPr>
                <w:color w:val="000000"/>
                <w:lang w:val="fr-FR"/>
              </w:rPr>
            </w:pPr>
            <w:r w:rsidRPr="003C7EF7">
              <w:rPr>
                <w:lang w:val="fr-FR"/>
              </w:rPr>
              <w:t xml:space="preserve">L’emballage extérieur doit satisfaire au niveau d’épreuve du groupe d’emballage I pour les matières solides. </w:t>
            </w:r>
          </w:p>
        </w:tc>
      </w:tr>
      <w:tr w:rsidR="00124E6E" w:rsidRPr="008A3492" w:rsidTr="00124E6E">
        <w:trPr>
          <w:trHeight w:val="360"/>
        </w:trPr>
        <w:tc>
          <w:tcPr>
            <w:tcW w:w="9643" w:type="dxa"/>
            <w:gridSpan w:val="5"/>
            <w:tcBorders>
              <w:top w:val="single" w:sz="4" w:space="0" w:color="000000"/>
              <w:bottom w:val="nil"/>
            </w:tcBorders>
            <w:vAlign w:val="center"/>
          </w:tcPr>
          <w:p w:rsidR="00124E6E" w:rsidRPr="003C7EF7" w:rsidRDefault="00124E6E" w:rsidP="00124E6E">
            <w:pPr>
              <w:ind w:left="284" w:hanging="284"/>
              <w:rPr>
                <w:lang w:val="fr-FR"/>
              </w:rPr>
            </w:pPr>
            <w:r w:rsidRPr="003C7EF7">
              <w:rPr>
                <w:b/>
                <w:bCs/>
                <w:lang w:val="fr-FR"/>
              </w:rPr>
              <w:t>Dispositions supplémentaires :</w:t>
            </w:r>
          </w:p>
          <w:p w:rsidR="00124E6E" w:rsidRPr="003C7EF7" w:rsidRDefault="00124E6E" w:rsidP="00124E6E">
            <w:pPr>
              <w:ind w:left="284" w:hanging="284"/>
              <w:rPr>
                <w:color w:val="000000"/>
                <w:lang w:val="fr-FR"/>
              </w:rPr>
            </w:pPr>
            <w:r w:rsidRPr="003C7EF7">
              <w:rPr>
                <w:lang w:val="fr-FR"/>
              </w:rPr>
              <w:t>1.</w:t>
            </w:r>
            <w:r w:rsidRPr="003C7EF7">
              <w:rPr>
                <w:lang w:val="fr-FR"/>
              </w:rPr>
              <w:tab/>
              <w:t>Les objets fragiles doivent être contenus soit dans des emballages intérieurs rigides, soit dans des emballages intermédiaires rigides.</w:t>
            </w:r>
          </w:p>
        </w:tc>
      </w:tr>
      <w:tr w:rsidR="00124E6E" w:rsidRPr="008A3492" w:rsidTr="00124E6E">
        <w:trPr>
          <w:trHeight w:val="360"/>
        </w:trPr>
        <w:tc>
          <w:tcPr>
            <w:tcW w:w="9643" w:type="dxa"/>
            <w:gridSpan w:val="5"/>
            <w:tcBorders>
              <w:top w:val="nil"/>
              <w:bottom w:val="nil"/>
            </w:tcBorders>
            <w:vAlign w:val="center"/>
          </w:tcPr>
          <w:p w:rsidR="00124E6E" w:rsidRPr="003C7EF7" w:rsidRDefault="00124E6E" w:rsidP="00124E6E">
            <w:pPr>
              <w:ind w:left="284" w:hanging="284"/>
              <w:rPr>
                <w:color w:val="000000"/>
                <w:lang w:val="fr-FR"/>
              </w:rPr>
            </w:pPr>
            <w:r w:rsidRPr="003C7EF7">
              <w:rPr>
                <w:lang w:val="fr-FR"/>
              </w:rPr>
              <w:t>2.</w:t>
            </w:r>
            <w:r w:rsidRPr="003C7EF7">
              <w:rPr>
                <w:lang w:val="fr-FR"/>
              </w:rPr>
              <w:tab/>
              <w:t>Les emballages intérieurs contenant des objets tranchants ou pointus tels que du verre brisé et des aiguilles doivent être rigides et résistants à la perforation.</w:t>
            </w:r>
          </w:p>
        </w:tc>
      </w:tr>
      <w:tr w:rsidR="00124E6E" w:rsidRPr="008A3492" w:rsidTr="00124E6E">
        <w:trPr>
          <w:trHeight w:val="360"/>
        </w:trPr>
        <w:tc>
          <w:tcPr>
            <w:tcW w:w="9643" w:type="dxa"/>
            <w:gridSpan w:val="5"/>
            <w:tcBorders>
              <w:top w:val="nil"/>
              <w:bottom w:val="nil"/>
            </w:tcBorders>
            <w:vAlign w:val="center"/>
          </w:tcPr>
          <w:p w:rsidR="00124E6E" w:rsidRPr="003C7EF7" w:rsidRDefault="00124E6E" w:rsidP="00124E6E">
            <w:pPr>
              <w:ind w:left="284" w:hanging="284"/>
              <w:rPr>
                <w:color w:val="000000"/>
                <w:lang w:val="fr-FR"/>
              </w:rPr>
            </w:pPr>
            <w:r w:rsidRPr="003C7EF7">
              <w:rPr>
                <w:lang w:val="fr-FR"/>
              </w:rPr>
              <w:t>3.</w:t>
            </w:r>
            <w:r w:rsidRPr="003C7EF7">
              <w:rPr>
                <w:lang w:val="fr-FR"/>
              </w:rPr>
              <w:tab/>
              <w:t>L’emballage intérieur, l’emballage intermédiaire et l’emballage extérieur doivent être capables de retenir les liquides.</w:t>
            </w:r>
            <w:r w:rsidRPr="003C7EF7">
              <w:rPr>
                <w:rFonts w:ascii="inherit" w:hAnsi="inherit"/>
                <w:color w:val="212121"/>
                <w:lang w:val="fr-FR"/>
              </w:rPr>
              <w:t xml:space="preserve"> Les emballages ext</w:t>
            </w:r>
            <w:r w:rsidRPr="003C7EF7">
              <w:rPr>
                <w:rFonts w:ascii="inherit" w:hAnsi="inherit" w:hint="eastAsia"/>
                <w:color w:val="212121"/>
                <w:lang w:val="fr-FR"/>
              </w:rPr>
              <w:t>é</w:t>
            </w:r>
            <w:r w:rsidRPr="003C7EF7">
              <w:rPr>
                <w:rFonts w:ascii="inherit" w:hAnsi="inherit"/>
                <w:color w:val="212121"/>
                <w:lang w:val="fr-FR"/>
              </w:rPr>
              <w:t xml:space="preserve">rieurs qui ne sont pas capables de retenir les liquides par construction doivent </w:t>
            </w:r>
            <w:r w:rsidRPr="003C7EF7">
              <w:rPr>
                <w:rFonts w:ascii="inherit" w:hAnsi="inherit" w:hint="eastAsia"/>
                <w:color w:val="212121"/>
                <w:lang w:val="fr-FR"/>
              </w:rPr>
              <w:t>ê</w:t>
            </w:r>
            <w:r w:rsidRPr="003C7EF7">
              <w:rPr>
                <w:rFonts w:ascii="inherit" w:hAnsi="inherit"/>
                <w:color w:val="212121"/>
                <w:lang w:val="fr-FR"/>
              </w:rPr>
              <w:t xml:space="preserve">tre </w:t>
            </w:r>
            <w:r w:rsidRPr="003C7EF7">
              <w:rPr>
                <w:rFonts w:ascii="inherit" w:hAnsi="inherit" w:hint="eastAsia"/>
                <w:color w:val="212121"/>
                <w:lang w:val="fr-FR"/>
              </w:rPr>
              <w:t>é</w:t>
            </w:r>
            <w:r w:rsidRPr="003C7EF7">
              <w:rPr>
                <w:rFonts w:ascii="inherit" w:hAnsi="inherit"/>
                <w:color w:val="212121"/>
                <w:lang w:val="fr-FR"/>
              </w:rPr>
              <w:t>quip</w:t>
            </w:r>
            <w:r w:rsidRPr="003C7EF7">
              <w:rPr>
                <w:rFonts w:ascii="inherit" w:hAnsi="inherit" w:hint="eastAsia"/>
                <w:color w:val="212121"/>
                <w:lang w:val="fr-FR"/>
              </w:rPr>
              <w:t>é</w:t>
            </w:r>
            <w:r w:rsidRPr="003C7EF7">
              <w:rPr>
                <w:rFonts w:ascii="inherit" w:hAnsi="inherit"/>
                <w:color w:val="212121"/>
                <w:lang w:val="fr-FR"/>
              </w:rPr>
              <w:t>s d'une doublure ou faire l</w:t>
            </w:r>
            <w:r w:rsidRPr="003C7EF7">
              <w:rPr>
                <w:rFonts w:ascii="inherit" w:hAnsi="inherit" w:hint="eastAsia"/>
                <w:color w:val="212121"/>
                <w:lang w:val="fr-FR"/>
              </w:rPr>
              <w:t>’</w:t>
            </w:r>
            <w:r w:rsidRPr="003C7EF7">
              <w:rPr>
                <w:rFonts w:ascii="inherit" w:hAnsi="inherit"/>
                <w:color w:val="212121"/>
                <w:lang w:val="fr-FR"/>
              </w:rPr>
              <w:t>objet de mesures appropri</w:t>
            </w:r>
            <w:r w:rsidRPr="003C7EF7">
              <w:rPr>
                <w:rFonts w:ascii="inherit" w:hAnsi="inherit" w:hint="eastAsia"/>
                <w:color w:val="212121"/>
                <w:lang w:val="fr-FR"/>
              </w:rPr>
              <w:t>é</w:t>
            </w:r>
            <w:r w:rsidRPr="003C7EF7">
              <w:rPr>
                <w:rFonts w:ascii="inherit" w:hAnsi="inherit"/>
                <w:color w:val="212121"/>
                <w:lang w:val="fr-FR"/>
              </w:rPr>
              <w:t>es afin de permettre la r</w:t>
            </w:r>
            <w:r w:rsidRPr="003C7EF7">
              <w:rPr>
                <w:rFonts w:ascii="inherit" w:hAnsi="inherit" w:hint="eastAsia"/>
                <w:color w:val="212121"/>
                <w:lang w:val="fr-FR"/>
              </w:rPr>
              <w:t>é</w:t>
            </w:r>
            <w:r w:rsidRPr="003C7EF7">
              <w:rPr>
                <w:rFonts w:ascii="inherit" w:hAnsi="inherit"/>
                <w:color w:val="212121"/>
                <w:lang w:val="fr-FR"/>
              </w:rPr>
              <w:t>tention des liquides.</w:t>
            </w:r>
          </w:p>
        </w:tc>
      </w:tr>
      <w:tr w:rsidR="00124E6E" w:rsidRPr="008A3492" w:rsidTr="00124E6E">
        <w:trPr>
          <w:trHeight w:val="360"/>
        </w:trPr>
        <w:tc>
          <w:tcPr>
            <w:tcW w:w="9643" w:type="dxa"/>
            <w:gridSpan w:val="5"/>
            <w:tcBorders>
              <w:top w:val="nil"/>
              <w:bottom w:val="nil"/>
            </w:tcBorders>
            <w:vAlign w:val="center"/>
          </w:tcPr>
          <w:p w:rsidR="00124E6E" w:rsidRPr="003C7EF7" w:rsidRDefault="00124E6E" w:rsidP="00124E6E">
            <w:pPr>
              <w:ind w:left="284" w:hanging="284"/>
              <w:rPr>
                <w:lang w:val="fr-FR"/>
              </w:rPr>
            </w:pPr>
            <w:r w:rsidRPr="003C7EF7">
              <w:rPr>
                <w:lang w:val="fr-FR"/>
              </w:rPr>
              <w:t>4.</w:t>
            </w:r>
            <w:r w:rsidRPr="003C7EF7">
              <w:rPr>
                <w:lang w:val="fr-FR"/>
              </w:rPr>
              <w:tab/>
              <w:t xml:space="preserve">L’emballage intérieur et l’emballage intermédiaire peuvent être souples. Lorsque des emballages souples sont utilisés, ils doivent satisfaire à l’épreuve de résistance aux chocs à au moins 165 g suivant la norme ISO 7765-1:1988 « Films et feuilles de plastique − Détermination de la résistance au choc par la méthode par chute libre de projectile − Partie 1 : Méthodes dites de l’“escalier” » et satisfaire à l’épreuve de résistance à la déchirure à au moins 480 g sur des plans perpendiculaires et parallèles au plan longitudinal du sac suivant la norme ISO 6383-2:1983 « Films et feuilles de plastique − Détermination de la résistance au déchirement − Partie 2 : Méthode </w:t>
            </w:r>
            <w:proofErr w:type="spellStart"/>
            <w:r w:rsidRPr="003C7EF7">
              <w:rPr>
                <w:lang w:val="fr-FR"/>
              </w:rPr>
              <w:t>Elmendorf</w:t>
            </w:r>
            <w:proofErr w:type="spellEnd"/>
            <w:r w:rsidRPr="003C7EF7">
              <w:rPr>
                <w:lang w:val="fr-FR"/>
              </w:rPr>
              <w:t> ». La masse nette maximale de chaque emballage intérieur souple doit être de 30 kg.</w:t>
            </w:r>
          </w:p>
        </w:tc>
      </w:tr>
      <w:tr w:rsidR="00124E6E" w:rsidRPr="008A3492" w:rsidTr="00124E6E">
        <w:trPr>
          <w:trHeight w:val="360"/>
        </w:trPr>
        <w:tc>
          <w:tcPr>
            <w:tcW w:w="9643" w:type="dxa"/>
            <w:gridSpan w:val="5"/>
            <w:tcBorders>
              <w:top w:val="nil"/>
              <w:bottom w:val="nil"/>
            </w:tcBorders>
            <w:vAlign w:val="center"/>
          </w:tcPr>
          <w:p w:rsidR="00124E6E" w:rsidRPr="003C7EF7" w:rsidRDefault="00124E6E" w:rsidP="00124E6E">
            <w:pPr>
              <w:ind w:left="284" w:hanging="284"/>
              <w:rPr>
                <w:lang w:val="fr-FR"/>
              </w:rPr>
            </w:pPr>
            <w:r w:rsidRPr="003C7EF7">
              <w:rPr>
                <w:lang w:val="fr-FR"/>
              </w:rPr>
              <w:t>5.</w:t>
            </w:r>
            <w:r w:rsidRPr="003C7EF7">
              <w:rPr>
                <w:lang w:val="fr-FR"/>
              </w:rPr>
              <w:tab/>
              <w:t>Chaque emballage intermédiaire souple ne doit contenir qu’un seul emballage intérieur.</w:t>
            </w:r>
          </w:p>
        </w:tc>
      </w:tr>
      <w:tr w:rsidR="00124E6E" w:rsidRPr="008A3492" w:rsidTr="00124E6E">
        <w:trPr>
          <w:trHeight w:val="360"/>
        </w:trPr>
        <w:tc>
          <w:tcPr>
            <w:tcW w:w="9643" w:type="dxa"/>
            <w:gridSpan w:val="5"/>
            <w:tcBorders>
              <w:top w:val="nil"/>
              <w:bottom w:val="nil"/>
            </w:tcBorders>
            <w:vAlign w:val="center"/>
          </w:tcPr>
          <w:p w:rsidR="00124E6E" w:rsidRPr="003C7EF7" w:rsidRDefault="00124E6E" w:rsidP="00124E6E">
            <w:pPr>
              <w:ind w:left="284" w:hanging="284"/>
              <w:rPr>
                <w:lang w:val="fr-FR"/>
              </w:rPr>
            </w:pPr>
            <w:r w:rsidRPr="003C7EF7">
              <w:rPr>
                <w:lang w:val="fr-FR"/>
              </w:rPr>
              <w:t>6.</w:t>
            </w:r>
            <w:r w:rsidRPr="003C7EF7">
              <w:rPr>
                <w:lang w:val="fr-FR"/>
              </w:rPr>
              <w:tab/>
              <w:t>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résistant aux températures et aux vibrations susceptibles de se produire dans des conditions normales de transport doit être utilisé.</w:t>
            </w:r>
          </w:p>
        </w:tc>
      </w:tr>
      <w:tr w:rsidR="00124E6E" w:rsidRPr="008A3492" w:rsidTr="00124E6E">
        <w:trPr>
          <w:trHeight w:val="363"/>
        </w:trPr>
        <w:tc>
          <w:tcPr>
            <w:tcW w:w="9643" w:type="dxa"/>
            <w:gridSpan w:val="5"/>
            <w:tcBorders>
              <w:top w:val="nil"/>
              <w:bottom w:val="single" w:sz="4" w:space="0" w:color="auto"/>
            </w:tcBorders>
            <w:vAlign w:val="center"/>
          </w:tcPr>
          <w:p w:rsidR="00124E6E" w:rsidRPr="003C7EF7" w:rsidRDefault="00124E6E" w:rsidP="00124E6E">
            <w:pPr>
              <w:ind w:left="284" w:hanging="284"/>
              <w:rPr>
                <w:lang w:val="fr-FR"/>
              </w:rPr>
            </w:pPr>
            <w:r w:rsidRPr="003C7EF7">
              <w:rPr>
                <w:lang w:val="fr-FR"/>
              </w:rPr>
              <w:t xml:space="preserve">7. </w:t>
            </w:r>
            <w:r w:rsidRPr="003C7EF7">
              <w:rPr>
                <w:lang w:val="fr-FR"/>
              </w:rPr>
              <w:tab/>
              <w:t>Les emballages intermédiaires doivent être placés dans des emballages extérieurs avec interposition de matières de rembourrage appropriées ou de matériau absorbant.</w:t>
            </w:r>
          </w:p>
        </w:tc>
      </w:tr>
    </w:tbl>
    <w:p w:rsidR="002C7B99" w:rsidRDefault="002C7B99" w:rsidP="002C7B99">
      <w:pPr>
        <w:pStyle w:val="SingleTxtG"/>
        <w:spacing w:before="120"/>
      </w:pPr>
    </w:p>
    <w:p w:rsidR="002C7B99" w:rsidRDefault="002C7B99">
      <w:pPr>
        <w:suppressAutoHyphens w:val="0"/>
        <w:kinsoku/>
        <w:overflowPunct/>
        <w:autoSpaceDE/>
        <w:autoSpaceDN/>
        <w:adjustRightInd/>
        <w:snapToGrid/>
        <w:spacing w:after="200" w:line="276" w:lineRule="auto"/>
      </w:pPr>
      <w:r>
        <w:br w:type="page"/>
      </w:r>
    </w:p>
    <w:p w:rsidR="00124E6E" w:rsidRDefault="00124E6E" w:rsidP="002C7B99">
      <w:pPr>
        <w:pStyle w:val="SingleTxtG"/>
        <w:tabs>
          <w:tab w:val="left" w:pos="2268"/>
        </w:tabs>
        <w:spacing w:before="120"/>
      </w:pPr>
      <w:r>
        <w:lastRenderedPageBreak/>
        <w:t>4.1.4.1, P801</w:t>
      </w:r>
      <w:r>
        <w:tab/>
        <w:t>Modifier pour lire comme suit :</w:t>
      </w:r>
    </w:p>
    <w:tbl>
      <w:tblPr>
        <w:tblW w:w="9643" w:type="dxa"/>
        <w:tblInd w:w="54" w:type="dxa"/>
        <w:tblLayout w:type="fixed"/>
        <w:tblCellMar>
          <w:left w:w="56" w:type="dxa"/>
          <w:right w:w="56" w:type="dxa"/>
        </w:tblCellMar>
        <w:tblLook w:val="0000" w:firstRow="0" w:lastRow="0" w:firstColumn="0" w:lastColumn="0" w:noHBand="0" w:noVBand="0"/>
      </w:tblPr>
      <w:tblGrid>
        <w:gridCol w:w="855"/>
        <w:gridCol w:w="7938"/>
        <w:gridCol w:w="850"/>
      </w:tblGrid>
      <w:tr w:rsidR="00124E6E" w:rsidRPr="00077C40" w:rsidTr="00124E6E">
        <w:tc>
          <w:tcPr>
            <w:tcW w:w="855" w:type="dxa"/>
            <w:tcBorders>
              <w:top w:val="single" w:sz="8" w:space="0" w:color="000000"/>
              <w:left w:val="single" w:sz="8" w:space="0" w:color="000000"/>
              <w:bottom w:val="single" w:sz="8" w:space="0" w:color="000000"/>
            </w:tcBorders>
          </w:tcPr>
          <w:p w:rsidR="00124E6E" w:rsidRPr="006164F2" w:rsidRDefault="00124E6E" w:rsidP="00124E6E">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r w:rsidRPr="006164F2">
              <w:rPr>
                <w:lang w:val="fr-FR"/>
              </w:rPr>
              <w:br w:type="page"/>
            </w:r>
            <w:r w:rsidRPr="006164F2">
              <w:rPr>
                <w:b/>
                <w:lang w:val="fr-FR"/>
              </w:rPr>
              <w:t>P801</w:t>
            </w:r>
          </w:p>
        </w:tc>
        <w:tc>
          <w:tcPr>
            <w:tcW w:w="7938" w:type="dxa"/>
            <w:tcBorders>
              <w:top w:val="single" w:sz="8" w:space="0" w:color="000000"/>
              <w:left w:val="nil"/>
              <w:bottom w:val="single" w:sz="8" w:space="0" w:color="000000"/>
            </w:tcBorders>
          </w:tcPr>
          <w:p w:rsidR="00124E6E" w:rsidRPr="006164F2" w:rsidRDefault="00124E6E" w:rsidP="00124E6E">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center"/>
              <w:rPr>
                <w:b/>
                <w:bCs/>
                <w:lang w:val="fr-FR"/>
              </w:rPr>
            </w:pPr>
            <w:r w:rsidRPr="006164F2">
              <w:rPr>
                <w:b/>
                <w:bCs/>
                <w:lang w:val="fr-FR"/>
              </w:rPr>
              <w:t xml:space="preserve">INSTRUCTION D'EMBALLAGE </w:t>
            </w:r>
          </w:p>
        </w:tc>
        <w:tc>
          <w:tcPr>
            <w:tcW w:w="850" w:type="dxa"/>
            <w:tcBorders>
              <w:top w:val="single" w:sz="8" w:space="0" w:color="000000"/>
              <w:bottom w:val="single" w:sz="8" w:space="0" w:color="000000"/>
              <w:right w:val="single" w:sz="8" w:space="0" w:color="000000"/>
            </w:tcBorders>
          </w:tcPr>
          <w:p w:rsidR="00124E6E" w:rsidRPr="006164F2" w:rsidRDefault="00124E6E" w:rsidP="00124E6E">
            <w:pPr>
              <w:pageBreakBefore/>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6164F2">
              <w:rPr>
                <w:b/>
                <w:lang w:val="fr-FR"/>
              </w:rPr>
              <w:t>P801</w:t>
            </w:r>
          </w:p>
        </w:tc>
      </w:tr>
      <w:tr w:rsidR="00124E6E" w:rsidRPr="00077C40" w:rsidTr="00124E6E">
        <w:tc>
          <w:tcPr>
            <w:tcW w:w="9643" w:type="dxa"/>
            <w:gridSpan w:val="3"/>
            <w:tcBorders>
              <w:top w:val="single" w:sz="8" w:space="0" w:color="000000"/>
              <w:left w:val="single" w:sz="8" w:space="0" w:color="000000"/>
              <w:bottom w:val="single" w:sz="8" w:space="0" w:color="000000"/>
              <w:right w:val="single" w:sz="8" w:space="0" w:color="000000"/>
            </w:tcBorders>
          </w:tcPr>
          <w:p w:rsidR="00124E6E" w:rsidRPr="00314AFD" w:rsidRDefault="00124E6E" w:rsidP="00124E6E">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314AFD">
              <w:rPr>
                <w:lang w:val="fr-FR"/>
              </w:rPr>
              <w:t>Cette instruction s'applique aux Nos ONU 2794, 2795 et 3028</w:t>
            </w:r>
            <w:r>
              <w:rPr>
                <w:lang w:val="fr-FR"/>
              </w:rPr>
              <w:t xml:space="preserve"> et aux accumulateurs usagés du No ONU 2800</w:t>
            </w:r>
            <w:r w:rsidRPr="00314AFD">
              <w:rPr>
                <w:lang w:val="fr-FR"/>
              </w:rPr>
              <w:t>.</w:t>
            </w:r>
          </w:p>
        </w:tc>
      </w:tr>
      <w:tr w:rsidR="00124E6E" w:rsidRPr="00077C40" w:rsidTr="00124E6E">
        <w:tc>
          <w:tcPr>
            <w:tcW w:w="9643" w:type="dxa"/>
            <w:gridSpan w:val="3"/>
            <w:tcBorders>
              <w:top w:val="single" w:sz="8" w:space="0" w:color="000000"/>
              <w:left w:val="single" w:sz="8" w:space="0" w:color="000000"/>
              <w:right w:val="single" w:sz="8" w:space="0" w:color="000000"/>
            </w:tcBorders>
          </w:tcPr>
          <w:p w:rsidR="00124E6E" w:rsidRPr="00BC0C32" w:rsidRDefault="00124E6E" w:rsidP="00124E6E">
            <w:pPr>
              <w:tabs>
                <w:tab w:val="left" w:pos="1418"/>
                <w:tab w:val="left" w:pos="1985"/>
                <w:tab w:val="left" w:pos="2552"/>
                <w:tab w:val="left" w:pos="3119"/>
                <w:tab w:val="left" w:pos="3686"/>
                <w:tab w:val="left" w:pos="4253"/>
                <w:tab w:val="left" w:pos="4820"/>
              </w:tabs>
              <w:suppressAutoHyphens w:val="0"/>
              <w:spacing w:before="24" w:after="24" w:line="240" w:lineRule="auto"/>
              <w:jc w:val="both"/>
              <w:rPr>
                <w:lang w:val="fr-FR"/>
              </w:rPr>
            </w:pPr>
            <w:r w:rsidRPr="00314AFD">
              <w:rPr>
                <w:lang w:val="fr-FR"/>
              </w:rPr>
              <w:t xml:space="preserve">Les emballages suivants sont autorisés s'il est satisfait aux dispositions générales des </w:t>
            </w:r>
            <w:r w:rsidRPr="00314AFD">
              <w:rPr>
                <w:b/>
                <w:lang w:val="fr-FR"/>
              </w:rPr>
              <w:t>4.</w:t>
            </w:r>
            <w:r w:rsidRPr="005D05E7">
              <w:rPr>
                <w:b/>
                <w:lang w:val="fr-FR"/>
              </w:rPr>
              <w:t>1.1</w:t>
            </w:r>
            <w:r w:rsidRPr="0032639F">
              <w:rPr>
                <w:b/>
                <w:lang w:val="fr-FR"/>
              </w:rPr>
              <w:t>.1</w:t>
            </w:r>
            <w:r w:rsidRPr="0032639F">
              <w:rPr>
                <w:lang w:val="fr-FR"/>
              </w:rPr>
              <w:t xml:space="preserve">, </w:t>
            </w:r>
            <w:r w:rsidRPr="0032639F">
              <w:rPr>
                <w:b/>
                <w:bCs/>
                <w:lang w:val="fr-FR"/>
              </w:rPr>
              <w:t>4.1.1.2</w:t>
            </w:r>
            <w:r w:rsidRPr="00232720">
              <w:rPr>
                <w:lang w:val="fr-FR"/>
              </w:rPr>
              <w:t xml:space="preserve">, </w:t>
            </w:r>
            <w:r w:rsidRPr="00232720">
              <w:rPr>
                <w:b/>
                <w:bCs/>
                <w:lang w:val="fr-FR"/>
              </w:rPr>
              <w:t>4.1.1.6</w:t>
            </w:r>
            <w:r w:rsidRPr="00B324E0">
              <w:rPr>
                <w:lang w:val="fr-FR"/>
              </w:rPr>
              <w:t xml:space="preserve"> et </w:t>
            </w:r>
            <w:r w:rsidRPr="00676C37">
              <w:rPr>
                <w:b/>
                <w:lang w:val="fr-FR"/>
              </w:rPr>
              <w:t>4.1.3</w:t>
            </w:r>
            <w:r w:rsidRPr="00BC0C32">
              <w:rPr>
                <w:lang w:val="fr-FR"/>
              </w:rPr>
              <w:t>:</w:t>
            </w:r>
          </w:p>
        </w:tc>
      </w:tr>
      <w:tr w:rsidR="00124E6E" w:rsidRPr="00077C40" w:rsidTr="00124E6E">
        <w:tc>
          <w:tcPr>
            <w:tcW w:w="9643" w:type="dxa"/>
            <w:gridSpan w:val="3"/>
            <w:tcBorders>
              <w:left w:val="single" w:sz="8" w:space="0" w:color="000000"/>
              <w:right w:val="single" w:sz="8" w:space="0" w:color="000000"/>
            </w:tcBorders>
          </w:tcPr>
          <w:p w:rsidR="00124E6E" w:rsidRPr="0032639F"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314AFD">
              <w:rPr>
                <w:lang w:val="fr-FR"/>
              </w:rPr>
              <w:t>1)</w:t>
            </w:r>
            <w:r w:rsidRPr="00314AFD">
              <w:rPr>
                <w:lang w:val="fr-FR"/>
              </w:rPr>
              <w:tab/>
              <w:t>Emballages extérieurs rigides, harasses en bois ou p</w:t>
            </w:r>
            <w:r w:rsidRPr="005D05E7">
              <w:rPr>
                <w:lang w:val="fr-FR"/>
              </w:rPr>
              <w:t>alettes</w:t>
            </w:r>
            <w:r w:rsidRPr="0032639F">
              <w:rPr>
                <w:lang w:val="fr-FR"/>
              </w:rPr>
              <w:t>.</w:t>
            </w:r>
          </w:p>
        </w:tc>
      </w:tr>
      <w:tr w:rsidR="00124E6E" w:rsidRPr="00077C40" w:rsidTr="00124E6E">
        <w:tc>
          <w:tcPr>
            <w:tcW w:w="9643" w:type="dxa"/>
            <w:gridSpan w:val="3"/>
            <w:tcBorders>
              <w:left w:val="single" w:sz="8" w:space="0" w:color="000000"/>
              <w:right w:val="single" w:sz="8" w:space="0" w:color="000000"/>
            </w:tcBorders>
          </w:tcPr>
          <w:p w:rsidR="00124E6E" w:rsidRPr="00314AFD"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En outre, les conditions suivantes doivent être remplies :</w:t>
            </w:r>
          </w:p>
        </w:tc>
      </w:tr>
      <w:tr w:rsidR="00124E6E" w:rsidRPr="00077C40" w:rsidTr="00124E6E">
        <w:tc>
          <w:tcPr>
            <w:tcW w:w="9643" w:type="dxa"/>
            <w:gridSpan w:val="3"/>
            <w:tcBorders>
              <w:left w:val="single" w:sz="8" w:space="0" w:color="000000"/>
              <w:right w:val="single" w:sz="8" w:space="0" w:color="000000"/>
            </w:tcBorders>
          </w:tcPr>
          <w:p w:rsidR="00124E6E" w:rsidRPr="00232720"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 xml:space="preserve">a) </w:t>
            </w:r>
            <w:r w:rsidRPr="00314AFD">
              <w:rPr>
                <w:lang w:val="fr-FR"/>
              </w:rPr>
              <w:tab/>
              <w:t>Les accumulateurs empilés doivent être placés sur plusieurs niveaux séparés par une couche en matériau non conducteur d’électricité</w:t>
            </w:r>
            <w:r w:rsidRPr="00232720">
              <w:rPr>
                <w:lang w:val="fr-FR"/>
              </w:rPr>
              <w:t xml:space="preserve"> ;</w:t>
            </w:r>
          </w:p>
        </w:tc>
      </w:tr>
      <w:tr w:rsidR="00124E6E" w:rsidRPr="00077C40" w:rsidTr="00124E6E">
        <w:tc>
          <w:tcPr>
            <w:tcW w:w="9643" w:type="dxa"/>
            <w:gridSpan w:val="3"/>
            <w:tcBorders>
              <w:left w:val="single" w:sz="8" w:space="0" w:color="000000"/>
              <w:right w:val="single" w:sz="8" w:space="0" w:color="000000"/>
            </w:tcBorders>
          </w:tcPr>
          <w:p w:rsidR="00124E6E" w:rsidRPr="00232720"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 xml:space="preserve">b) </w:t>
            </w:r>
            <w:r w:rsidRPr="00314AFD">
              <w:rPr>
                <w:lang w:val="fr-FR"/>
              </w:rPr>
              <w:tab/>
              <w:t>Les bornes des accumulateurs ne doivent pas supporter le poids d’autres éléments qui leur seraient superposés</w:t>
            </w:r>
            <w:r w:rsidRPr="00232720">
              <w:rPr>
                <w:lang w:val="fr-FR"/>
              </w:rPr>
              <w:t xml:space="preserve"> ;</w:t>
            </w:r>
          </w:p>
        </w:tc>
      </w:tr>
      <w:tr w:rsidR="00124E6E" w:rsidRPr="00077C40" w:rsidTr="00124E6E">
        <w:tc>
          <w:tcPr>
            <w:tcW w:w="9643" w:type="dxa"/>
            <w:gridSpan w:val="3"/>
            <w:tcBorders>
              <w:left w:val="single" w:sz="8" w:space="0" w:color="000000"/>
              <w:right w:val="single" w:sz="8" w:space="0" w:color="000000"/>
            </w:tcBorders>
          </w:tcPr>
          <w:p w:rsidR="00124E6E" w:rsidRPr="00314AFD"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 xml:space="preserve">c) </w:t>
            </w:r>
            <w:r w:rsidRPr="00314AFD">
              <w:rPr>
                <w:lang w:val="fr-FR"/>
              </w:rPr>
              <w:tab/>
              <w:t>Les accumulateurs doivent être emballés ou assujettis de manière à empêcher tout mouvement accidentel ;</w:t>
            </w:r>
          </w:p>
        </w:tc>
      </w:tr>
      <w:tr w:rsidR="00124E6E" w:rsidRPr="00077C40" w:rsidTr="00124E6E">
        <w:tc>
          <w:tcPr>
            <w:tcW w:w="9643" w:type="dxa"/>
            <w:gridSpan w:val="3"/>
            <w:tcBorders>
              <w:left w:val="single" w:sz="8" w:space="0" w:color="000000"/>
              <w:right w:val="single" w:sz="8" w:space="0" w:color="000000"/>
            </w:tcBorders>
          </w:tcPr>
          <w:p w:rsidR="00124E6E" w:rsidRPr="00B324E0"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 xml:space="preserve">d) </w:t>
            </w:r>
            <w:r w:rsidRPr="00314AFD">
              <w:rPr>
                <w:lang w:val="fr-FR"/>
              </w:rPr>
              <w:tab/>
              <w:t>Les accumulateurs ne doivent présenter aucune fuite dans des conditions normales de transport ou des mesures appropriées doivent être prises pour empêcher toute fuite d’électrolyte du colis (par exemple l’emballage individuel des accumulat</w:t>
            </w:r>
            <w:r w:rsidRPr="00232720">
              <w:rPr>
                <w:lang w:val="fr-FR"/>
              </w:rPr>
              <w:t xml:space="preserve">eurs ou d’autres moyens tout aussi efficaces) </w:t>
            </w:r>
            <w:r w:rsidRPr="00B324E0">
              <w:rPr>
                <w:lang w:val="fr-FR"/>
              </w:rPr>
              <w:t>; et</w:t>
            </w:r>
          </w:p>
        </w:tc>
      </w:tr>
      <w:tr w:rsidR="00124E6E" w:rsidRPr="00077C40" w:rsidTr="00124E6E">
        <w:tc>
          <w:tcPr>
            <w:tcW w:w="9643" w:type="dxa"/>
            <w:gridSpan w:val="3"/>
            <w:tcBorders>
              <w:left w:val="single" w:sz="8" w:space="0" w:color="000000"/>
              <w:right w:val="single" w:sz="8" w:space="0" w:color="000000"/>
            </w:tcBorders>
          </w:tcPr>
          <w:p w:rsidR="00124E6E" w:rsidRPr="00314AFD"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 xml:space="preserve">e) </w:t>
            </w:r>
            <w:r w:rsidRPr="00314AFD">
              <w:rPr>
                <w:lang w:val="fr-FR"/>
              </w:rPr>
              <w:tab/>
              <w:t>Les accumulateurs doivent être protégés des courts-circuits.</w:t>
            </w:r>
          </w:p>
        </w:tc>
      </w:tr>
      <w:tr w:rsidR="00124E6E" w:rsidRPr="0016645D" w:rsidTr="00124E6E">
        <w:tc>
          <w:tcPr>
            <w:tcW w:w="9643" w:type="dxa"/>
            <w:gridSpan w:val="3"/>
            <w:tcBorders>
              <w:left w:val="single" w:sz="8" w:space="0" w:color="000000"/>
              <w:right w:val="single" w:sz="8" w:space="0" w:color="000000"/>
            </w:tcBorders>
          </w:tcPr>
          <w:p w:rsidR="00124E6E" w:rsidRPr="00314AFD"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513" w:hanging="513"/>
              <w:jc w:val="both"/>
              <w:rPr>
                <w:lang w:val="fr-FR"/>
              </w:rPr>
            </w:pPr>
            <w:r w:rsidRPr="00314AFD">
              <w:rPr>
                <w:lang w:val="fr-FR"/>
              </w:rPr>
              <w:t>2)</w:t>
            </w:r>
            <w:r w:rsidRPr="00314AFD">
              <w:rPr>
                <w:lang w:val="fr-FR"/>
              </w:rPr>
              <w:tab/>
              <w:t>Des bacs d’acier inoxydable ou de plastique peuvent aussi être utilisés pour le transport des accumulateurs usagés.</w:t>
            </w:r>
          </w:p>
        </w:tc>
      </w:tr>
      <w:tr w:rsidR="00124E6E" w:rsidRPr="0016645D" w:rsidTr="00124E6E">
        <w:tc>
          <w:tcPr>
            <w:tcW w:w="9643" w:type="dxa"/>
            <w:gridSpan w:val="3"/>
            <w:tcBorders>
              <w:left w:val="single" w:sz="8" w:space="0" w:color="000000"/>
              <w:right w:val="single" w:sz="8" w:space="0" w:color="000000"/>
            </w:tcBorders>
          </w:tcPr>
          <w:p w:rsidR="00124E6E" w:rsidRPr="00314AFD"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En outre, les conditions suivantes doivent être remplies :</w:t>
            </w:r>
          </w:p>
        </w:tc>
      </w:tr>
      <w:tr w:rsidR="00124E6E" w:rsidRPr="0016645D" w:rsidTr="00124E6E">
        <w:tc>
          <w:tcPr>
            <w:tcW w:w="9643" w:type="dxa"/>
            <w:gridSpan w:val="3"/>
            <w:tcBorders>
              <w:left w:val="single" w:sz="8" w:space="0" w:color="000000"/>
              <w:right w:val="single" w:sz="8" w:space="0" w:color="000000"/>
            </w:tcBorders>
          </w:tcPr>
          <w:p w:rsidR="00124E6E" w:rsidRPr="00232720"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a)</w:t>
            </w:r>
            <w:r w:rsidRPr="00314AFD">
              <w:rPr>
                <w:lang w:val="fr-FR"/>
              </w:rPr>
              <w:tab/>
              <w:t xml:space="preserve">Les bacs doivent être résistants aux électrolytes </w:t>
            </w:r>
            <w:r>
              <w:rPr>
                <w:lang w:val="fr-FR"/>
              </w:rPr>
              <w:t>[</w:t>
            </w:r>
            <w:r w:rsidRPr="00314AFD">
              <w:rPr>
                <w:lang w:val="fr-FR"/>
              </w:rPr>
              <w:t>qui étaient</w:t>
            </w:r>
            <w:r>
              <w:rPr>
                <w:lang w:val="fr-FR"/>
              </w:rPr>
              <w:t>]</w:t>
            </w:r>
            <w:r w:rsidRPr="00314AFD">
              <w:rPr>
                <w:lang w:val="fr-FR"/>
              </w:rPr>
              <w:t xml:space="preserve"> contenus dans les accumulate</w:t>
            </w:r>
            <w:r w:rsidRPr="0032639F">
              <w:rPr>
                <w:lang w:val="fr-FR"/>
              </w:rPr>
              <w:t>urs ;</w:t>
            </w:r>
          </w:p>
        </w:tc>
      </w:tr>
      <w:tr w:rsidR="00124E6E" w:rsidRPr="0016645D" w:rsidTr="00124E6E">
        <w:tc>
          <w:tcPr>
            <w:tcW w:w="9643" w:type="dxa"/>
            <w:gridSpan w:val="3"/>
            <w:tcBorders>
              <w:left w:val="single" w:sz="8" w:space="0" w:color="000000"/>
              <w:right w:val="single" w:sz="8" w:space="0" w:color="000000"/>
            </w:tcBorders>
          </w:tcPr>
          <w:p w:rsidR="00124E6E" w:rsidRPr="005D05E7"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b)</w:t>
            </w:r>
            <w:r w:rsidRPr="00314AFD">
              <w:rPr>
                <w:lang w:val="fr-FR"/>
              </w:rPr>
              <w:tab/>
              <w:t>La hauteur de chargement des accumulateurs ne doit pas dépasser le bord supérieur des parois des bacs ;</w:t>
            </w:r>
          </w:p>
        </w:tc>
      </w:tr>
      <w:tr w:rsidR="00124E6E" w:rsidRPr="0016645D" w:rsidTr="00124E6E">
        <w:tc>
          <w:tcPr>
            <w:tcW w:w="9643" w:type="dxa"/>
            <w:gridSpan w:val="3"/>
            <w:tcBorders>
              <w:left w:val="single" w:sz="8" w:space="0" w:color="000000"/>
              <w:right w:val="single" w:sz="8" w:space="0" w:color="000000"/>
            </w:tcBorders>
          </w:tcPr>
          <w:p w:rsidR="00124E6E" w:rsidRPr="00B324E0"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c)</w:t>
            </w:r>
            <w:r w:rsidRPr="00314AFD">
              <w:rPr>
                <w:lang w:val="fr-FR"/>
              </w:rPr>
              <w:tab/>
              <w:t xml:space="preserve">Aucun résidu de l’électrolyte </w:t>
            </w:r>
            <w:r>
              <w:rPr>
                <w:lang w:val="fr-FR"/>
              </w:rPr>
              <w:t>[</w:t>
            </w:r>
            <w:r w:rsidRPr="00314AFD">
              <w:rPr>
                <w:lang w:val="fr-FR"/>
              </w:rPr>
              <w:t>contenu dans les accumulateurs</w:t>
            </w:r>
            <w:r>
              <w:rPr>
                <w:lang w:val="fr-FR"/>
              </w:rPr>
              <w:t>]</w:t>
            </w:r>
            <w:r w:rsidRPr="00314AFD">
              <w:rPr>
                <w:lang w:val="fr-FR"/>
              </w:rPr>
              <w:t xml:space="preserve"> ne doit adhérer à la surface extérieure des bacs</w:t>
            </w:r>
            <w:r w:rsidRPr="00232720">
              <w:rPr>
                <w:lang w:val="fr-FR"/>
              </w:rPr>
              <w:t xml:space="preserve"> ;</w:t>
            </w:r>
          </w:p>
        </w:tc>
      </w:tr>
      <w:tr w:rsidR="00124E6E" w:rsidRPr="0016645D" w:rsidTr="00124E6E">
        <w:tc>
          <w:tcPr>
            <w:tcW w:w="9643" w:type="dxa"/>
            <w:gridSpan w:val="3"/>
            <w:tcBorders>
              <w:left w:val="single" w:sz="8" w:space="0" w:color="000000"/>
              <w:right w:val="single" w:sz="8" w:space="0" w:color="000000"/>
            </w:tcBorders>
          </w:tcPr>
          <w:p w:rsidR="00124E6E" w:rsidRPr="00314AFD"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d)</w:t>
            </w:r>
            <w:r w:rsidRPr="00314AFD">
              <w:rPr>
                <w:lang w:val="fr-FR"/>
              </w:rPr>
              <w:tab/>
              <w:t>Dans les conditions normales de transport, il ne doit y avoir aucune fuite d’électrolyte des bacs ;</w:t>
            </w:r>
          </w:p>
        </w:tc>
      </w:tr>
      <w:tr w:rsidR="00124E6E" w:rsidRPr="0016645D" w:rsidTr="00124E6E">
        <w:tc>
          <w:tcPr>
            <w:tcW w:w="9643" w:type="dxa"/>
            <w:gridSpan w:val="3"/>
            <w:tcBorders>
              <w:left w:val="single" w:sz="8" w:space="0" w:color="000000"/>
              <w:right w:val="single" w:sz="8" w:space="0" w:color="000000"/>
            </w:tcBorders>
          </w:tcPr>
          <w:p w:rsidR="00124E6E" w:rsidRPr="005D05E7"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e)</w:t>
            </w:r>
            <w:r w:rsidRPr="00314AFD">
              <w:rPr>
                <w:lang w:val="fr-FR"/>
              </w:rPr>
              <w:tab/>
              <w:t xml:space="preserve">Des mesures doivent être prises pour que les bacs remplis ne puissent perdre de leur contenu ; </w:t>
            </w:r>
          </w:p>
        </w:tc>
      </w:tr>
      <w:tr w:rsidR="00124E6E" w:rsidRPr="0016645D" w:rsidTr="00124E6E">
        <w:tc>
          <w:tcPr>
            <w:tcW w:w="9643" w:type="dxa"/>
            <w:gridSpan w:val="3"/>
            <w:tcBorders>
              <w:left w:val="single" w:sz="8" w:space="0" w:color="000000"/>
              <w:right w:val="single" w:sz="8" w:space="0" w:color="000000"/>
            </w:tcBorders>
          </w:tcPr>
          <w:p w:rsidR="00124E6E" w:rsidRPr="00FF284B"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sidRPr="00314AFD">
              <w:rPr>
                <w:lang w:val="fr-FR"/>
              </w:rPr>
              <w:t>f)</w:t>
            </w:r>
            <w:r w:rsidRPr="00314AFD">
              <w:rPr>
                <w:lang w:val="fr-FR"/>
              </w:rPr>
              <w:tab/>
              <w:t xml:space="preserve">Des mesures doivent être prises pour éviter les courts-circuits (par exemple : les accumulateurs </w:t>
            </w:r>
            <w:r w:rsidRPr="005D05E7">
              <w:rPr>
                <w:lang w:val="fr-FR"/>
              </w:rPr>
              <w:t>sont déchargé</w:t>
            </w:r>
            <w:r w:rsidRPr="00232720">
              <w:rPr>
                <w:lang w:val="fr-FR"/>
              </w:rPr>
              <w:t xml:space="preserve">s, </w:t>
            </w:r>
            <w:r w:rsidRPr="00B324E0">
              <w:rPr>
                <w:lang w:val="fr-FR"/>
              </w:rPr>
              <w:t xml:space="preserve">protection individuelle des bornes </w:t>
            </w:r>
            <w:r w:rsidRPr="00676C37">
              <w:rPr>
                <w:lang w:val="fr-FR"/>
              </w:rPr>
              <w:t xml:space="preserve">des </w:t>
            </w:r>
            <w:r w:rsidRPr="00BC0C32">
              <w:rPr>
                <w:lang w:val="fr-FR"/>
              </w:rPr>
              <w:t xml:space="preserve">accumulateurs, </w:t>
            </w:r>
            <w:proofErr w:type="spellStart"/>
            <w:r w:rsidRPr="00BC0C32">
              <w:rPr>
                <w:lang w:val="fr-FR"/>
              </w:rPr>
              <w:t>etc</w:t>
            </w:r>
            <w:proofErr w:type="spellEnd"/>
            <w:r w:rsidRPr="00BC0C32">
              <w:rPr>
                <w:lang w:val="fr-FR"/>
              </w:rPr>
              <w:t>)</w:t>
            </w:r>
            <w:r>
              <w:rPr>
                <w:lang w:val="fr-FR"/>
              </w:rPr>
              <w:t> ; et</w:t>
            </w:r>
          </w:p>
        </w:tc>
      </w:tr>
      <w:tr w:rsidR="00124E6E" w:rsidRPr="0016645D" w:rsidTr="00124E6E">
        <w:tc>
          <w:tcPr>
            <w:tcW w:w="9643" w:type="dxa"/>
            <w:gridSpan w:val="3"/>
            <w:tcBorders>
              <w:left w:val="single" w:sz="8" w:space="0" w:color="000000"/>
              <w:right w:val="single" w:sz="8" w:space="0" w:color="000000"/>
            </w:tcBorders>
          </w:tcPr>
          <w:p w:rsidR="00124E6E"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r>
              <w:rPr>
                <w:lang w:val="fr-FR"/>
              </w:rPr>
              <w:t>g)</w:t>
            </w:r>
            <w:r w:rsidRPr="00314AFD">
              <w:rPr>
                <w:lang w:val="fr-FR"/>
              </w:rPr>
              <w:t xml:space="preserve"> </w:t>
            </w:r>
            <w:r w:rsidRPr="00314AFD">
              <w:rPr>
                <w:lang w:val="fr-FR"/>
              </w:rPr>
              <w:tab/>
            </w:r>
            <w:r w:rsidRPr="00AB7C1B">
              <w:rPr>
                <w:lang w:val="fr-FR"/>
              </w:rPr>
              <w:t xml:space="preserve">Les </w:t>
            </w:r>
            <w:r>
              <w:rPr>
                <w:lang w:val="fr-FR"/>
              </w:rPr>
              <w:t>bacs</w:t>
            </w:r>
            <w:r w:rsidRPr="00AB7C1B">
              <w:rPr>
                <w:lang w:val="fr-FR"/>
              </w:rPr>
              <w:t xml:space="preserve"> doivent </w:t>
            </w:r>
            <w:proofErr w:type="gramStart"/>
            <w:r w:rsidRPr="00AB7C1B">
              <w:rPr>
                <w:lang w:val="fr-FR"/>
              </w:rPr>
              <w:t>être:</w:t>
            </w:r>
            <w:proofErr w:type="gramEnd"/>
          </w:p>
          <w:p w:rsidR="00124E6E" w:rsidRPr="00AB7C1B" w:rsidRDefault="00124E6E" w:rsidP="00124E6E">
            <w:pPr>
              <w:tabs>
                <w:tab w:val="left" w:pos="513"/>
                <w:tab w:val="left" w:pos="1985"/>
                <w:tab w:val="left" w:pos="2552"/>
                <w:tab w:val="left" w:pos="3119"/>
                <w:tab w:val="left" w:pos="3686"/>
                <w:tab w:val="left" w:pos="4253"/>
                <w:tab w:val="left" w:pos="4820"/>
              </w:tabs>
              <w:suppressAutoHyphens w:val="0"/>
              <w:spacing w:before="24" w:after="24" w:line="240" w:lineRule="auto"/>
              <w:ind w:left="1539" w:hanging="513"/>
              <w:jc w:val="both"/>
              <w:rPr>
                <w:lang w:val="fr-FR"/>
              </w:rPr>
            </w:pPr>
            <w:r>
              <w:rPr>
                <w:lang w:val="fr-FR"/>
              </w:rPr>
              <w:t>i</w:t>
            </w:r>
            <w:r w:rsidRPr="00AB7C1B">
              <w:rPr>
                <w:lang w:val="fr-FR"/>
              </w:rPr>
              <w:t>)</w:t>
            </w:r>
            <w:r w:rsidRPr="00AB7C1B">
              <w:rPr>
                <w:lang w:val="fr-FR"/>
              </w:rPr>
              <w:tab/>
              <w:t xml:space="preserve">soit </w:t>
            </w:r>
            <w:proofErr w:type="gramStart"/>
            <w:r w:rsidRPr="00AB7C1B">
              <w:rPr>
                <w:lang w:val="fr-FR"/>
              </w:rPr>
              <w:t>couverts;</w:t>
            </w:r>
            <w:proofErr w:type="gramEnd"/>
          </w:p>
          <w:p w:rsidR="00124E6E" w:rsidRPr="00314AFD" w:rsidRDefault="00124E6E" w:rsidP="00124E6E">
            <w:pPr>
              <w:tabs>
                <w:tab w:val="left" w:pos="513"/>
                <w:tab w:val="left" w:pos="1985"/>
                <w:tab w:val="left" w:pos="2552"/>
                <w:tab w:val="left" w:pos="3119"/>
                <w:tab w:val="left" w:pos="3686"/>
                <w:tab w:val="left" w:pos="4253"/>
                <w:tab w:val="left" w:pos="4820"/>
              </w:tabs>
              <w:suppressAutoHyphens w:val="0"/>
              <w:spacing w:before="24" w:after="24" w:line="240" w:lineRule="auto"/>
              <w:ind w:left="1539" w:hanging="513"/>
              <w:jc w:val="both"/>
              <w:rPr>
                <w:lang w:val="fr-FR"/>
              </w:rPr>
            </w:pPr>
            <w:r>
              <w:rPr>
                <w:lang w:val="fr-FR"/>
              </w:rPr>
              <w:t>ii</w:t>
            </w:r>
            <w:r w:rsidRPr="00AB7C1B">
              <w:rPr>
                <w:lang w:val="fr-FR"/>
              </w:rPr>
              <w:t>)</w:t>
            </w:r>
            <w:r w:rsidRPr="00AB7C1B">
              <w:rPr>
                <w:lang w:val="fr-FR"/>
              </w:rPr>
              <w:tab/>
              <w:t xml:space="preserve">soit transportés dans des </w:t>
            </w:r>
            <w:r>
              <w:rPr>
                <w:lang w:val="fr-FR"/>
              </w:rPr>
              <w:t>wagons/</w:t>
            </w:r>
            <w:r w:rsidRPr="00AB7C1B">
              <w:rPr>
                <w:lang w:val="fr-FR"/>
              </w:rPr>
              <w:t>véhicules couverts ou bâchés ou dans des conteneurs fermés ou bâchés.</w:t>
            </w:r>
          </w:p>
        </w:tc>
      </w:tr>
      <w:tr w:rsidR="00124E6E" w:rsidRPr="00077C40" w:rsidTr="00124E6E">
        <w:tc>
          <w:tcPr>
            <w:tcW w:w="9643" w:type="dxa"/>
            <w:gridSpan w:val="3"/>
            <w:tcBorders>
              <w:left w:val="single" w:sz="8" w:space="0" w:color="000000"/>
              <w:bottom w:val="single" w:sz="8" w:space="0" w:color="000000"/>
              <w:right w:val="single" w:sz="8" w:space="0" w:color="000000"/>
            </w:tcBorders>
            <w:tcMar>
              <w:top w:w="57" w:type="dxa"/>
              <w:bottom w:w="57" w:type="dxa"/>
            </w:tcMar>
          </w:tcPr>
          <w:p w:rsidR="00124E6E" w:rsidRPr="00077C40" w:rsidRDefault="00124E6E" w:rsidP="00124E6E">
            <w:pPr>
              <w:tabs>
                <w:tab w:val="left" w:pos="513"/>
                <w:tab w:val="left" w:pos="1418"/>
                <w:tab w:val="left" w:pos="1985"/>
                <w:tab w:val="left" w:pos="2552"/>
                <w:tab w:val="left" w:pos="3119"/>
                <w:tab w:val="left" w:pos="3686"/>
                <w:tab w:val="left" w:pos="4253"/>
                <w:tab w:val="left" w:pos="4820"/>
              </w:tabs>
              <w:suppressAutoHyphens w:val="0"/>
              <w:spacing w:before="24" w:after="24" w:line="240" w:lineRule="auto"/>
              <w:ind w:left="1026" w:hanging="513"/>
              <w:jc w:val="both"/>
              <w:rPr>
                <w:lang w:val="fr-FR"/>
              </w:rPr>
            </w:pPr>
          </w:p>
        </w:tc>
      </w:tr>
    </w:tbl>
    <w:p w:rsidR="00361A7A" w:rsidRDefault="00124E6E" w:rsidP="002C7B99">
      <w:pPr>
        <w:pStyle w:val="SingleTxtG"/>
        <w:tabs>
          <w:tab w:val="left" w:pos="2268"/>
        </w:tabs>
        <w:spacing w:before="120"/>
        <w:ind w:left="2257" w:hanging="1123"/>
      </w:pPr>
      <w:r>
        <w:t>4.1.4.1, P801a</w:t>
      </w:r>
    </w:p>
    <w:p w:rsidR="00124E6E" w:rsidRDefault="00124E6E" w:rsidP="008A2A0E">
      <w:pPr>
        <w:pStyle w:val="SingleTxtG"/>
        <w:tabs>
          <w:tab w:val="left" w:pos="2268"/>
          <w:tab w:val="left" w:pos="4820"/>
        </w:tabs>
        <w:spacing w:before="120"/>
        <w:ind w:left="2257" w:hanging="1123"/>
      </w:pPr>
      <w:r>
        <w:tab/>
        <w:t>Supprimer et ajouter « P801a</w:t>
      </w:r>
      <w:r>
        <w:tab/>
      </w:r>
      <w:r>
        <w:rPr>
          <w:i/>
          <w:iCs/>
        </w:rPr>
        <w:t>Supprimée</w:t>
      </w:r>
      <w:r>
        <w:t> ».</w:t>
      </w:r>
    </w:p>
    <w:p w:rsidR="00124E6E" w:rsidRDefault="00124E6E" w:rsidP="00FE3F4F">
      <w:pPr>
        <w:pStyle w:val="SingleTxtG"/>
        <w:tabs>
          <w:tab w:val="left" w:pos="2268"/>
        </w:tabs>
        <w:ind w:left="2259" w:hanging="1125"/>
      </w:pPr>
      <w:r>
        <w:t>4.1.4.1, P903</w:t>
      </w:r>
      <w:r>
        <w:tab/>
        <w:t>Ajouter le nouveau Nota suivant sous le paragraphe 4) :</w:t>
      </w:r>
    </w:p>
    <w:p w:rsidR="00124E6E" w:rsidRPr="00604232" w:rsidRDefault="00361A7A" w:rsidP="00FE3F4F">
      <w:pPr>
        <w:pStyle w:val="SingleTxtG"/>
        <w:tabs>
          <w:tab w:val="left" w:pos="2268"/>
        </w:tabs>
        <w:ind w:left="2259" w:hanging="1125"/>
      </w:pPr>
      <w:r>
        <w:tab/>
      </w:r>
      <w:r w:rsidR="00124E6E">
        <w:t>« </w:t>
      </w:r>
      <w:r w:rsidR="00124E6E" w:rsidRPr="00AB7C1B">
        <w:rPr>
          <w:b/>
          <w:bCs/>
          <w:i/>
          <w:iCs/>
        </w:rPr>
        <w:t>NOTA :</w:t>
      </w:r>
      <w:r w:rsidR="00124E6E" w:rsidRPr="00AB7C1B">
        <w:rPr>
          <w:i/>
          <w:iCs/>
        </w:rPr>
        <w:t xml:space="preserve"> Pour un transport </w:t>
      </w:r>
      <w:r w:rsidR="00124E6E" w:rsidRPr="00AB7C1B">
        <w:rPr>
          <w:i/>
          <w:iCs/>
          <w:lang w:val="fr-FR"/>
        </w:rPr>
        <w:t xml:space="preserve">dans une chaîne de transport comportant un parcours aérien, </w:t>
      </w:r>
      <w:r w:rsidR="00124E6E" w:rsidRPr="00AB7C1B">
        <w:rPr>
          <w:i/>
          <w:iCs/>
        </w:rPr>
        <w:t>ces dispositifs, lorsqu'ils sont actifs, doivent satisfaire à des normes définies relatives à la radiation électromagnétique pour assurer que leur fonctionnement n'interfère pas avec les systèmes aériens.</w:t>
      </w:r>
      <w:r w:rsidR="00124E6E">
        <w:t> ».</w:t>
      </w:r>
    </w:p>
    <w:p w:rsidR="00124E6E" w:rsidRDefault="00124E6E" w:rsidP="00FE3F4F">
      <w:pPr>
        <w:pStyle w:val="SingleTxtG"/>
        <w:tabs>
          <w:tab w:val="left" w:pos="2268"/>
        </w:tabs>
        <w:ind w:left="2259" w:hanging="1125"/>
      </w:pPr>
      <w:r>
        <w:t>4.1.4.1, P903</w:t>
      </w:r>
      <w:r>
        <w:tab/>
        <w:t>Ajouter le nouveau paragraphe 5) suivant :</w:t>
      </w:r>
    </w:p>
    <w:p w:rsidR="00124E6E" w:rsidRPr="00604232" w:rsidRDefault="00361A7A" w:rsidP="00FE3F4F">
      <w:pPr>
        <w:pStyle w:val="SingleTxtG"/>
        <w:tabs>
          <w:tab w:val="left" w:pos="2268"/>
        </w:tabs>
        <w:ind w:left="2259" w:hanging="1125"/>
      </w:pPr>
      <w:r>
        <w:tab/>
      </w:r>
      <w:r w:rsidR="00124E6E" w:rsidRPr="00604232">
        <w:t>« 5)</w:t>
      </w:r>
      <w:r w:rsidR="00124E6E" w:rsidRPr="00604232">
        <w:tab/>
        <w:t>Pour les emballages contenant à la fois des piles ou batteries emballées avec un équipement et des piles ou batteries contenues dans un équipement :</w:t>
      </w:r>
    </w:p>
    <w:p w:rsidR="00124E6E" w:rsidRDefault="00124E6E" w:rsidP="00361A7A">
      <w:pPr>
        <w:pStyle w:val="SingleTxtG"/>
        <w:tabs>
          <w:tab w:val="left" w:pos="2268"/>
        </w:tabs>
        <w:ind w:left="3402" w:hanging="567"/>
      </w:pPr>
      <w:r>
        <w:t>a)</w:t>
      </w:r>
      <w:r>
        <w:tab/>
        <w:t xml:space="preserve">Pour les piles et les batteries, des emballages qui entourent complètement les piles ou les batteries, placés ensuite avec l'équipement dans un emballage conforme aux prescriptions du paragraphe 1) de la présente instruction d'emballage ; </w:t>
      </w:r>
      <w:proofErr w:type="gramStart"/>
      <w:r>
        <w:t>ou</w:t>
      </w:r>
      <w:proofErr w:type="gramEnd"/>
    </w:p>
    <w:p w:rsidR="00124E6E" w:rsidRDefault="00124E6E" w:rsidP="00361A7A">
      <w:pPr>
        <w:pStyle w:val="SingleTxtG"/>
        <w:tabs>
          <w:tab w:val="left" w:pos="2268"/>
        </w:tabs>
        <w:ind w:left="3402" w:hanging="567"/>
      </w:pPr>
      <w:r>
        <w:t>b)</w:t>
      </w:r>
      <w:r>
        <w:tab/>
        <w:t>Des emballages conformes aux prescriptions du paragraphe 1) de la présente instruction d'emballage, placés ensuite avec l'équipement dans un emballage extérieur robuste fabriqué</w:t>
      </w:r>
      <w:r w:rsidRPr="00F24C85">
        <w:t xml:space="preserve"> en un matériau approprié, présentant une</w:t>
      </w:r>
      <w:r>
        <w:t xml:space="preserve"> résistance suffisante et conçu</w:t>
      </w:r>
      <w:r w:rsidRPr="00F24C85">
        <w:t xml:space="preserve"> en fonction de </w:t>
      </w:r>
      <w:r>
        <w:t>sa</w:t>
      </w:r>
      <w:r w:rsidRPr="00F24C85">
        <w:t xml:space="preserve"> con</w:t>
      </w:r>
      <w:r>
        <w:t>tenance et de l'usage auquel il</w:t>
      </w:r>
      <w:r w:rsidRPr="00F24C85">
        <w:t xml:space="preserve"> </w:t>
      </w:r>
      <w:r>
        <w:t>est destiné</w:t>
      </w:r>
      <w:r w:rsidRPr="00F24C85">
        <w:t>.</w:t>
      </w:r>
      <w:r>
        <w:t xml:space="preserve"> Les emballages extérieurs doivent être construits de manière à empêcher tout fonctionnement accidentel pendant le transport et </w:t>
      </w:r>
      <w:r>
        <w:lastRenderedPageBreak/>
        <w:t>il n’est pas nécessaire qu’ils satisfassent aux dispositions du 4.1.1.3.</w:t>
      </w:r>
    </w:p>
    <w:p w:rsidR="00124E6E" w:rsidRDefault="00361A7A" w:rsidP="00FE3F4F">
      <w:pPr>
        <w:pStyle w:val="SingleTxtG"/>
        <w:tabs>
          <w:tab w:val="left" w:pos="2268"/>
        </w:tabs>
        <w:ind w:left="2259" w:hanging="1125"/>
      </w:pPr>
      <w:r>
        <w:tab/>
      </w:r>
      <w:r w:rsidR="00124E6E" w:rsidRPr="00987D7E">
        <w:t>L’équipement doit être protégé contre le mouvement à l’intérieur de l’emballage extérieur.</w:t>
      </w:r>
    </w:p>
    <w:p w:rsidR="00124E6E" w:rsidRDefault="00361A7A" w:rsidP="00FE3F4F">
      <w:pPr>
        <w:pStyle w:val="SingleTxtG"/>
        <w:tabs>
          <w:tab w:val="left" w:pos="2268"/>
        </w:tabs>
        <w:ind w:left="2259" w:hanging="1125"/>
      </w:pPr>
      <w:r>
        <w:tab/>
      </w:r>
      <w:r w:rsidR="00124E6E" w:rsidRPr="00987D7E">
        <w:t>Les dispositifs tels qu’étiquettes d’identification par radiofréquence, montres et enregistreurs de température, qui ne sont pas susceptibles de générer un dégagement dangereux de chaleur peuvent être transportés dans des emballages extérieurs robustes lorsqu'ils sont intentionnellement actifs.</w:t>
      </w:r>
    </w:p>
    <w:p w:rsidR="00124E6E" w:rsidRDefault="00361A7A" w:rsidP="00FE3F4F">
      <w:pPr>
        <w:pStyle w:val="SingleTxtG"/>
        <w:tabs>
          <w:tab w:val="left" w:pos="2268"/>
        </w:tabs>
        <w:ind w:left="2259" w:hanging="1125"/>
      </w:pPr>
      <w:r>
        <w:rPr>
          <w:b/>
          <w:bCs/>
          <w:i/>
          <w:iCs/>
        </w:rPr>
        <w:tab/>
      </w:r>
      <w:r w:rsidR="00124E6E" w:rsidRPr="00B37176">
        <w:rPr>
          <w:b/>
          <w:bCs/>
          <w:i/>
          <w:iCs/>
        </w:rPr>
        <w:t>NOTA :</w:t>
      </w:r>
      <w:r w:rsidR="00124E6E" w:rsidRPr="00B37176">
        <w:rPr>
          <w:i/>
          <w:iCs/>
        </w:rPr>
        <w:t xml:space="preserve"> Pour un transport </w:t>
      </w:r>
      <w:r w:rsidR="00124E6E" w:rsidRPr="00B37176">
        <w:rPr>
          <w:i/>
          <w:iCs/>
          <w:lang w:val="fr-FR"/>
        </w:rPr>
        <w:t xml:space="preserve">dans une chaîne de transport comportant un parcours aérien, </w:t>
      </w:r>
      <w:r w:rsidR="00124E6E" w:rsidRPr="00B37176">
        <w:rPr>
          <w:i/>
          <w:iCs/>
        </w:rPr>
        <w:t>ces dispositifs, lorsqu'ils sont actifs, doivent satisfaire à des normes définies relatives à la radiation électromagnétique pour assurer que leur fonctionnement n'interfère pas avec les systèmes aériens.</w:t>
      </w:r>
      <w:r w:rsidR="00124E6E">
        <w:t> ».</w:t>
      </w:r>
    </w:p>
    <w:p w:rsidR="00124E6E" w:rsidRDefault="00124E6E" w:rsidP="00FE3F4F">
      <w:pPr>
        <w:pStyle w:val="SingleTxtG"/>
        <w:tabs>
          <w:tab w:val="left" w:pos="2268"/>
        </w:tabs>
        <w:ind w:left="2259" w:hanging="1125"/>
      </w:pPr>
      <w:r w:rsidRPr="004C39EC">
        <w:t>4.1.4.1, P907</w:t>
      </w:r>
      <w:r>
        <w:tab/>
        <w:t>Remplacer la ligne de titre par « Cette instruction s’applique aux objets tels que machines, appareils ou dispositifs relevant du No ONU 3363 ».</w:t>
      </w:r>
    </w:p>
    <w:p w:rsidR="00124E6E" w:rsidRPr="0057171C" w:rsidRDefault="00361A7A" w:rsidP="00FE3F4F">
      <w:pPr>
        <w:pStyle w:val="SingleTxtG"/>
        <w:tabs>
          <w:tab w:val="left" w:pos="2268"/>
        </w:tabs>
        <w:ind w:left="2259" w:hanging="1125"/>
        <w:rPr>
          <w:lang w:val="fr-FR"/>
        </w:rPr>
      </w:pPr>
      <w:r>
        <w:tab/>
      </w:r>
      <w:r w:rsidR="00124E6E" w:rsidRPr="004C39EC">
        <w:t>Dans le texte figurant sous cette ligne de titre</w:t>
      </w:r>
      <w:r w:rsidR="00124E6E">
        <w:t>, d</w:t>
      </w:r>
      <w:r w:rsidR="00124E6E" w:rsidRPr="004C39EC">
        <w:t>ans la première phrase, remplacer « machines ou appareils » par « objets ». Dans la deuxième phrase, remplacer «</w:t>
      </w:r>
      <w:r w:rsidR="00124E6E">
        <w:t xml:space="preserve"> </w:t>
      </w:r>
      <w:r w:rsidR="00124E6E" w:rsidRPr="004C39EC">
        <w:t>des machines ou des appareils » par « des objets ». Dans la cinquième phrase, remplacer « dans la machine ou dans l’appareil » par « dans l’objet » et remplacer « en dehors de la machine ou de l'appareil » par « en dehors de l’objet ». Dans la sixième phrase, remplacer « de la machine ou de l’appareil » par « de l’objet ».</w:t>
      </w:r>
    </w:p>
    <w:p w:rsidR="00124E6E" w:rsidRDefault="00124E6E" w:rsidP="00FE3F4F">
      <w:pPr>
        <w:pStyle w:val="SingleTxtG"/>
        <w:tabs>
          <w:tab w:val="left" w:pos="2268"/>
        </w:tabs>
        <w:ind w:left="2259" w:hanging="1125"/>
      </w:pPr>
      <w:r w:rsidRPr="00A27026">
        <w:rPr>
          <w:b/>
        </w:rPr>
        <w:t>(ADR :)</w:t>
      </w:r>
      <w:r>
        <w:t xml:space="preserve"> </w:t>
      </w:r>
      <w:r w:rsidRPr="004C39EC">
        <w:t>4.1.4.</w:t>
      </w:r>
      <w:r>
        <w:t>2</w:t>
      </w:r>
      <w:r w:rsidRPr="004C39EC">
        <w:t xml:space="preserve">, </w:t>
      </w:r>
      <w:r>
        <w:t>IBC520</w:t>
      </w:r>
      <w:r w:rsidRPr="00B301AF">
        <w:t xml:space="preserve"> </w:t>
      </w:r>
      <w:r>
        <w:tab/>
      </w:r>
      <w:r w:rsidRPr="00CC6AA6">
        <w:t>Pour le No ONU 31</w:t>
      </w:r>
      <w:r>
        <w:t>1</w:t>
      </w:r>
      <w:r w:rsidRPr="00CC6AA6">
        <w:t>9,</w:t>
      </w:r>
      <w:r>
        <w:t xml:space="preserve"> i</w:t>
      </w:r>
      <w:r w:rsidRPr="00B301AF">
        <w:t>nsérer</w:t>
      </w:r>
      <w:r>
        <w:t xml:space="preserve">, dans l’ordre approprié, </w:t>
      </w:r>
      <w:r w:rsidRPr="00B301AF">
        <w:t>les nouvelles rubriques suivantes</w:t>
      </w:r>
      <w:r>
        <w:t> </w:t>
      </w:r>
      <w:r w:rsidRPr="00B301AF">
        <w:t>:</w:t>
      </w:r>
    </w:p>
    <w:tbl>
      <w:tblPr>
        <w:tblStyle w:val="TableGrid"/>
        <w:tblW w:w="8654" w:type="dxa"/>
        <w:tblInd w:w="985" w:type="dxa"/>
        <w:tblLayout w:type="fixed"/>
        <w:tblLook w:val="01E0" w:firstRow="1" w:lastRow="1" w:firstColumn="1" w:lastColumn="1" w:noHBand="0" w:noVBand="0"/>
      </w:tblPr>
      <w:tblGrid>
        <w:gridCol w:w="720"/>
        <w:gridCol w:w="3060"/>
        <w:gridCol w:w="1080"/>
        <w:gridCol w:w="1440"/>
        <w:gridCol w:w="1260"/>
        <w:gridCol w:w="1094"/>
      </w:tblGrid>
      <w:tr w:rsidR="00361A7A" w:rsidRPr="003B758F" w:rsidTr="00361A7A">
        <w:tc>
          <w:tcPr>
            <w:tcW w:w="720" w:type="dxa"/>
            <w:vMerge w:val="restart"/>
            <w:shd w:val="clear" w:color="auto" w:fill="auto"/>
          </w:tcPr>
          <w:p w:rsidR="00361A7A" w:rsidRPr="003B758F" w:rsidRDefault="00361A7A" w:rsidP="00361A7A">
            <w:pPr>
              <w:spacing w:before="40" w:after="120"/>
              <w:ind w:right="113"/>
              <w:rPr>
                <w:sz w:val="18"/>
                <w:szCs w:val="18"/>
              </w:rPr>
            </w:pPr>
          </w:p>
          <w:p w:rsidR="00361A7A" w:rsidRPr="003B758F" w:rsidRDefault="00361A7A" w:rsidP="00361A7A">
            <w:pPr>
              <w:spacing w:before="40" w:after="120"/>
              <w:ind w:right="113"/>
              <w:rPr>
                <w:sz w:val="18"/>
                <w:szCs w:val="18"/>
              </w:rPr>
            </w:pPr>
          </w:p>
        </w:tc>
        <w:tc>
          <w:tcPr>
            <w:tcW w:w="3060" w:type="dxa"/>
            <w:shd w:val="clear" w:color="auto" w:fill="auto"/>
            <w:vAlign w:val="bottom"/>
          </w:tcPr>
          <w:p w:rsidR="00361A7A" w:rsidRPr="003B758F" w:rsidRDefault="00361A7A" w:rsidP="00361A7A">
            <w:pPr>
              <w:spacing w:before="60" w:after="60" w:line="200" w:lineRule="exact"/>
              <w:ind w:left="57" w:right="57"/>
              <w:rPr>
                <w:rFonts w:asciiTheme="majorBidi" w:hAnsiTheme="majorBidi" w:cstheme="majorBidi"/>
                <w:sz w:val="16"/>
                <w:szCs w:val="16"/>
              </w:rPr>
            </w:pPr>
            <w:proofErr w:type="spellStart"/>
            <w:r w:rsidRPr="00361A7A">
              <w:rPr>
                <w:rFonts w:asciiTheme="majorBidi" w:hAnsiTheme="majorBidi" w:cstheme="majorBidi"/>
                <w:sz w:val="18"/>
                <w:szCs w:val="18"/>
              </w:rPr>
              <w:t>Peroxypivalate</w:t>
            </w:r>
            <w:proofErr w:type="spellEnd"/>
            <w:r w:rsidRPr="00361A7A">
              <w:rPr>
                <w:rFonts w:asciiTheme="majorBidi" w:hAnsiTheme="majorBidi" w:cstheme="majorBidi"/>
                <w:sz w:val="18"/>
                <w:szCs w:val="18"/>
              </w:rPr>
              <w:t xml:space="preserve"> de </w:t>
            </w:r>
            <w:proofErr w:type="spellStart"/>
            <w:r w:rsidRPr="00361A7A">
              <w:rPr>
                <w:rFonts w:asciiTheme="majorBidi" w:hAnsiTheme="majorBidi" w:cstheme="majorBidi"/>
                <w:sz w:val="18"/>
                <w:szCs w:val="18"/>
              </w:rPr>
              <w:t>tert</w:t>
            </w:r>
            <w:proofErr w:type="spellEnd"/>
            <w:r w:rsidRPr="00361A7A">
              <w:rPr>
                <w:rFonts w:asciiTheme="majorBidi" w:hAnsiTheme="majorBidi" w:cstheme="majorBidi"/>
                <w:sz w:val="18"/>
                <w:szCs w:val="18"/>
              </w:rPr>
              <w:t xml:space="preserve">-amyle, </w:t>
            </w:r>
            <w:r w:rsidRPr="00361A7A">
              <w:rPr>
                <w:rFonts w:asciiTheme="majorBidi" w:hAnsiTheme="majorBidi" w:cstheme="majorBidi"/>
                <w:sz w:val="18"/>
                <w:szCs w:val="18"/>
              </w:rPr>
              <w:br/>
              <w:t>à 42 % au plus en dispersion stable dans l’eau</w:t>
            </w:r>
          </w:p>
        </w:tc>
        <w:tc>
          <w:tcPr>
            <w:tcW w:w="1080" w:type="dxa"/>
            <w:shd w:val="clear" w:color="auto" w:fill="auto"/>
          </w:tcPr>
          <w:p w:rsidR="00361A7A" w:rsidRPr="003B758F" w:rsidRDefault="00361A7A" w:rsidP="00361A7A">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31HA1</w:t>
            </w:r>
          </w:p>
        </w:tc>
        <w:tc>
          <w:tcPr>
            <w:tcW w:w="1440" w:type="dxa"/>
            <w:shd w:val="clear" w:color="auto" w:fill="auto"/>
          </w:tcPr>
          <w:p w:rsidR="00361A7A" w:rsidRPr="003B758F" w:rsidRDefault="00361A7A" w:rsidP="00361A7A">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1 000</w:t>
            </w:r>
          </w:p>
        </w:tc>
        <w:tc>
          <w:tcPr>
            <w:tcW w:w="1260" w:type="dxa"/>
            <w:shd w:val="clear" w:color="auto" w:fill="auto"/>
          </w:tcPr>
          <w:p w:rsidR="00361A7A" w:rsidRPr="003B758F" w:rsidRDefault="00361A7A" w:rsidP="00361A7A">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0 ºC</w:t>
            </w:r>
          </w:p>
        </w:tc>
        <w:tc>
          <w:tcPr>
            <w:tcW w:w="1094" w:type="dxa"/>
            <w:shd w:val="clear" w:color="auto" w:fill="auto"/>
          </w:tcPr>
          <w:p w:rsidR="00361A7A" w:rsidRPr="003B758F" w:rsidRDefault="00361A7A" w:rsidP="00361A7A">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+10 ºC</w:t>
            </w:r>
          </w:p>
        </w:tc>
      </w:tr>
      <w:tr w:rsidR="00361A7A" w:rsidRPr="003B758F" w:rsidTr="00361A7A">
        <w:tc>
          <w:tcPr>
            <w:tcW w:w="720" w:type="dxa"/>
            <w:vMerge/>
            <w:shd w:val="clear" w:color="auto" w:fill="auto"/>
          </w:tcPr>
          <w:p w:rsidR="00361A7A" w:rsidRPr="003B758F" w:rsidRDefault="00361A7A" w:rsidP="00361A7A">
            <w:pPr>
              <w:spacing w:before="40" w:after="120"/>
              <w:ind w:right="113"/>
              <w:rPr>
                <w:sz w:val="18"/>
                <w:szCs w:val="18"/>
              </w:rPr>
            </w:pPr>
          </w:p>
        </w:tc>
        <w:tc>
          <w:tcPr>
            <w:tcW w:w="3060" w:type="dxa"/>
            <w:shd w:val="clear" w:color="auto" w:fill="auto"/>
            <w:vAlign w:val="bottom"/>
          </w:tcPr>
          <w:p w:rsidR="00361A7A" w:rsidRPr="003B758F" w:rsidRDefault="00361A7A" w:rsidP="00361A7A">
            <w:pPr>
              <w:spacing w:before="60" w:after="60" w:line="200" w:lineRule="exact"/>
              <w:ind w:left="57" w:right="57"/>
              <w:rPr>
                <w:rFonts w:asciiTheme="majorBidi" w:hAnsiTheme="majorBidi" w:cstheme="majorBidi"/>
                <w:sz w:val="16"/>
                <w:szCs w:val="16"/>
              </w:rPr>
            </w:pPr>
            <w:proofErr w:type="spellStart"/>
            <w:r w:rsidRPr="00361A7A">
              <w:rPr>
                <w:rFonts w:asciiTheme="majorBidi" w:hAnsiTheme="majorBidi" w:cstheme="majorBidi"/>
                <w:sz w:val="18"/>
                <w:szCs w:val="18"/>
              </w:rPr>
              <w:t>Peroxypivalate</w:t>
            </w:r>
            <w:proofErr w:type="spellEnd"/>
            <w:r w:rsidRPr="00361A7A">
              <w:rPr>
                <w:rFonts w:asciiTheme="majorBidi" w:hAnsiTheme="majorBidi" w:cstheme="majorBidi"/>
                <w:sz w:val="18"/>
                <w:szCs w:val="18"/>
              </w:rPr>
              <w:t xml:space="preserve"> de </w:t>
            </w:r>
            <w:proofErr w:type="spellStart"/>
            <w:r w:rsidRPr="00361A7A">
              <w:rPr>
                <w:rFonts w:asciiTheme="majorBidi" w:hAnsiTheme="majorBidi" w:cstheme="majorBidi"/>
                <w:sz w:val="18"/>
                <w:szCs w:val="18"/>
              </w:rPr>
              <w:t>tert</w:t>
            </w:r>
            <w:proofErr w:type="spellEnd"/>
            <w:r w:rsidRPr="00361A7A">
              <w:rPr>
                <w:rFonts w:asciiTheme="majorBidi" w:hAnsiTheme="majorBidi" w:cstheme="majorBidi"/>
                <w:sz w:val="18"/>
                <w:szCs w:val="18"/>
              </w:rPr>
              <w:t xml:space="preserve">-butyle, </w:t>
            </w:r>
            <w:r w:rsidRPr="00361A7A">
              <w:rPr>
                <w:rFonts w:asciiTheme="majorBidi" w:hAnsiTheme="majorBidi" w:cstheme="majorBidi"/>
                <w:sz w:val="18"/>
                <w:szCs w:val="18"/>
              </w:rPr>
              <w:br/>
              <w:t>à 42 % au plus dans un diluant de type A</w:t>
            </w:r>
          </w:p>
        </w:tc>
        <w:tc>
          <w:tcPr>
            <w:tcW w:w="1080" w:type="dxa"/>
            <w:shd w:val="clear" w:color="auto" w:fill="auto"/>
          </w:tcPr>
          <w:p w:rsidR="00361A7A" w:rsidRPr="003B758F" w:rsidRDefault="00361A7A" w:rsidP="00361A7A">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31HA1</w:t>
            </w:r>
            <w:r w:rsidRPr="003B758F">
              <w:rPr>
                <w:rFonts w:asciiTheme="majorBidi" w:hAnsiTheme="majorBidi" w:cstheme="majorBidi"/>
                <w:sz w:val="16"/>
                <w:szCs w:val="16"/>
              </w:rPr>
              <w:br/>
              <w:t>31A</w:t>
            </w:r>
          </w:p>
        </w:tc>
        <w:tc>
          <w:tcPr>
            <w:tcW w:w="1440" w:type="dxa"/>
            <w:shd w:val="clear" w:color="auto" w:fill="auto"/>
          </w:tcPr>
          <w:p w:rsidR="00361A7A" w:rsidRPr="003B758F" w:rsidRDefault="00361A7A" w:rsidP="00361A7A">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1 000</w:t>
            </w:r>
            <w:r w:rsidRPr="003B758F">
              <w:rPr>
                <w:rFonts w:asciiTheme="majorBidi" w:hAnsiTheme="majorBidi" w:cstheme="majorBidi"/>
                <w:sz w:val="16"/>
                <w:szCs w:val="16"/>
              </w:rPr>
              <w:br/>
              <w:t>1 250</w:t>
            </w:r>
          </w:p>
        </w:tc>
        <w:tc>
          <w:tcPr>
            <w:tcW w:w="1260" w:type="dxa"/>
            <w:shd w:val="clear" w:color="auto" w:fill="auto"/>
          </w:tcPr>
          <w:p w:rsidR="00361A7A" w:rsidRPr="003B758F" w:rsidRDefault="00361A7A" w:rsidP="00361A7A">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+10 ºC</w:t>
            </w:r>
            <w:r w:rsidRPr="003B758F">
              <w:rPr>
                <w:rFonts w:asciiTheme="majorBidi" w:hAnsiTheme="majorBidi" w:cstheme="majorBidi"/>
                <w:sz w:val="16"/>
                <w:szCs w:val="16"/>
              </w:rPr>
              <w:br/>
              <w:t>+10 ºC</w:t>
            </w:r>
          </w:p>
        </w:tc>
        <w:tc>
          <w:tcPr>
            <w:tcW w:w="1094" w:type="dxa"/>
            <w:shd w:val="clear" w:color="auto" w:fill="auto"/>
          </w:tcPr>
          <w:p w:rsidR="00361A7A" w:rsidRPr="003B758F" w:rsidRDefault="00361A7A" w:rsidP="00361A7A">
            <w:pPr>
              <w:spacing w:before="60" w:after="60" w:line="200" w:lineRule="exact"/>
              <w:ind w:left="57" w:right="57"/>
              <w:jc w:val="center"/>
              <w:rPr>
                <w:rFonts w:asciiTheme="majorBidi" w:hAnsiTheme="majorBidi" w:cstheme="majorBidi"/>
                <w:sz w:val="16"/>
                <w:szCs w:val="16"/>
              </w:rPr>
            </w:pPr>
            <w:r w:rsidRPr="003B758F">
              <w:rPr>
                <w:rFonts w:asciiTheme="majorBidi" w:hAnsiTheme="majorBidi" w:cstheme="majorBidi"/>
                <w:sz w:val="16"/>
                <w:szCs w:val="16"/>
              </w:rPr>
              <w:t>+15 ºC</w:t>
            </w:r>
            <w:r w:rsidRPr="003B758F">
              <w:rPr>
                <w:rFonts w:asciiTheme="majorBidi" w:hAnsiTheme="majorBidi" w:cstheme="majorBidi"/>
                <w:sz w:val="16"/>
                <w:szCs w:val="16"/>
              </w:rPr>
              <w:br/>
              <w:t>+15 ºC</w:t>
            </w:r>
          </w:p>
        </w:tc>
      </w:tr>
    </w:tbl>
    <w:p w:rsidR="00361A7A" w:rsidRDefault="00124E6E" w:rsidP="00361A7A">
      <w:pPr>
        <w:pStyle w:val="SingleTxtG"/>
        <w:tabs>
          <w:tab w:val="left" w:pos="2268"/>
        </w:tabs>
        <w:spacing w:before="120"/>
        <w:ind w:left="2257" w:hanging="1123"/>
      </w:pPr>
      <w:r>
        <w:t>4.1.4.3, LP200</w:t>
      </w:r>
    </w:p>
    <w:p w:rsidR="00124E6E" w:rsidRDefault="00124E6E" w:rsidP="00361A7A">
      <w:pPr>
        <w:pStyle w:val="SingleTxtG"/>
        <w:tabs>
          <w:tab w:val="left" w:pos="2268"/>
        </w:tabs>
        <w:spacing w:before="120"/>
        <w:ind w:left="2257" w:hanging="1123"/>
      </w:pPr>
      <w:r>
        <w:tab/>
        <w:t xml:space="preserve">Dans le texte d’introduction, remplacer « au No ONU 1950 » par « aux Nos ONU 1950 et 2037. ». </w:t>
      </w:r>
    </w:p>
    <w:p w:rsidR="00124E6E" w:rsidRDefault="00361A7A" w:rsidP="00FE3F4F">
      <w:pPr>
        <w:pStyle w:val="SingleTxtG"/>
        <w:tabs>
          <w:tab w:val="left" w:pos="2268"/>
        </w:tabs>
        <w:ind w:left="2259" w:hanging="1125"/>
      </w:pPr>
      <w:r>
        <w:tab/>
      </w:r>
      <w:r w:rsidR="00124E6E">
        <w:t>Au paragraphe suivant, remplacer « sont autorisés pour les aérosols » par « sont autorisés pour les aérosols et les cartouches à gaz ».</w:t>
      </w:r>
    </w:p>
    <w:p w:rsidR="00124E6E" w:rsidRDefault="00361A7A" w:rsidP="00FE3F4F">
      <w:pPr>
        <w:pStyle w:val="SingleTxtG"/>
        <w:tabs>
          <w:tab w:val="left" w:pos="2268"/>
        </w:tabs>
        <w:ind w:left="2259" w:hanging="1125"/>
      </w:pPr>
      <w:r>
        <w:tab/>
      </w:r>
      <w:r w:rsidR="00124E6E">
        <w:t xml:space="preserve">Dans la disposition spéciale d’emballage L2, après « tout mouvement dangereux » supprimer « des aérosols ». Modifier la dernière phrase pour lire comme suit : </w:t>
      </w:r>
      <w:r w:rsidR="00124E6E" w:rsidRPr="00DE3258">
        <w:t>« Pour les aérosols et les cartouches à gaz mis au rebut, transportés conformément à la disposition spéciale 327,</w:t>
      </w:r>
      <w:r w:rsidR="00124E6E" w:rsidRPr="009B0F44">
        <w:t xml:space="preserve"> les grands emballages</w:t>
      </w:r>
      <w:r w:rsidR="00124E6E" w:rsidRPr="009D5777">
        <w:t xml:space="preserve"> doivent être correctement ventilés afin d</w:t>
      </w:r>
      <w:r w:rsidR="00124E6E">
        <w:t>’</w:t>
      </w:r>
      <w:r w:rsidR="00124E6E" w:rsidRPr="009D5777">
        <w:t>empêcher la formation d</w:t>
      </w:r>
      <w:r w:rsidR="00124E6E">
        <w:t>’</w:t>
      </w:r>
      <w:r w:rsidR="00124E6E" w:rsidRPr="009D5777">
        <w:t>atmosphère</w:t>
      </w:r>
      <w:r w:rsidR="00124E6E" w:rsidRPr="00DE3258">
        <w:t>s</w:t>
      </w:r>
      <w:r w:rsidR="00124E6E" w:rsidRPr="009D5777">
        <w:t xml:space="preserve"> </w:t>
      </w:r>
      <w:r w:rsidR="00124E6E" w:rsidRPr="00DE3258">
        <w:t>dangereuses</w:t>
      </w:r>
      <w:r w:rsidR="00124E6E" w:rsidRPr="009D5777">
        <w:t xml:space="preserve"> et une </w:t>
      </w:r>
      <w:r w:rsidR="00124E6E">
        <w:t xml:space="preserve">augmentation </w:t>
      </w:r>
      <w:r w:rsidR="00124E6E" w:rsidRPr="009D5777">
        <w:t xml:space="preserve">de </w:t>
      </w:r>
      <w:r w:rsidR="00124E6E">
        <w:t xml:space="preserve">la </w:t>
      </w:r>
      <w:r w:rsidR="00124E6E" w:rsidRPr="009D5777">
        <w:t>pression</w:t>
      </w:r>
      <w:r w:rsidR="00124E6E" w:rsidRPr="009D5777">
        <w:rPr>
          <w:lang w:val="fr-FR"/>
        </w:rPr>
        <w:t>.</w:t>
      </w:r>
      <w:r w:rsidR="00124E6E">
        <w:rPr>
          <w:lang w:val="fr-FR"/>
        </w:rPr>
        <w:t xml:space="preserve"> ». </w:t>
      </w:r>
    </w:p>
    <w:p w:rsidR="00124E6E" w:rsidRDefault="00124E6E" w:rsidP="00124E6E">
      <w:pPr>
        <w:suppressAutoHyphens w:val="0"/>
        <w:spacing w:line="240" w:lineRule="auto"/>
        <w:rPr>
          <w:lang w:val="fr-FR"/>
        </w:rPr>
      </w:pPr>
      <w:r>
        <w:rPr>
          <w:lang w:val="fr-FR"/>
        </w:rPr>
        <w:br w:type="page"/>
      </w:r>
    </w:p>
    <w:p w:rsidR="00124E6E" w:rsidRPr="006B0E45" w:rsidRDefault="00124E6E" w:rsidP="00FE3F4F">
      <w:pPr>
        <w:pStyle w:val="SingleTxtG"/>
        <w:tabs>
          <w:tab w:val="left" w:pos="2268"/>
        </w:tabs>
        <w:ind w:left="2259" w:hanging="1125"/>
        <w:rPr>
          <w:lang w:val="fr-FR"/>
        </w:rPr>
      </w:pPr>
      <w:r w:rsidRPr="006B0E45">
        <w:rPr>
          <w:lang w:val="fr-FR"/>
        </w:rPr>
        <w:lastRenderedPageBreak/>
        <w:t>4.1.4.3</w:t>
      </w:r>
      <w:r w:rsidRPr="006B0E45">
        <w:rPr>
          <w:lang w:val="fr-FR"/>
        </w:rPr>
        <w:tab/>
      </w:r>
      <w:r>
        <w:rPr>
          <w:lang w:val="fr-FR"/>
        </w:rPr>
        <w:tab/>
      </w:r>
      <w:r w:rsidRPr="006B0E45">
        <w:rPr>
          <w:lang w:val="fr-FR"/>
        </w:rPr>
        <w:t>Ajouter la nouvelle instruction d’emballage LP622 suivante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2359"/>
        <w:gridCol w:w="3214"/>
        <w:gridCol w:w="2221"/>
        <w:gridCol w:w="994"/>
      </w:tblGrid>
      <w:tr w:rsidR="00124E6E" w:rsidRPr="008A3492" w:rsidTr="00124E6E">
        <w:tc>
          <w:tcPr>
            <w:tcW w:w="855" w:type="dxa"/>
            <w:tcBorders>
              <w:bottom w:val="single" w:sz="4" w:space="0" w:color="000000"/>
            </w:tcBorders>
          </w:tcPr>
          <w:p w:rsidR="00124E6E" w:rsidRPr="008A3492" w:rsidRDefault="00124E6E" w:rsidP="00124E6E">
            <w:pPr>
              <w:spacing w:before="60" w:after="60"/>
              <w:rPr>
                <w:b/>
                <w:bCs/>
                <w:color w:val="000000"/>
                <w:sz w:val="18"/>
                <w:szCs w:val="18"/>
                <w:lang w:val="fr-FR"/>
              </w:rPr>
            </w:pPr>
            <w:r w:rsidRPr="008A3492">
              <w:rPr>
                <w:b/>
                <w:bCs/>
                <w:sz w:val="18"/>
                <w:szCs w:val="18"/>
                <w:lang w:val="fr-FR"/>
              </w:rPr>
              <w:t>LP622</w:t>
            </w:r>
          </w:p>
        </w:tc>
        <w:tc>
          <w:tcPr>
            <w:tcW w:w="7794" w:type="dxa"/>
            <w:gridSpan w:val="3"/>
            <w:tcBorders>
              <w:bottom w:val="single" w:sz="4" w:space="0" w:color="000000"/>
            </w:tcBorders>
          </w:tcPr>
          <w:p w:rsidR="00124E6E" w:rsidRPr="008A3492" w:rsidRDefault="00124E6E" w:rsidP="00124E6E">
            <w:pPr>
              <w:spacing w:before="60" w:after="60"/>
              <w:jc w:val="center"/>
              <w:rPr>
                <w:b/>
                <w:bCs/>
                <w:color w:val="000000"/>
                <w:sz w:val="18"/>
                <w:szCs w:val="18"/>
                <w:lang w:val="fr-FR"/>
              </w:rPr>
            </w:pPr>
            <w:r w:rsidRPr="008A3492">
              <w:rPr>
                <w:b/>
                <w:bCs/>
                <w:sz w:val="18"/>
                <w:szCs w:val="18"/>
                <w:lang w:val="fr-FR"/>
              </w:rPr>
              <w:t>INSTRUCTION D’EMBALLAGE</w:t>
            </w:r>
          </w:p>
        </w:tc>
        <w:tc>
          <w:tcPr>
            <w:tcW w:w="994" w:type="dxa"/>
            <w:tcBorders>
              <w:bottom w:val="single" w:sz="4" w:space="0" w:color="000000"/>
            </w:tcBorders>
          </w:tcPr>
          <w:p w:rsidR="00124E6E" w:rsidRPr="008A3492" w:rsidRDefault="00124E6E" w:rsidP="00124E6E">
            <w:pPr>
              <w:spacing w:before="60" w:after="60"/>
              <w:rPr>
                <w:b/>
                <w:bCs/>
                <w:color w:val="000000"/>
                <w:sz w:val="18"/>
                <w:szCs w:val="18"/>
                <w:lang w:val="fr-FR"/>
              </w:rPr>
            </w:pPr>
            <w:r w:rsidRPr="008A3492">
              <w:rPr>
                <w:b/>
                <w:bCs/>
                <w:sz w:val="18"/>
                <w:szCs w:val="18"/>
                <w:lang w:val="fr-FR"/>
              </w:rPr>
              <w:t xml:space="preserve">      </w:t>
            </w:r>
            <w:r>
              <w:rPr>
                <w:b/>
                <w:bCs/>
                <w:sz w:val="18"/>
                <w:szCs w:val="18"/>
                <w:lang w:val="fr-FR"/>
              </w:rPr>
              <w:t xml:space="preserve">  </w:t>
            </w:r>
            <w:r w:rsidRPr="008A3492">
              <w:rPr>
                <w:b/>
                <w:bCs/>
                <w:sz w:val="18"/>
                <w:szCs w:val="18"/>
                <w:lang w:val="fr-FR"/>
              </w:rPr>
              <w:t>LP622</w:t>
            </w:r>
          </w:p>
        </w:tc>
      </w:tr>
      <w:tr w:rsidR="00124E6E" w:rsidRPr="008A3492" w:rsidTr="00124E6E">
        <w:tc>
          <w:tcPr>
            <w:tcW w:w="9643" w:type="dxa"/>
            <w:gridSpan w:val="5"/>
            <w:tcBorders>
              <w:top w:val="single" w:sz="4" w:space="0" w:color="000000"/>
              <w:bottom w:val="single" w:sz="4" w:space="0" w:color="000000"/>
            </w:tcBorders>
          </w:tcPr>
          <w:p w:rsidR="00124E6E" w:rsidRPr="008A3492" w:rsidRDefault="00124E6E" w:rsidP="00124E6E">
            <w:pPr>
              <w:spacing w:before="60" w:after="60"/>
              <w:rPr>
                <w:color w:val="000000"/>
                <w:sz w:val="18"/>
                <w:szCs w:val="18"/>
                <w:lang w:val="fr-FR"/>
              </w:rPr>
            </w:pPr>
            <w:r>
              <w:rPr>
                <w:sz w:val="18"/>
                <w:szCs w:val="18"/>
                <w:lang w:val="fr-FR"/>
              </w:rPr>
              <w:t>Cette</w:t>
            </w:r>
            <w:r w:rsidRPr="008A3492">
              <w:rPr>
                <w:sz w:val="18"/>
                <w:szCs w:val="18"/>
                <w:lang w:val="fr-FR"/>
              </w:rPr>
              <w:t xml:space="preserve"> instruction s’applique au</w:t>
            </w:r>
            <w:r>
              <w:rPr>
                <w:sz w:val="18"/>
                <w:szCs w:val="18"/>
                <w:lang w:val="fr-FR"/>
              </w:rPr>
              <w:t>x déchets du</w:t>
            </w:r>
            <w:r w:rsidRPr="008A3492">
              <w:rPr>
                <w:sz w:val="18"/>
                <w:szCs w:val="18"/>
                <w:lang w:val="fr-FR"/>
              </w:rPr>
              <w:t xml:space="preserve"> No ONU 3549</w:t>
            </w:r>
            <w:r>
              <w:rPr>
                <w:sz w:val="18"/>
                <w:szCs w:val="18"/>
                <w:lang w:val="fr-FR"/>
              </w:rPr>
              <w:t xml:space="preserve"> </w:t>
            </w:r>
            <w:r>
              <w:t>transportés en vue de leur élimination</w:t>
            </w:r>
            <w:r w:rsidRPr="008A3492">
              <w:rPr>
                <w:sz w:val="18"/>
                <w:szCs w:val="18"/>
                <w:lang w:val="fr-FR"/>
              </w:rPr>
              <w:t>.</w:t>
            </w:r>
          </w:p>
        </w:tc>
      </w:tr>
      <w:tr w:rsidR="00124E6E" w:rsidRPr="008A3492" w:rsidTr="00124E6E">
        <w:tc>
          <w:tcPr>
            <w:tcW w:w="9643" w:type="dxa"/>
            <w:gridSpan w:val="5"/>
            <w:tcBorders>
              <w:top w:val="single" w:sz="4" w:space="0" w:color="000000"/>
              <w:bottom w:val="single" w:sz="4" w:space="0" w:color="000000"/>
            </w:tcBorders>
          </w:tcPr>
          <w:p w:rsidR="00124E6E" w:rsidRPr="008A3492" w:rsidRDefault="00124E6E" w:rsidP="00124E6E">
            <w:pPr>
              <w:spacing w:before="60" w:after="60"/>
              <w:rPr>
                <w:color w:val="000000"/>
                <w:sz w:val="18"/>
                <w:szCs w:val="18"/>
                <w:lang w:val="fr-FR"/>
              </w:rPr>
            </w:pPr>
            <w:r w:rsidRPr="008A3492">
              <w:rPr>
                <w:sz w:val="18"/>
                <w:szCs w:val="18"/>
                <w:lang w:val="fr-FR"/>
              </w:rPr>
              <w:t xml:space="preserve">Les </w:t>
            </w:r>
            <w:r>
              <w:rPr>
                <w:sz w:val="18"/>
                <w:szCs w:val="18"/>
                <w:lang w:val="fr-FR"/>
              </w:rPr>
              <w:t xml:space="preserve">grands </w:t>
            </w:r>
            <w:r w:rsidRPr="008A3492">
              <w:rPr>
                <w:sz w:val="18"/>
                <w:szCs w:val="18"/>
                <w:lang w:val="fr-FR"/>
              </w:rPr>
              <w:t xml:space="preserve">emballages suivants sont autorisés s’il est satisfait aux dispositions générales des </w:t>
            </w:r>
            <w:r w:rsidRPr="008A3492">
              <w:rPr>
                <w:b/>
                <w:sz w:val="18"/>
                <w:szCs w:val="18"/>
                <w:lang w:val="fr-FR"/>
              </w:rPr>
              <w:t>4.1.1</w:t>
            </w:r>
            <w:r w:rsidRPr="008A3492">
              <w:rPr>
                <w:sz w:val="18"/>
                <w:szCs w:val="18"/>
                <w:lang w:val="fr-FR"/>
              </w:rPr>
              <w:t xml:space="preserve"> et </w:t>
            </w:r>
            <w:r w:rsidRPr="008A3492">
              <w:rPr>
                <w:b/>
                <w:sz w:val="18"/>
                <w:szCs w:val="18"/>
                <w:lang w:val="fr-FR"/>
              </w:rPr>
              <w:t>4.1.3</w:t>
            </w:r>
            <w:r w:rsidRPr="008A3492">
              <w:rPr>
                <w:sz w:val="18"/>
                <w:szCs w:val="18"/>
                <w:lang w:val="fr-FR"/>
              </w:rPr>
              <w:t> :</w:t>
            </w:r>
          </w:p>
        </w:tc>
      </w:tr>
      <w:tr w:rsidR="00124E6E" w:rsidRPr="008A3492" w:rsidTr="00124E6E">
        <w:tc>
          <w:tcPr>
            <w:tcW w:w="3214" w:type="dxa"/>
            <w:gridSpan w:val="2"/>
            <w:tcBorders>
              <w:top w:val="single" w:sz="4" w:space="0" w:color="000000"/>
              <w:bottom w:val="single" w:sz="4" w:space="0" w:color="000000"/>
              <w:right w:val="single" w:sz="4" w:space="0" w:color="auto"/>
            </w:tcBorders>
          </w:tcPr>
          <w:p w:rsidR="00124E6E" w:rsidRPr="008A3492" w:rsidRDefault="00124E6E" w:rsidP="00124E6E">
            <w:pPr>
              <w:spacing w:before="60" w:after="60"/>
              <w:rPr>
                <w:b/>
                <w:color w:val="000000"/>
                <w:sz w:val="18"/>
                <w:szCs w:val="18"/>
                <w:lang w:val="fr-FR"/>
              </w:rPr>
            </w:pPr>
            <w:r w:rsidRPr="008A3492">
              <w:rPr>
                <w:b/>
                <w:bCs/>
                <w:sz w:val="18"/>
                <w:szCs w:val="18"/>
                <w:lang w:val="fr-FR"/>
              </w:rPr>
              <w:t>Emballages intérieurs</w:t>
            </w:r>
          </w:p>
        </w:tc>
        <w:tc>
          <w:tcPr>
            <w:tcW w:w="3214" w:type="dxa"/>
            <w:tcBorders>
              <w:top w:val="single" w:sz="4" w:space="0" w:color="000000"/>
              <w:left w:val="single" w:sz="4" w:space="0" w:color="auto"/>
              <w:bottom w:val="single" w:sz="4" w:space="0" w:color="000000"/>
              <w:right w:val="single" w:sz="4" w:space="0" w:color="auto"/>
            </w:tcBorders>
          </w:tcPr>
          <w:p w:rsidR="00124E6E" w:rsidRPr="008A3492" w:rsidRDefault="00124E6E" w:rsidP="00124E6E">
            <w:pPr>
              <w:spacing w:before="60" w:after="60"/>
              <w:rPr>
                <w:b/>
                <w:color w:val="000000"/>
                <w:sz w:val="18"/>
                <w:szCs w:val="18"/>
                <w:lang w:val="fr-FR"/>
              </w:rPr>
            </w:pPr>
            <w:r w:rsidRPr="008A3492">
              <w:rPr>
                <w:b/>
                <w:bCs/>
                <w:sz w:val="18"/>
                <w:szCs w:val="18"/>
                <w:lang w:val="fr-FR"/>
              </w:rPr>
              <w:t>Emballages intermédiaires</w:t>
            </w:r>
          </w:p>
        </w:tc>
        <w:tc>
          <w:tcPr>
            <w:tcW w:w="3215" w:type="dxa"/>
            <w:gridSpan w:val="2"/>
            <w:tcBorders>
              <w:top w:val="single" w:sz="4" w:space="0" w:color="000000"/>
              <w:left w:val="single" w:sz="4" w:space="0" w:color="auto"/>
              <w:bottom w:val="single" w:sz="4" w:space="0" w:color="000000"/>
            </w:tcBorders>
          </w:tcPr>
          <w:p w:rsidR="00124E6E" w:rsidRPr="008A3492" w:rsidRDefault="00124E6E" w:rsidP="00124E6E">
            <w:pPr>
              <w:spacing w:before="60" w:after="60"/>
              <w:rPr>
                <w:b/>
                <w:color w:val="000000"/>
                <w:sz w:val="18"/>
                <w:szCs w:val="18"/>
                <w:lang w:val="fr-FR"/>
              </w:rPr>
            </w:pPr>
            <w:r w:rsidRPr="008A3492">
              <w:rPr>
                <w:b/>
                <w:bCs/>
                <w:sz w:val="18"/>
                <w:szCs w:val="18"/>
                <w:lang w:val="fr-FR"/>
              </w:rPr>
              <w:t>Emballages extérieurs</w:t>
            </w:r>
          </w:p>
        </w:tc>
      </w:tr>
      <w:tr w:rsidR="00124E6E" w:rsidRPr="008A3492" w:rsidTr="00124E6E">
        <w:trPr>
          <w:trHeight w:val="1394"/>
        </w:trPr>
        <w:tc>
          <w:tcPr>
            <w:tcW w:w="3214" w:type="dxa"/>
            <w:gridSpan w:val="2"/>
            <w:tcBorders>
              <w:top w:val="single" w:sz="4" w:space="0" w:color="000000"/>
              <w:bottom w:val="single" w:sz="4" w:space="0" w:color="000000"/>
              <w:right w:val="single" w:sz="4" w:space="0" w:color="auto"/>
            </w:tcBorders>
          </w:tcPr>
          <w:p w:rsidR="00124E6E" w:rsidRPr="008A3492" w:rsidRDefault="00124E6E" w:rsidP="00124E6E">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métal</w:t>
            </w:r>
          </w:p>
          <w:p w:rsidR="00124E6E" w:rsidRPr="008A3492" w:rsidRDefault="00124E6E" w:rsidP="00124E6E">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w:t>
            </w:r>
          </w:p>
        </w:tc>
        <w:tc>
          <w:tcPr>
            <w:tcW w:w="3214" w:type="dxa"/>
            <w:tcBorders>
              <w:top w:val="single" w:sz="4" w:space="0" w:color="000000"/>
              <w:left w:val="single" w:sz="4" w:space="0" w:color="auto"/>
              <w:bottom w:val="single" w:sz="4" w:space="0" w:color="000000"/>
              <w:right w:val="single" w:sz="4" w:space="0" w:color="auto"/>
            </w:tcBorders>
          </w:tcPr>
          <w:p w:rsidR="00124E6E" w:rsidRPr="008A3492" w:rsidRDefault="00124E6E" w:rsidP="00124E6E">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métal</w:t>
            </w:r>
          </w:p>
          <w:p w:rsidR="00124E6E" w:rsidRPr="008A3492" w:rsidRDefault="00124E6E" w:rsidP="00124E6E">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w:t>
            </w:r>
          </w:p>
        </w:tc>
        <w:tc>
          <w:tcPr>
            <w:tcW w:w="3215" w:type="dxa"/>
            <w:gridSpan w:val="2"/>
            <w:tcBorders>
              <w:top w:val="single" w:sz="4" w:space="0" w:color="000000"/>
              <w:left w:val="single" w:sz="4" w:space="0" w:color="auto"/>
              <w:bottom w:val="single" w:sz="4" w:space="0" w:color="000000"/>
            </w:tcBorders>
          </w:tcPr>
          <w:p w:rsidR="00124E6E" w:rsidRPr="008A3492" w:rsidRDefault="00124E6E" w:rsidP="00124E6E">
            <w:pPr>
              <w:spacing w:before="60" w:after="60"/>
              <w:rPr>
                <w:color w:val="000000"/>
                <w:sz w:val="18"/>
                <w:szCs w:val="18"/>
                <w:lang w:val="es-ES"/>
              </w:rPr>
            </w:pPr>
            <w:r w:rsidRPr="008A3492">
              <w:rPr>
                <w:sz w:val="18"/>
                <w:szCs w:val="18"/>
                <w:lang w:val="es-ES"/>
              </w:rPr>
              <w:t xml:space="preserve">en </w:t>
            </w:r>
            <w:proofErr w:type="spellStart"/>
            <w:r w:rsidRPr="008A3492">
              <w:rPr>
                <w:sz w:val="18"/>
                <w:szCs w:val="18"/>
                <w:lang w:val="es-ES"/>
              </w:rPr>
              <w:t>acier</w:t>
            </w:r>
            <w:proofErr w:type="spellEnd"/>
            <w:r w:rsidRPr="008A3492">
              <w:rPr>
                <w:sz w:val="18"/>
                <w:szCs w:val="18"/>
                <w:lang w:val="es-ES"/>
              </w:rPr>
              <w:t xml:space="preserve"> (50A)</w:t>
            </w:r>
          </w:p>
          <w:p w:rsidR="00124E6E" w:rsidRPr="008A3492" w:rsidRDefault="00124E6E" w:rsidP="00124E6E">
            <w:pPr>
              <w:spacing w:before="60" w:after="60"/>
              <w:rPr>
                <w:color w:val="000000"/>
                <w:sz w:val="18"/>
                <w:szCs w:val="18"/>
                <w:lang w:val="es-ES"/>
              </w:rPr>
            </w:pPr>
            <w:r w:rsidRPr="008A3492">
              <w:rPr>
                <w:sz w:val="18"/>
                <w:szCs w:val="18"/>
                <w:lang w:val="es-ES"/>
              </w:rPr>
              <w:t xml:space="preserve">en </w:t>
            </w:r>
            <w:proofErr w:type="spellStart"/>
            <w:r w:rsidRPr="008A3492">
              <w:rPr>
                <w:sz w:val="18"/>
                <w:szCs w:val="18"/>
                <w:lang w:val="es-ES"/>
              </w:rPr>
              <w:t>aluminium</w:t>
            </w:r>
            <w:proofErr w:type="spellEnd"/>
            <w:r w:rsidRPr="008A3492">
              <w:rPr>
                <w:sz w:val="18"/>
                <w:szCs w:val="18"/>
                <w:lang w:val="es-ES"/>
              </w:rPr>
              <w:t xml:space="preserve"> (50B)</w:t>
            </w:r>
          </w:p>
          <w:p w:rsidR="00124E6E" w:rsidRPr="008A3492" w:rsidRDefault="00124E6E" w:rsidP="00124E6E">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w:t>
            </w:r>
            <w:r>
              <w:rPr>
                <w:sz w:val="18"/>
                <w:szCs w:val="18"/>
                <w:lang w:val="fr-FR"/>
              </w:rPr>
              <w:t>m</w:t>
            </w:r>
            <w:r w:rsidRPr="00CD40DC">
              <w:rPr>
                <w:sz w:val="18"/>
                <w:szCs w:val="18"/>
                <w:lang w:val="fr-FR"/>
              </w:rPr>
              <w:t>étal autre que l’acier ou l’aluminium</w:t>
            </w:r>
            <w:r w:rsidRPr="008A3492">
              <w:rPr>
                <w:sz w:val="18"/>
                <w:szCs w:val="18"/>
                <w:lang w:val="fr-FR"/>
              </w:rPr>
              <w:t xml:space="preserve"> (50N)</w:t>
            </w:r>
          </w:p>
          <w:p w:rsidR="00124E6E" w:rsidRPr="008A3492" w:rsidRDefault="00124E6E" w:rsidP="00124E6E">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contreplaqué (50D)</w:t>
            </w:r>
          </w:p>
          <w:p w:rsidR="00124E6E" w:rsidRPr="008A3492" w:rsidRDefault="00124E6E" w:rsidP="00124E6E">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carton rigide (50G)</w:t>
            </w:r>
          </w:p>
          <w:p w:rsidR="00124E6E" w:rsidRPr="008A3492" w:rsidRDefault="00124E6E" w:rsidP="00124E6E">
            <w:pPr>
              <w:spacing w:before="60" w:after="60"/>
              <w:rPr>
                <w:color w:val="000000"/>
                <w:sz w:val="18"/>
                <w:szCs w:val="18"/>
                <w:lang w:val="fr-FR"/>
              </w:rPr>
            </w:pPr>
            <w:proofErr w:type="gramStart"/>
            <w:r w:rsidRPr="008A3492">
              <w:rPr>
                <w:sz w:val="18"/>
                <w:szCs w:val="18"/>
                <w:lang w:val="fr-FR"/>
              </w:rPr>
              <w:t>en</w:t>
            </w:r>
            <w:proofErr w:type="gramEnd"/>
            <w:r w:rsidRPr="008A3492">
              <w:rPr>
                <w:sz w:val="18"/>
                <w:szCs w:val="18"/>
                <w:lang w:val="fr-FR"/>
              </w:rPr>
              <w:t xml:space="preserve"> plastique</w:t>
            </w:r>
            <w:r>
              <w:rPr>
                <w:sz w:val="18"/>
                <w:szCs w:val="18"/>
                <w:lang w:val="fr-FR"/>
              </w:rPr>
              <w:t xml:space="preserve"> rigide</w:t>
            </w:r>
            <w:r w:rsidRPr="008A3492">
              <w:rPr>
                <w:sz w:val="18"/>
                <w:szCs w:val="18"/>
                <w:lang w:val="fr-FR"/>
              </w:rPr>
              <w:t xml:space="preserve"> (50H)</w:t>
            </w:r>
          </w:p>
        </w:tc>
      </w:tr>
      <w:tr w:rsidR="00124E6E" w:rsidRPr="008A3492" w:rsidTr="00124E6E">
        <w:tc>
          <w:tcPr>
            <w:tcW w:w="9643" w:type="dxa"/>
            <w:gridSpan w:val="5"/>
            <w:tcBorders>
              <w:top w:val="single" w:sz="4" w:space="0" w:color="000000"/>
              <w:bottom w:val="single" w:sz="4" w:space="0" w:color="000000"/>
            </w:tcBorders>
          </w:tcPr>
          <w:p w:rsidR="00124E6E" w:rsidRPr="008A3492" w:rsidRDefault="00124E6E" w:rsidP="00124E6E">
            <w:pPr>
              <w:spacing w:before="60" w:after="60"/>
              <w:rPr>
                <w:color w:val="000000"/>
                <w:sz w:val="18"/>
                <w:szCs w:val="18"/>
                <w:lang w:val="fr-FR"/>
              </w:rPr>
            </w:pPr>
            <w:r w:rsidRPr="008A3492">
              <w:rPr>
                <w:sz w:val="18"/>
                <w:szCs w:val="18"/>
                <w:lang w:val="fr-FR"/>
              </w:rPr>
              <w:t xml:space="preserve">L’emballage extérieur doit satisfaire au niveau d’épreuve du groupe d’emballage I pour les matières solides. </w:t>
            </w:r>
          </w:p>
        </w:tc>
      </w:tr>
      <w:tr w:rsidR="00124E6E" w:rsidRPr="008A3492" w:rsidTr="00124E6E">
        <w:tc>
          <w:tcPr>
            <w:tcW w:w="9643" w:type="dxa"/>
            <w:gridSpan w:val="5"/>
            <w:tcBorders>
              <w:top w:val="single" w:sz="4" w:space="0" w:color="000000"/>
              <w:bottom w:val="nil"/>
            </w:tcBorders>
          </w:tcPr>
          <w:p w:rsidR="00124E6E" w:rsidRPr="008A3492" w:rsidRDefault="00124E6E" w:rsidP="00124E6E">
            <w:pPr>
              <w:spacing w:before="60" w:after="60"/>
              <w:rPr>
                <w:color w:val="000000"/>
                <w:sz w:val="18"/>
                <w:szCs w:val="18"/>
                <w:lang w:val="fr-FR"/>
              </w:rPr>
            </w:pPr>
            <w:r w:rsidRPr="008A3492">
              <w:rPr>
                <w:b/>
                <w:bCs/>
                <w:sz w:val="18"/>
                <w:szCs w:val="18"/>
                <w:lang w:val="fr-FR"/>
              </w:rPr>
              <w:t>Dispositions supplémentaires :</w:t>
            </w:r>
          </w:p>
        </w:tc>
      </w:tr>
      <w:tr w:rsidR="00124E6E" w:rsidRPr="008A3492" w:rsidTr="00124E6E">
        <w:trPr>
          <w:trHeight w:val="244"/>
        </w:trPr>
        <w:tc>
          <w:tcPr>
            <w:tcW w:w="9643" w:type="dxa"/>
            <w:gridSpan w:val="5"/>
            <w:tcBorders>
              <w:top w:val="nil"/>
              <w:bottom w:val="nil"/>
            </w:tcBorders>
            <w:vAlign w:val="center"/>
          </w:tcPr>
          <w:p w:rsidR="00124E6E" w:rsidRPr="008A3492" w:rsidRDefault="00124E6E" w:rsidP="00124E6E">
            <w:pPr>
              <w:spacing w:before="40" w:after="40"/>
              <w:ind w:left="284" w:hanging="284"/>
              <w:rPr>
                <w:sz w:val="18"/>
                <w:szCs w:val="18"/>
                <w:lang w:val="fr-FR"/>
              </w:rPr>
            </w:pPr>
            <w:r w:rsidRPr="008A3492">
              <w:rPr>
                <w:sz w:val="18"/>
                <w:szCs w:val="18"/>
                <w:lang w:val="fr-FR"/>
              </w:rPr>
              <w:t>1.</w:t>
            </w:r>
            <w:r w:rsidRPr="008A3492">
              <w:rPr>
                <w:sz w:val="18"/>
                <w:szCs w:val="18"/>
                <w:lang w:val="fr-FR"/>
              </w:rPr>
              <w:tab/>
              <w:t>Les objets fragiles doivent être contenus soit dans des emballages intérieurs rigides, soit dans des emballages intermédiaires rigides.</w:t>
            </w:r>
          </w:p>
        </w:tc>
      </w:tr>
      <w:tr w:rsidR="00124E6E" w:rsidRPr="008A3492" w:rsidTr="00124E6E">
        <w:trPr>
          <w:trHeight w:val="244"/>
        </w:trPr>
        <w:tc>
          <w:tcPr>
            <w:tcW w:w="9643" w:type="dxa"/>
            <w:gridSpan w:val="5"/>
            <w:tcBorders>
              <w:top w:val="nil"/>
              <w:bottom w:val="nil"/>
            </w:tcBorders>
            <w:vAlign w:val="center"/>
          </w:tcPr>
          <w:p w:rsidR="00124E6E" w:rsidRPr="008A3492" w:rsidRDefault="00124E6E" w:rsidP="00124E6E">
            <w:pPr>
              <w:spacing w:before="40" w:after="40"/>
              <w:ind w:left="284" w:hanging="284"/>
              <w:rPr>
                <w:sz w:val="18"/>
                <w:szCs w:val="18"/>
                <w:lang w:val="fr-FR"/>
              </w:rPr>
            </w:pPr>
            <w:r w:rsidRPr="008A3492">
              <w:rPr>
                <w:sz w:val="18"/>
                <w:szCs w:val="18"/>
                <w:lang w:val="fr-FR"/>
              </w:rPr>
              <w:t>2.</w:t>
            </w:r>
            <w:r w:rsidRPr="008A3492">
              <w:rPr>
                <w:sz w:val="18"/>
                <w:szCs w:val="18"/>
                <w:lang w:val="fr-FR"/>
              </w:rPr>
              <w:tab/>
              <w:t xml:space="preserve">Les emballages intérieurs contenant des objets tranchants ou pointus tels que du verre brisé et des aiguilles doivent être rigides et résistants à la perforation. </w:t>
            </w:r>
          </w:p>
        </w:tc>
      </w:tr>
      <w:tr w:rsidR="00124E6E" w:rsidRPr="008A3492" w:rsidTr="00124E6E">
        <w:trPr>
          <w:trHeight w:val="244"/>
        </w:trPr>
        <w:tc>
          <w:tcPr>
            <w:tcW w:w="9643" w:type="dxa"/>
            <w:gridSpan w:val="5"/>
            <w:tcBorders>
              <w:top w:val="nil"/>
              <w:bottom w:val="nil"/>
            </w:tcBorders>
            <w:vAlign w:val="center"/>
          </w:tcPr>
          <w:p w:rsidR="00124E6E" w:rsidRPr="008A3492" w:rsidRDefault="00124E6E" w:rsidP="00124E6E">
            <w:pPr>
              <w:spacing w:before="40" w:after="40"/>
              <w:ind w:left="284" w:hanging="284"/>
              <w:rPr>
                <w:sz w:val="18"/>
                <w:szCs w:val="18"/>
                <w:lang w:val="fr-FR"/>
              </w:rPr>
            </w:pPr>
            <w:r w:rsidRPr="008A3492">
              <w:rPr>
                <w:sz w:val="18"/>
                <w:szCs w:val="18"/>
                <w:lang w:val="fr-FR"/>
              </w:rPr>
              <w:t>3.</w:t>
            </w:r>
            <w:r w:rsidRPr="008A3492">
              <w:rPr>
                <w:sz w:val="18"/>
                <w:szCs w:val="18"/>
                <w:lang w:val="fr-FR"/>
              </w:rPr>
              <w:tab/>
              <w:t>L’emballage intérieur, l’emballage intermédiaire et l’emballage extérieur doivent être capables de retenir les liquides.</w:t>
            </w:r>
            <w:r w:rsidRPr="008A3492">
              <w:rPr>
                <w:rFonts w:ascii="inherit" w:hAnsi="inherit"/>
                <w:color w:val="212121"/>
                <w:sz w:val="18"/>
                <w:szCs w:val="18"/>
                <w:lang w:val="fr-FR"/>
              </w:rPr>
              <w:t xml:space="preserve"> Les emballages extérieurs qui ne sont pas capables de retenir les liquides par construction doivent être équipé d'une doublure ou faire l’objet de mesures appropriées afin de permettre la rétention des liquides.</w:t>
            </w:r>
          </w:p>
        </w:tc>
      </w:tr>
      <w:tr w:rsidR="00124E6E" w:rsidRPr="008A3492" w:rsidTr="00124E6E">
        <w:trPr>
          <w:trHeight w:val="244"/>
        </w:trPr>
        <w:tc>
          <w:tcPr>
            <w:tcW w:w="9643" w:type="dxa"/>
            <w:gridSpan w:val="5"/>
            <w:tcBorders>
              <w:top w:val="nil"/>
              <w:bottom w:val="nil"/>
            </w:tcBorders>
            <w:vAlign w:val="center"/>
          </w:tcPr>
          <w:p w:rsidR="00124E6E" w:rsidRPr="008A3492" w:rsidRDefault="00124E6E" w:rsidP="00124E6E">
            <w:pPr>
              <w:spacing w:before="40" w:after="40"/>
              <w:ind w:left="284" w:hanging="284"/>
              <w:rPr>
                <w:sz w:val="18"/>
                <w:szCs w:val="18"/>
                <w:lang w:val="fr-FR"/>
              </w:rPr>
            </w:pPr>
            <w:r w:rsidRPr="008A3492">
              <w:rPr>
                <w:sz w:val="18"/>
                <w:szCs w:val="18"/>
                <w:lang w:val="fr-FR"/>
              </w:rPr>
              <w:t>4.</w:t>
            </w:r>
            <w:r w:rsidRPr="008A3492">
              <w:rPr>
                <w:sz w:val="18"/>
                <w:szCs w:val="18"/>
                <w:lang w:val="fr-FR"/>
              </w:rPr>
              <w:tab/>
              <w:t xml:space="preserve">L’emballage intérieur et l’emballage intermédiaire peuvent être souples. Lorsque des emballages souples sont utilisés, ils doivent satisfaire à l’épreuve de résistance aux chocs à au moins 165 g suivant la norme ISO 7765-1:1988 « Films et feuilles de plastique − Détermination de la résistance au choc par la méthode par chute libre de projectile − Partie 1 : Méthodes dites de l’“escalier” » et satisfaire à l’épreuve de résistance à la déchirure à au moins 480 g sur des plans perpendiculaires et parallèles au plan longitudinal du sac suivant la norme ISO 6383-2:1983 « Films et feuilles de plastique − Détermination de la résistance au déchirement − Partie 2 : Méthode </w:t>
            </w:r>
            <w:proofErr w:type="spellStart"/>
            <w:r w:rsidRPr="008A3492">
              <w:rPr>
                <w:sz w:val="18"/>
                <w:szCs w:val="18"/>
                <w:lang w:val="fr-FR"/>
              </w:rPr>
              <w:t>Elmendorf</w:t>
            </w:r>
            <w:proofErr w:type="spellEnd"/>
            <w:r w:rsidRPr="008A3492">
              <w:rPr>
                <w:sz w:val="18"/>
                <w:szCs w:val="18"/>
                <w:lang w:val="fr-FR"/>
              </w:rPr>
              <w:t> ». La masse nette maximale de chaque emballage intérieur souple doit être de 30 kg.</w:t>
            </w:r>
          </w:p>
        </w:tc>
      </w:tr>
      <w:tr w:rsidR="00124E6E" w:rsidRPr="008A3492" w:rsidTr="00124E6E">
        <w:trPr>
          <w:trHeight w:val="244"/>
        </w:trPr>
        <w:tc>
          <w:tcPr>
            <w:tcW w:w="9643" w:type="dxa"/>
            <w:gridSpan w:val="5"/>
            <w:tcBorders>
              <w:top w:val="nil"/>
              <w:bottom w:val="nil"/>
            </w:tcBorders>
            <w:vAlign w:val="center"/>
          </w:tcPr>
          <w:p w:rsidR="00124E6E" w:rsidRPr="008A3492" w:rsidRDefault="00124E6E" w:rsidP="00124E6E">
            <w:pPr>
              <w:spacing w:before="40" w:after="40"/>
              <w:ind w:left="284" w:hanging="284"/>
              <w:rPr>
                <w:sz w:val="18"/>
                <w:szCs w:val="18"/>
                <w:lang w:val="fr-FR"/>
              </w:rPr>
            </w:pPr>
            <w:r w:rsidRPr="008A3492">
              <w:rPr>
                <w:sz w:val="18"/>
                <w:szCs w:val="18"/>
                <w:lang w:val="fr-FR"/>
              </w:rPr>
              <w:t>5.</w:t>
            </w:r>
            <w:r w:rsidRPr="008A3492">
              <w:rPr>
                <w:sz w:val="18"/>
                <w:szCs w:val="18"/>
                <w:lang w:val="fr-FR"/>
              </w:rPr>
              <w:tab/>
              <w:t>Chaque emballage intermédiaire souple ne doit contenir qu’un seul emballage intérieur.</w:t>
            </w:r>
          </w:p>
        </w:tc>
      </w:tr>
      <w:tr w:rsidR="00124E6E" w:rsidRPr="008A3492" w:rsidTr="00124E6E">
        <w:trPr>
          <w:trHeight w:val="244"/>
        </w:trPr>
        <w:tc>
          <w:tcPr>
            <w:tcW w:w="9643" w:type="dxa"/>
            <w:gridSpan w:val="5"/>
            <w:tcBorders>
              <w:top w:val="nil"/>
              <w:bottom w:val="nil"/>
            </w:tcBorders>
            <w:vAlign w:val="center"/>
          </w:tcPr>
          <w:p w:rsidR="00124E6E" w:rsidRPr="008A3492" w:rsidRDefault="00124E6E" w:rsidP="00124E6E">
            <w:pPr>
              <w:spacing w:before="40" w:after="40"/>
              <w:ind w:left="284" w:hanging="284"/>
              <w:rPr>
                <w:sz w:val="18"/>
                <w:szCs w:val="18"/>
                <w:lang w:val="fr-FR"/>
              </w:rPr>
            </w:pPr>
            <w:r w:rsidRPr="008A3492">
              <w:rPr>
                <w:sz w:val="18"/>
                <w:szCs w:val="18"/>
                <w:lang w:val="fr-FR"/>
              </w:rPr>
              <w:t>6.</w:t>
            </w:r>
            <w:r w:rsidRPr="008A3492">
              <w:rPr>
                <w:sz w:val="18"/>
                <w:szCs w:val="18"/>
                <w:lang w:val="fr-FR"/>
              </w:rPr>
              <w:tab/>
              <w:t xml:space="preserve">Les emballages intérieurs contenant une petite quantité de liquide libre peuvent être contenus dans un emballage intermédiaire pour autant qu’il y ait suffisamment de matériau absorbant ou solidifiant dans l’emballage intérieur ou intermédiaire pour absorber ou solidifier la totalité du contenu liquide présent. Un matériau absorbant approprié </w:t>
            </w:r>
            <w:r>
              <w:rPr>
                <w:sz w:val="18"/>
                <w:szCs w:val="18"/>
                <w:lang w:val="fr-FR"/>
              </w:rPr>
              <w:t>résistant</w:t>
            </w:r>
            <w:r w:rsidRPr="008A3492">
              <w:rPr>
                <w:sz w:val="18"/>
                <w:szCs w:val="18"/>
                <w:lang w:val="fr-FR"/>
              </w:rPr>
              <w:t xml:space="preserve"> aux températures et aux vibrations susceptibles de se produire dans des conditions normales de transport doit être utilisé.</w:t>
            </w:r>
          </w:p>
        </w:tc>
      </w:tr>
      <w:tr w:rsidR="00124E6E" w:rsidRPr="008A3492" w:rsidTr="00124E6E">
        <w:trPr>
          <w:trHeight w:val="244"/>
        </w:trPr>
        <w:tc>
          <w:tcPr>
            <w:tcW w:w="9643" w:type="dxa"/>
            <w:gridSpan w:val="5"/>
            <w:tcBorders>
              <w:top w:val="nil"/>
              <w:bottom w:val="single" w:sz="4" w:space="0" w:color="auto"/>
            </w:tcBorders>
            <w:vAlign w:val="center"/>
          </w:tcPr>
          <w:p w:rsidR="00124E6E" w:rsidRPr="008A3492" w:rsidRDefault="00124E6E" w:rsidP="00124E6E">
            <w:pPr>
              <w:spacing w:before="40" w:after="40"/>
              <w:ind w:left="284" w:hanging="284"/>
              <w:rPr>
                <w:sz w:val="18"/>
                <w:szCs w:val="18"/>
                <w:lang w:val="fr-FR"/>
              </w:rPr>
            </w:pPr>
            <w:r w:rsidRPr="008A3492">
              <w:rPr>
                <w:sz w:val="18"/>
                <w:szCs w:val="18"/>
                <w:lang w:val="fr-FR"/>
              </w:rPr>
              <w:t xml:space="preserve">7. </w:t>
            </w:r>
            <w:r w:rsidRPr="008A3492">
              <w:rPr>
                <w:sz w:val="18"/>
                <w:szCs w:val="18"/>
                <w:lang w:val="fr-FR"/>
              </w:rPr>
              <w:tab/>
              <w:t>Les emballages intermédiaires doivent être placés dans des emballages extérieurs avec interposition de matières de rembourrage appropriées ou de matériau absorbant.</w:t>
            </w:r>
          </w:p>
        </w:tc>
      </w:tr>
    </w:tbl>
    <w:p w:rsidR="00361A7A" w:rsidRDefault="00124E6E" w:rsidP="00361A7A">
      <w:pPr>
        <w:pStyle w:val="SingleTxtG"/>
        <w:tabs>
          <w:tab w:val="left" w:pos="2268"/>
        </w:tabs>
        <w:spacing w:before="120"/>
        <w:ind w:left="2257" w:hanging="1123"/>
      </w:pPr>
      <w:r>
        <w:t>[4.1.6.15, Tableau</w:t>
      </w:r>
    </w:p>
    <w:p w:rsidR="00124E6E" w:rsidRPr="00455982" w:rsidRDefault="00124E6E" w:rsidP="00361A7A">
      <w:pPr>
        <w:pStyle w:val="SingleTxtG"/>
        <w:tabs>
          <w:tab w:val="left" w:pos="2268"/>
        </w:tabs>
        <w:spacing w:before="120"/>
        <w:ind w:left="2257" w:hanging="1123"/>
        <w:rPr>
          <w:lang w:val="fr-FR"/>
        </w:rPr>
      </w:pPr>
      <w:r>
        <w:tab/>
        <w:t xml:space="preserve">Pour « 4.1.6.8 Robinets munis d’une protection intégrée », remplacer « Annexe A de EN ISO </w:t>
      </w:r>
      <w:proofErr w:type="gramStart"/>
      <w:r>
        <w:t>10297:</w:t>
      </w:r>
      <w:proofErr w:type="gramEnd"/>
      <w:r>
        <w:t>2006 ou annexe A de EN ISO 10297:2014 ou annexe A de EN ISO 10297:2014 + A1:2017 » par « Annexe A de ISO 10297:2006 ou annexe A de ISO 10297:2014 ou annexe A de ISO 10297:2014 + A1:2017 »</w:t>
      </w:r>
      <w:r w:rsidRPr="00B37176">
        <w:t>.</w:t>
      </w:r>
      <w:r>
        <w:t>]</w:t>
      </w:r>
    </w:p>
    <w:p w:rsidR="00361A7A" w:rsidRDefault="00124E6E" w:rsidP="00FE3F4F">
      <w:pPr>
        <w:pStyle w:val="SingleTxtG"/>
        <w:tabs>
          <w:tab w:val="left" w:pos="2268"/>
        </w:tabs>
        <w:ind w:left="2259" w:hanging="1125"/>
      </w:pPr>
      <w:r>
        <w:t>[4.1.6.15, Tableau</w:t>
      </w:r>
    </w:p>
    <w:p w:rsidR="00124E6E" w:rsidRDefault="00124E6E" w:rsidP="00FE3F4F">
      <w:pPr>
        <w:pStyle w:val="SingleTxtG"/>
        <w:tabs>
          <w:tab w:val="left" w:pos="2268"/>
        </w:tabs>
        <w:ind w:left="2259" w:hanging="1125"/>
      </w:pPr>
      <w:r>
        <w:tab/>
        <w:t xml:space="preserve">Pour « 4.1.6.8 Robinets munis d’une protection intégrée », remplacer la rubrique pour EN ISO </w:t>
      </w:r>
      <w:proofErr w:type="gramStart"/>
      <w:r>
        <w:t>17879:</w:t>
      </w:r>
      <w:proofErr w:type="gramEnd"/>
      <w:r>
        <w:t>2017 par :</w:t>
      </w:r>
      <w:r>
        <w:tab/>
        <w:t xml:space="preserve"> </w:t>
      </w:r>
    </w:p>
    <w:tbl>
      <w:tblPr>
        <w:tblW w:w="9495" w:type="dxa"/>
        <w:tblInd w:w="244" w:type="dxa"/>
        <w:tblLayout w:type="fixed"/>
        <w:tblCellMar>
          <w:left w:w="102" w:type="dxa"/>
          <w:right w:w="102" w:type="dxa"/>
        </w:tblCellMar>
        <w:tblLook w:val="04A0" w:firstRow="1" w:lastRow="0" w:firstColumn="1" w:lastColumn="0" w:noHBand="0" w:noVBand="1"/>
      </w:tblPr>
      <w:tblGrid>
        <w:gridCol w:w="1427"/>
        <w:gridCol w:w="2258"/>
        <w:gridCol w:w="5810"/>
      </w:tblGrid>
      <w:tr w:rsidR="00124E6E" w:rsidTr="00124E6E">
        <w:trPr>
          <w:cantSplit/>
        </w:trPr>
        <w:tc>
          <w:tcPr>
            <w:tcW w:w="1428" w:type="dxa"/>
            <w:tcBorders>
              <w:top w:val="single" w:sz="4" w:space="0" w:color="auto"/>
              <w:left w:val="single" w:sz="6" w:space="0" w:color="auto"/>
              <w:bottom w:val="single" w:sz="4" w:space="0" w:color="auto"/>
              <w:right w:val="nil"/>
            </w:tcBorders>
          </w:tcPr>
          <w:p w:rsidR="00124E6E" w:rsidRDefault="00124E6E" w:rsidP="00124E6E">
            <w:pPr>
              <w:suppressAutoHyphens w:val="0"/>
              <w:spacing w:line="240" w:lineRule="auto"/>
            </w:pPr>
          </w:p>
        </w:tc>
        <w:tc>
          <w:tcPr>
            <w:tcW w:w="2258" w:type="dxa"/>
            <w:tcBorders>
              <w:top w:val="single" w:sz="6" w:space="0" w:color="auto"/>
              <w:left w:val="single" w:sz="6" w:space="0" w:color="auto"/>
              <w:bottom w:val="single" w:sz="4" w:space="0" w:color="auto"/>
              <w:right w:val="single" w:sz="6" w:space="0" w:color="auto"/>
            </w:tcBorders>
            <w:hideMark/>
          </w:tcPr>
          <w:p w:rsidR="00124E6E" w:rsidRDefault="00124E6E" w:rsidP="00124E6E">
            <w:pPr>
              <w:suppressAutoHyphens w:val="0"/>
              <w:spacing w:line="240" w:lineRule="auto"/>
            </w:pPr>
            <w:r>
              <w:t xml:space="preserve">Annexe A de ISO </w:t>
            </w:r>
            <w:proofErr w:type="gramStart"/>
            <w:r>
              <w:t>17879:</w:t>
            </w:r>
            <w:proofErr w:type="gramEnd"/>
            <w:r>
              <w:t>2017</w:t>
            </w:r>
          </w:p>
        </w:tc>
        <w:tc>
          <w:tcPr>
            <w:tcW w:w="5811" w:type="dxa"/>
            <w:tcBorders>
              <w:top w:val="single" w:sz="6" w:space="0" w:color="auto"/>
              <w:left w:val="single" w:sz="6" w:space="0" w:color="auto"/>
              <w:bottom w:val="single" w:sz="4" w:space="0" w:color="auto"/>
              <w:right w:val="single" w:sz="6" w:space="0" w:color="auto"/>
            </w:tcBorders>
            <w:hideMark/>
          </w:tcPr>
          <w:p w:rsidR="00124E6E" w:rsidRDefault="00124E6E" w:rsidP="00124E6E">
            <w:pPr>
              <w:suppressAutoHyphens w:val="0"/>
              <w:spacing w:line="240" w:lineRule="auto"/>
            </w:pPr>
            <w:r w:rsidRPr="00A63620">
              <w:t>Bouteilles à gaz</w:t>
            </w:r>
            <w:r>
              <w:t xml:space="preserve"> – </w:t>
            </w:r>
            <w:r w:rsidRPr="00A63620">
              <w:t>Robinets de bouteilles équipés de clapets auto-obturants</w:t>
            </w:r>
            <w:r>
              <w:t xml:space="preserve"> – </w:t>
            </w:r>
            <w:r w:rsidRPr="00A63620">
              <w:t>Spécifications et essais de type</w:t>
            </w:r>
          </w:p>
          <w:p w:rsidR="00124E6E" w:rsidRDefault="00124E6E" w:rsidP="00124E6E">
            <w:pPr>
              <w:tabs>
                <w:tab w:val="left" w:pos="748"/>
              </w:tabs>
              <w:suppressAutoHyphens w:val="0"/>
              <w:spacing w:line="240" w:lineRule="auto"/>
            </w:pPr>
            <w:proofErr w:type="gramStart"/>
            <w:r w:rsidRPr="00AB7C1B">
              <w:rPr>
                <w:b/>
                <w:bCs/>
                <w:i/>
                <w:iCs/>
              </w:rPr>
              <w:t>NOTA:</w:t>
            </w:r>
            <w:proofErr w:type="gramEnd"/>
            <w:r w:rsidRPr="00B37176">
              <w:rPr>
                <w:i/>
                <w:iCs/>
              </w:rPr>
              <w:t xml:space="preserve"> La version EN de cette norme ISO est conforme aux prescriptions et peut aussi être utilisée.</w:t>
            </w:r>
          </w:p>
        </w:tc>
      </w:tr>
    </w:tbl>
    <w:p w:rsidR="00124E6E" w:rsidRDefault="00124E6E" w:rsidP="00124E6E">
      <w:pPr>
        <w:pStyle w:val="SingleTxtG"/>
        <w:tabs>
          <w:tab w:val="left" w:pos="1985"/>
        </w:tabs>
        <w:spacing w:before="120"/>
        <w:ind w:left="1973" w:hanging="839"/>
      </w:pPr>
      <w:r>
        <w:lastRenderedPageBreak/>
        <w:t>]</w:t>
      </w:r>
    </w:p>
    <w:p w:rsidR="00124E6E" w:rsidRPr="00640C9E" w:rsidRDefault="00124E6E" w:rsidP="00FE3F4F">
      <w:pPr>
        <w:pStyle w:val="SingleTxtG"/>
        <w:tabs>
          <w:tab w:val="left" w:pos="2268"/>
        </w:tabs>
        <w:ind w:left="2259" w:hanging="1125"/>
        <w:rPr>
          <w:szCs w:val="24"/>
        </w:rPr>
      </w:pPr>
      <w:r w:rsidRPr="00640C9E">
        <w:rPr>
          <w:szCs w:val="24"/>
          <w:lang w:val="fr-FR"/>
        </w:rPr>
        <w:t>4.1.9.1.4</w:t>
      </w:r>
      <w:r w:rsidRPr="00640C9E">
        <w:rPr>
          <w:szCs w:val="24"/>
          <w:lang w:val="fr-FR"/>
        </w:rPr>
        <w:tab/>
        <w:t>Ajouter à la fin une</w:t>
      </w:r>
      <w:r>
        <w:rPr>
          <w:szCs w:val="24"/>
          <w:lang w:val="fr-FR"/>
        </w:rPr>
        <w:t xml:space="preserve"> </w:t>
      </w:r>
      <w:r w:rsidRPr="00640C9E">
        <w:rPr>
          <w:szCs w:val="24"/>
          <w:lang w:val="fr-FR"/>
        </w:rPr>
        <w:t>nouvelle phrase ainsi rédigée</w:t>
      </w:r>
      <w:r>
        <w:rPr>
          <w:szCs w:val="24"/>
          <w:lang w:val="fr-FR"/>
        </w:rPr>
        <w:t> :</w:t>
      </w:r>
      <w:r w:rsidRPr="00640C9E">
        <w:rPr>
          <w:szCs w:val="24"/>
          <w:lang w:val="fr-FR"/>
        </w:rPr>
        <w:t xml:space="preserve"> </w:t>
      </w:r>
      <w:r>
        <w:rPr>
          <w:szCs w:val="24"/>
          <w:lang w:val="fr-FR"/>
        </w:rPr>
        <w:t>« </w:t>
      </w:r>
      <w:r w:rsidRPr="00640C9E">
        <w:rPr>
          <w:szCs w:val="24"/>
          <w:lang w:val="fr-FR"/>
        </w:rPr>
        <w:t>Cette prescription ne s</w:t>
      </w:r>
      <w:r>
        <w:rPr>
          <w:szCs w:val="24"/>
          <w:lang w:val="fr-FR"/>
        </w:rPr>
        <w:t>’</w:t>
      </w:r>
      <w:r w:rsidRPr="00640C9E">
        <w:rPr>
          <w:szCs w:val="24"/>
          <w:lang w:val="fr-FR"/>
        </w:rPr>
        <w:t>applique pas aux surfaces internes des conteneurs utilisés en tant qu</w:t>
      </w:r>
      <w:r>
        <w:rPr>
          <w:szCs w:val="24"/>
          <w:lang w:val="fr-FR"/>
        </w:rPr>
        <w:t>’</w:t>
      </w:r>
      <w:r w:rsidRPr="00640C9E">
        <w:rPr>
          <w:szCs w:val="24"/>
          <w:lang w:val="fr-FR"/>
        </w:rPr>
        <w:t>emballages, qu</w:t>
      </w:r>
      <w:r>
        <w:rPr>
          <w:szCs w:val="24"/>
          <w:lang w:val="fr-FR"/>
        </w:rPr>
        <w:t>’</w:t>
      </w:r>
      <w:r w:rsidRPr="00640C9E">
        <w:rPr>
          <w:szCs w:val="24"/>
          <w:lang w:val="fr-FR"/>
        </w:rPr>
        <w:t>ils soient chargés ou vides.</w:t>
      </w:r>
      <w:r>
        <w:rPr>
          <w:szCs w:val="24"/>
          <w:lang w:val="fr-FR"/>
        </w:rPr>
        <w:t> ».</w:t>
      </w:r>
    </w:p>
    <w:p w:rsidR="00124E6E" w:rsidRPr="00640C9E" w:rsidRDefault="00124E6E" w:rsidP="00FE3F4F">
      <w:pPr>
        <w:pStyle w:val="SingleTxtG"/>
        <w:tabs>
          <w:tab w:val="left" w:pos="2268"/>
        </w:tabs>
        <w:ind w:left="2259" w:hanging="1125"/>
        <w:rPr>
          <w:szCs w:val="24"/>
        </w:rPr>
      </w:pPr>
      <w:r w:rsidRPr="00640C9E">
        <w:rPr>
          <w:szCs w:val="24"/>
          <w:lang w:val="fr-FR"/>
        </w:rPr>
        <w:t>4.1.9.1.8</w:t>
      </w:r>
      <w:r w:rsidRPr="00640C9E">
        <w:rPr>
          <w:szCs w:val="24"/>
          <w:lang w:val="fr-FR"/>
        </w:rPr>
        <w:tab/>
        <w:t>Ajouter le nouvel alinéa e) suivant</w:t>
      </w:r>
      <w:r>
        <w:rPr>
          <w:szCs w:val="24"/>
          <w:lang w:val="fr-FR"/>
        </w:rPr>
        <w:t> :</w:t>
      </w:r>
    </w:p>
    <w:p w:rsidR="00124E6E" w:rsidRDefault="00361A7A" w:rsidP="00FE3F4F">
      <w:pPr>
        <w:pStyle w:val="SingleTxtG"/>
        <w:tabs>
          <w:tab w:val="left" w:pos="2268"/>
        </w:tabs>
        <w:ind w:left="2259" w:hanging="1125"/>
        <w:rPr>
          <w:szCs w:val="24"/>
          <w:lang w:val="fr-FR"/>
        </w:rPr>
      </w:pPr>
      <w:r>
        <w:rPr>
          <w:szCs w:val="24"/>
          <w:lang w:val="fr-FR"/>
        </w:rPr>
        <w:tab/>
      </w:r>
      <w:r w:rsidR="00124E6E">
        <w:rPr>
          <w:szCs w:val="24"/>
          <w:lang w:val="fr-FR"/>
        </w:rPr>
        <w:t>« </w:t>
      </w:r>
      <w:proofErr w:type="gramStart"/>
      <w:r w:rsidR="00124E6E" w:rsidRPr="00640C9E">
        <w:rPr>
          <w:szCs w:val="24"/>
          <w:lang w:val="fr-FR"/>
        </w:rPr>
        <w:t>e</w:t>
      </w:r>
      <w:proofErr w:type="gramEnd"/>
      <w:r w:rsidR="00124E6E" w:rsidRPr="00640C9E">
        <w:rPr>
          <w:szCs w:val="24"/>
          <w:lang w:val="fr-FR"/>
        </w:rPr>
        <w:t xml:space="preserve">) Pour les colis destinés à être utilisés pour une expédition après entreposage, il </w:t>
      </w:r>
      <w:r w:rsidR="00124E6E">
        <w:rPr>
          <w:szCs w:val="24"/>
          <w:lang w:val="fr-FR"/>
        </w:rPr>
        <w:t>faut vérifier</w:t>
      </w:r>
      <w:r w:rsidR="00124E6E" w:rsidRPr="00640C9E">
        <w:rPr>
          <w:szCs w:val="24"/>
          <w:lang w:val="fr-FR"/>
        </w:rPr>
        <w:t xml:space="preserve"> que tous les composants de l</w:t>
      </w:r>
      <w:r w:rsidR="00124E6E">
        <w:rPr>
          <w:szCs w:val="24"/>
          <w:lang w:val="fr-FR"/>
        </w:rPr>
        <w:t>’</w:t>
      </w:r>
      <w:r w:rsidR="00124E6E" w:rsidRPr="00640C9E">
        <w:rPr>
          <w:szCs w:val="24"/>
          <w:lang w:val="fr-FR"/>
        </w:rPr>
        <w:t xml:space="preserve">emballage et le contenu radioactif soient </w:t>
      </w:r>
      <w:r w:rsidR="00124E6E">
        <w:rPr>
          <w:szCs w:val="24"/>
          <w:lang w:val="fr-FR"/>
        </w:rPr>
        <w:t>prés</w:t>
      </w:r>
      <w:r w:rsidR="00124E6E" w:rsidRPr="00640C9E">
        <w:rPr>
          <w:szCs w:val="24"/>
          <w:lang w:val="fr-FR"/>
        </w:rPr>
        <w:t>ervés pendant l</w:t>
      </w:r>
      <w:r w:rsidR="00124E6E">
        <w:rPr>
          <w:szCs w:val="24"/>
          <w:lang w:val="fr-FR"/>
        </w:rPr>
        <w:t>’</w:t>
      </w:r>
      <w:r w:rsidR="00124E6E" w:rsidRPr="00640C9E">
        <w:rPr>
          <w:szCs w:val="24"/>
          <w:lang w:val="fr-FR"/>
        </w:rPr>
        <w:t xml:space="preserve">entreposage de </w:t>
      </w:r>
      <w:r w:rsidR="00124E6E">
        <w:rPr>
          <w:szCs w:val="24"/>
          <w:lang w:val="fr-FR"/>
        </w:rPr>
        <w:t>sorte</w:t>
      </w:r>
      <w:r w:rsidR="00124E6E" w:rsidRPr="00640C9E">
        <w:rPr>
          <w:szCs w:val="24"/>
          <w:lang w:val="fr-FR"/>
        </w:rPr>
        <w:t xml:space="preserve"> que toutes les prescriptions spécifiées dans les dispositions pertinentes du </w:t>
      </w:r>
      <w:r w:rsidR="00124E6E">
        <w:rPr>
          <w:szCs w:val="24"/>
          <w:lang w:val="fr-FR"/>
        </w:rPr>
        <w:t>RID/de l’ADR</w:t>
      </w:r>
      <w:r w:rsidR="00124E6E" w:rsidRPr="00640C9E">
        <w:rPr>
          <w:szCs w:val="24"/>
          <w:lang w:val="fr-FR"/>
        </w:rPr>
        <w:t xml:space="preserve"> et dans les certificats d</w:t>
      </w:r>
      <w:r w:rsidR="00124E6E">
        <w:rPr>
          <w:szCs w:val="24"/>
          <w:lang w:val="fr-FR"/>
        </w:rPr>
        <w:t>’</w:t>
      </w:r>
      <w:r w:rsidR="00124E6E" w:rsidRPr="00640C9E">
        <w:rPr>
          <w:szCs w:val="24"/>
          <w:lang w:val="fr-FR"/>
        </w:rPr>
        <w:t>agrément applicables sont respectées.</w:t>
      </w:r>
      <w:r w:rsidR="00124E6E">
        <w:rPr>
          <w:szCs w:val="24"/>
          <w:lang w:val="fr-FR"/>
        </w:rPr>
        <w:t> »</w:t>
      </w:r>
      <w:bookmarkStart w:id="51" w:name="_Toc474335055"/>
      <w:bookmarkStart w:id="52" w:name="_Toc477347012"/>
      <w:bookmarkEnd w:id="51"/>
      <w:bookmarkEnd w:id="52"/>
      <w:r w:rsidR="00124E6E">
        <w:rPr>
          <w:szCs w:val="24"/>
          <w:lang w:val="fr-FR"/>
        </w:rPr>
        <w:t>.</w:t>
      </w:r>
    </w:p>
    <w:p w:rsidR="00124E6E" w:rsidRPr="00640C9E" w:rsidRDefault="00124E6E" w:rsidP="00FE3F4F">
      <w:pPr>
        <w:pStyle w:val="SingleTxtG"/>
        <w:tabs>
          <w:tab w:val="left" w:pos="2268"/>
        </w:tabs>
        <w:ind w:left="2259" w:hanging="1125"/>
        <w:rPr>
          <w:szCs w:val="24"/>
        </w:rPr>
      </w:pPr>
      <w:r>
        <w:rPr>
          <w:szCs w:val="24"/>
          <w:lang w:val="fr-FR"/>
        </w:rPr>
        <w:t>4.1.9.1.11</w:t>
      </w:r>
      <w:r>
        <w:rPr>
          <w:szCs w:val="24"/>
          <w:lang w:val="fr-FR"/>
        </w:rPr>
        <w:tab/>
        <w:t>R</w:t>
      </w:r>
      <w:r w:rsidRPr="00640C9E">
        <w:rPr>
          <w:szCs w:val="24"/>
          <w:lang w:val="fr-FR"/>
        </w:rPr>
        <w:t xml:space="preserve">emplacer </w:t>
      </w:r>
      <w:r>
        <w:rPr>
          <w:szCs w:val="24"/>
          <w:lang w:val="fr-FR"/>
        </w:rPr>
        <w:t>« l’</w:t>
      </w:r>
      <w:r w:rsidRPr="00640C9E">
        <w:rPr>
          <w:szCs w:val="24"/>
          <w:lang w:val="fr-FR"/>
        </w:rPr>
        <w:t>intensité de rayonnement</w:t>
      </w:r>
      <w:r>
        <w:rPr>
          <w:szCs w:val="24"/>
          <w:lang w:val="fr-FR"/>
        </w:rPr>
        <w:t xml:space="preserve"> maximale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xml:space="preserve"> maximal ».</w:t>
      </w:r>
    </w:p>
    <w:p w:rsidR="00124E6E" w:rsidRDefault="00124E6E" w:rsidP="00FE3F4F">
      <w:pPr>
        <w:pStyle w:val="SingleTxtG"/>
        <w:tabs>
          <w:tab w:val="left" w:pos="2268"/>
        </w:tabs>
        <w:ind w:left="2259" w:hanging="1125"/>
        <w:rPr>
          <w:szCs w:val="24"/>
          <w:lang w:val="fr-FR"/>
        </w:rPr>
      </w:pPr>
      <w:r>
        <w:rPr>
          <w:szCs w:val="24"/>
          <w:lang w:val="fr-FR"/>
        </w:rPr>
        <w:t>4.1.9.1.12</w:t>
      </w:r>
      <w:r>
        <w:rPr>
          <w:szCs w:val="24"/>
          <w:lang w:val="fr-FR"/>
        </w:rPr>
        <w:tab/>
        <w:t>R</w:t>
      </w:r>
      <w:r w:rsidRPr="00640C9E">
        <w:rPr>
          <w:szCs w:val="24"/>
          <w:lang w:val="fr-FR"/>
        </w:rPr>
        <w:t xml:space="preserve">emplacer </w:t>
      </w:r>
      <w:r>
        <w:rPr>
          <w:szCs w:val="24"/>
          <w:lang w:val="fr-FR"/>
        </w:rPr>
        <w:t>« L’</w:t>
      </w:r>
      <w:r w:rsidRPr="00640C9E">
        <w:rPr>
          <w:szCs w:val="24"/>
          <w:lang w:val="fr-FR"/>
        </w:rPr>
        <w:t>intensité de rayonnement</w:t>
      </w:r>
      <w:r>
        <w:rPr>
          <w:szCs w:val="24"/>
          <w:lang w:val="fr-FR"/>
        </w:rPr>
        <w:t xml:space="preserve"> maximale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xml:space="preserve"> maximal ».</w:t>
      </w:r>
    </w:p>
    <w:p w:rsidR="00124E6E" w:rsidRPr="00640C9E" w:rsidRDefault="00124E6E" w:rsidP="00FE3F4F">
      <w:pPr>
        <w:pStyle w:val="SingleTxtG"/>
        <w:tabs>
          <w:tab w:val="left" w:pos="2268"/>
        </w:tabs>
        <w:ind w:left="2259" w:hanging="1125"/>
        <w:rPr>
          <w:szCs w:val="24"/>
        </w:rPr>
      </w:pPr>
      <w:r>
        <w:rPr>
          <w:szCs w:val="24"/>
        </w:rPr>
        <w:t>4.1.9.2.1</w:t>
      </w:r>
      <w:r>
        <w:rPr>
          <w:szCs w:val="24"/>
        </w:rPr>
        <w:tab/>
      </w:r>
      <w:r>
        <w:rPr>
          <w:szCs w:val="24"/>
          <w:lang w:val="fr-FR"/>
        </w:rPr>
        <w:t>R</w:t>
      </w:r>
      <w:r w:rsidRPr="00640C9E">
        <w:rPr>
          <w:szCs w:val="24"/>
          <w:lang w:val="fr-FR"/>
        </w:rPr>
        <w:t xml:space="preserve">emplacer </w:t>
      </w:r>
      <w:r>
        <w:rPr>
          <w:szCs w:val="24"/>
          <w:lang w:val="fr-FR"/>
        </w:rPr>
        <w:t>« 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w:t>
      </w:r>
    </w:p>
    <w:p w:rsidR="00124E6E" w:rsidRPr="00640C9E" w:rsidRDefault="00124E6E" w:rsidP="00FE3F4F">
      <w:pPr>
        <w:pStyle w:val="SingleTxtG"/>
        <w:tabs>
          <w:tab w:val="left" w:pos="2268"/>
        </w:tabs>
        <w:ind w:left="2259" w:hanging="1125"/>
        <w:rPr>
          <w:szCs w:val="24"/>
        </w:rPr>
      </w:pPr>
      <w:r w:rsidRPr="00640C9E">
        <w:rPr>
          <w:szCs w:val="24"/>
          <w:lang w:val="fr-FR"/>
        </w:rPr>
        <w:t>4.1.9.2.4</w:t>
      </w:r>
      <w:r w:rsidRPr="00640C9E">
        <w:rPr>
          <w:szCs w:val="24"/>
          <w:lang w:val="fr-FR"/>
        </w:rPr>
        <w:tab/>
        <w:t>Dans la phrase d</w:t>
      </w:r>
      <w:r>
        <w:rPr>
          <w:szCs w:val="24"/>
          <w:lang w:val="fr-FR"/>
        </w:rPr>
        <w:t>’</w:t>
      </w:r>
      <w:r w:rsidRPr="00640C9E">
        <w:rPr>
          <w:szCs w:val="24"/>
          <w:lang w:val="fr-FR"/>
        </w:rPr>
        <w:t xml:space="preserve">introduction, remplacer </w:t>
      </w:r>
      <w:r>
        <w:rPr>
          <w:szCs w:val="24"/>
          <w:lang w:val="fr-FR"/>
        </w:rPr>
        <w:t>« </w:t>
      </w:r>
      <w:r w:rsidRPr="00640C9E">
        <w:rPr>
          <w:szCs w:val="24"/>
          <w:lang w:val="fr-FR"/>
        </w:rPr>
        <w:t>et SCO-I</w:t>
      </w:r>
      <w:r>
        <w:rPr>
          <w:szCs w:val="24"/>
          <w:lang w:val="fr-FR"/>
        </w:rPr>
        <w:t> »</w:t>
      </w:r>
      <w:r w:rsidRPr="00640C9E">
        <w:rPr>
          <w:szCs w:val="24"/>
          <w:lang w:val="fr-FR"/>
        </w:rPr>
        <w:t xml:space="preserve"> par </w:t>
      </w:r>
      <w:proofErr w:type="gramStart"/>
      <w:r>
        <w:rPr>
          <w:szCs w:val="24"/>
          <w:lang w:val="fr-FR"/>
        </w:rPr>
        <w:t>« </w:t>
      </w:r>
      <w:r w:rsidRPr="00640C9E">
        <w:rPr>
          <w:szCs w:val="24"/>
          <w:lang w:val="fr-FR"/>
        </w:rPr>
        <w:t>,</w:t>
      </w:r>
      <w:proofErr w:type="gramEnd"/>
      <w:r w:rsidRPr="00640C9E">
        <w:rPr>
          <w:szCs w:val="24"/>
          <w:lang w:val="fr-FR"/>
        </w:rPr>
        <w:t xml:space="preserve"> SCO-I et SCO</w:t>
      </w:r>
      <w:r>
        <w:rPr>
          <w:szCs w:val="24"/>
          <w:lang w:val="fr-FR"/>
        </w:rPr>
        <w:noBreakHyphen/>
      </w:r>
      <w:r w:rsidRPr="00640C9E">
        <w:rPr>
          <w:szCs w:val="24"/>
          <w:lang w:val="fr-FR"/>
        </w:rPr>
        <w:t>III</w:t>
      </w:r>
      <w:r>
        <w:rPr>
          <w:szCs w:val="24"/>
          <w:lang w:val="fr-FR"/>
        </w:rPr>
        <w:t> »</w:t>
      </w:r>
      <w:r w:rsidRPr="00640C9E">
        <w:rPr>
          <w:szCs w:val="24"/>
          <w:lang w:val="fr-FR"/>
        </w:rPr>
        <w:t xml:space="preserve">. </w:t>
      </w:r>
      <w:r w:rsidRPr="003C7EF7">
        <w:rPr>
          <w:szCs w:val="24"/>
        </w:rPr>
        <w:t>À la fin de l’alinéa d), remplacer</w:t>
      </w:r>
      <w:r>
        <w:rPr>
          <w:szCs w:val="24"/>
        </w:rPr>
        <w:t xml:space="preserve"> </w:t>
      </w:r>
      <w:proofErr w:type="gramStart"/>
      <w:r>
        <w:rPr>
          <w:szCs w:val="24"/>
          <w:lang w:val="fr-FR"/>
        </w:rPr>
        <w:t>« .</w:t>
      </w:r>
      <w:proofErr w:type="gramEnd"/>
      <w:r>
        <w:rPr>
          <w:szCs w:val="24"/>
          <w:lang w:val="fr-FR"/>
        </w:rPr>
        <w:t> »</w:t>
      </w:r>
      <w:r w:rsidRPr="00640C9E">
        <w:rPr>
          <w:szCs w:val="24"/>
          <w:lang w:val="fr-FR"/>
        </w:rPr>
        <w:t xml:space="preserve"> par </w:t>
      </w:r>
      <w:r>
        <w:rPr>
          <w:szCs w:val="24"/>
          <w:lang w:val="fr-FR"/>
        </w:rPr>
        <w:t>« ; et ».</w:t>
      </w:r>
      <w:r w:rsidRPr="003C7EF7">
        <w:rPr>
          <w:szCs w:val="24"/>
        </w:rPr>
        <w:t xml:space="preserve"> </w:t>
      </w:r>
      <w:r w:rsidRPr="00640C9E">
        <w:rPr>
          <w:szCs w:val="24"/>
          <w:lang w:val="fr-FR"/>
        </w:rPr>
        <w:t>Ajouter le nouvel alinéa e) suivant</w:t>
      </w:r>
      <w:r>
        <w:rPr>
          <w:szCs w:val="24"/>
          <w:lang w:val="fr-FR"/>
        </w:rPr>
        <w:t> :</w:t>
      </w:r>
    </w:p>
    <w:p w:rsidR="00124E6E" w:rsidRPr="00640C9E" w:rsidRDefault="00361A7A" w:rsidP="00FE3F4F">
      <w:pPr>
        <w:pStyle w:val="SingleTxtG"/>
        <w:tabs>
          <w:tab w:val="left" w:pos="2268"/>
        </w:tabs>
        <w:ind w:left="2259" w:hanging="1125"/>
        <w:rPr>
          <w:szCs w:val="24"/>
        </w:rPr>
      </w:pPr>
      <w:r>
        <w:rPr>
          <w:szCs w:val="24"/>
          <w:lang w:val="fr-FR"/>
        </w:rPr>
        <w:tab/>
      </w:r>
      <w:r w:rsidR="00124E6E">
        <w:rPr>
          <w:szCs w:val="24"/>
          <w:lang w:val="fr-FR"/>
        </w:rPr>
        <w:t>« </w:t>
      </w:r>
      <w:proofErr w:type="gramStart"/>
      <w:r w:rsidR="00124E6E" w:rsidRPr="00640C9E">
        <w:rPr>
          <w:szCs w:val="24"/>
          <w:lang w:val="fr-FR"/>
        </w:rPr>
        <w:t>e</w:t>
      </w:r>
      <w:proofErr w:type="gramEnd"/>
      <w:r w:rsidR="00124E6E" w:rsidRPr="00640C9E">
        <w:rPr>
          <w:szCs w:val="24"/>
          <w:lang w:val="fr-FR"/>
        </w:rPr>
        <w:t>)</w:t>
      </w:r>
      <w:r w:rsidR="00124E6E" w:rsidRPr="00640C9E">
        <w:rPr>
          <w:szCs w:val="24"/>
          <w:lang w:val="fr-FR"/>
        </w:rPr>
        <w:tab/>
        <w:t>Pour les objets SCO-III</w:t>
      </w:r>
      <w:r w:rsidR="00124E6E">
        <w:rPr>
          <w:szCs w:val="24"/>
          <w:lang w:val="fr-FR"/>
        </w:rPr>
        <w:t> :</w:t>
      </w:r>
      <w:r w:rsidR="00124E6E" w:rsidRPr="00640C9E">
        <w:rPr>
          <w:szCs w:val="24"/>
          <w:lang w:val="fr-FR"/>
        </w:rPr>
        <w:t xml:space="preserve"> </w:t>
      </w:r>
    </w:p>
    <w:p w:rsidR="00124E6E" w:rsidRPr="00640C9E" w:rsidRDefault="00124E6E" w:rsidP="00124E6E">
      <w:pPr>
        <w:pStyle w:val="SingleTxtG"/>
        <w:ind w:left="2835"/>
        <w:rPr>
          <w:szCs w:val="24"/>
        </w:rPr>
      </w:pPr>
      <w:r w:rsidRPr="00640C9E">
        <w:rPr>
          <w:szCs w:val="24"/>
          <w:lang w:val="fr-FR"/>
        </w:rPr>
        <w:t>i)</w:t>
      </w:r>
      <w:r w:rsidRPr="00640C9E">
        <w:rPr>
          <w:szCs w:val="24"/>
          <w:lang w:val="fr-FR"/>
        </w:rPr>
        <w:tab/>
        <w:t>Le transport doit s</w:t>
      </w:r>
      <w:r>
        <w:rPr>
          <w:szCs w:val="24"/>
          <w:lang w:val="fr-FR"/>
        </w:rPr>
        <w:t>’</w:t>
      </w:r>
      <w:r w:rsidRPr="00640C9E">
        <w:rPr>
          <w:szCs w:val="24"/>
          <w:lang w:val="fr-FR"/>
        </w:rPr>
        <w:t xml:space="preserve">effectuer </w:t>
      </w:r>
      <w:proofErr w:type="spellStart"/>
      <w:r w:rsidRPr="00640C9E">
        <w:rPr>
          <w:szCs w:val="24"/>
          <w:lang w:val="fr-FR"/>
        </w:rPr>
        <w:t>sous utilisation</w:t>
      </w:r>
      <w:proofErr w:type="spellEnd"/>
      <w:r w:rsidRPr="00640C9E">
        <w:rPr>
          <w:szCs w:val="24"/>
          <w:lang w:val="fr-FR"/>
        </w:rPr>
        <w:t xml:space="preserve"> exclusive</w:t>
      </w:r>
      <w:r>
        <w:rPr>
          <w:szCs w:val="24"/>
          <w:lang w:val="fr-FR"/>
        </w:rPr>
        <w:t>.</w:t>
      </w:r>
      <w:r w:rsidRPr="00640C9E">
        <w:rPr>
          <w:szCs w:val="24"/>
          <w:lang w:val="fr-FR"/>
        </w:rPr>
        <w:t xml:space="preserve"> </w:t>
      </w:r>
    </w:p>
    <w:p w:rsidR="00124E6E" w:rsidRPr="00640C9E" w:rsidRDefault="00124E6E" w:rsidP="00124E6E">
      <w:pPr>
        <w:pStyle w:val="SingleTxtG"/>
        <w:tabs>
          <w:tab w:val="left" w:pos="2268"/>
        </w:tabs>
        <w:ind w:left="2268" w:firstLine="567"/>
        <w:rPr>
          <w:szCs w:val="24"/>
        </w:rPr>
      </w:pPr>
      <w:r w:rsidRPr="00640C9E">
        <w:rPr>
          <w:szCs w:val="24"/>
          <w:lang w:val="fr-FR"/>
        </w:rPr>
        <w:t>ii)</w:t>
      </w:r>
      <w:r w:rsidRPr="00640C9E">
        <w:rPr>
          <w:szCs w:val="24"/>
          <w:lang w:val="fr-FR"/>
        </w:rPr>
        <w:tab/>
        <w:t xml:space="preserve">Le gerbage </w:t>
      </w:r>
      <w:r>
        <w:rPr>
          <w:szCs w:val="24"/>
          <w:lang w:val="fr-FR"/>
        </w:rPr>
        <w:t>n’est pas autorisé.</w:t>
      </w:r>
      <w:r w:rsidRPr="00640C9E">
        <w:rPr>
          <w:szCs w:val="24"/>
          <w:lang w:val="fr-FR"/>
        </w:rPr>
        <w:t xml:space="preserve"> </w:t>
      </w:r>
    </w:p>
    <w:p w:rsidR="00124E6E" w:rsidRPr="00640C9E" w:rsidRDefault="00124E6E" w:rsidP="00124E6E">
      <w:pPr>
        <w:pStyle w:val="SingleTxtG"/>
        <w:ind w:left="2835"/>
        <w:rPr>
          <w:szCs w:val="24"/>
        </w:rPr>
      </w:pPr>
      <w:r w:rsidRPr="00640C9E">
        <w:rPr>
          <w:szCs w:val="24"/>
          <w:lang w:val="fr-FR"/>
        </w:rPr>
        <w:t>iii)</w:t>
      </w:r>
      <w:r w:rsidRPr="00640C9E">
        <w:rPr>
          <w:szCs w:val="24"/>
          <w:lang w:val="fr-FR"/>
        </w:rPr>
        <w:tab/>
        <w:t xml:space="preserve">Toutes les activités </w:t>
      </w:r>
      <w:r>
        <w:rPr>
          <w:szCs w:val="24"/>
          <w:lang w:val="fr-FR"/>
        </w:rPr>
        <w:t>associées</w:t>
      </w:r>
      <w:r w:rsidRPr="00640C9E">
        <w:rPr>
          <w:szCs w:val="24"/>
          <w:lang w:val="fr-FR"/>
        </w:rPr>
        <w:t xml:space="preserve"> à l</w:t>
      </w:r>
      <w:r>
        <w:rPr>
          <w:szCs w:val="24"/>
          <w:lang w:val="fr-FR"/>
        </w:rPr>
        <w:t>’</w:t>
      </w:r>
      <w:r w:rsidRPr="00640C9E">
        <w:rPr>
          <w:szCs w:val="24"/>
          <w:lang w:val="fr-FR"/>
        </w:rPr>
        <w:t xml:space="preserve">expédition, </w:t>
      </w:r>
      <w:r>
        <w:rPr>
          <w:szCs w:val="24"/>
          <w:lang w:val="fr-FR"/>
        </w:rPr>
        <w:t>y compris la</w:t>
      </w:r>
      <w:r w:rsidRPr="00640C9E">
        <w:rPr>
          <w:szCs w:val="24"/>
          <w:lang w:val="fr-FR"/>
        </w:rPr>
        <w:t xml:space="preserve"> radioprotection, les interventions d</w:t>
      </w:r>
      <w:r>
        <w:rPr>
          <w:szCs w:val="24"/>
          <w:lang w:val="fr-FR"/>
        </w:rPr>
        <w:t>’</w:t>
      </w:r>
      <w:r w:rsidRPr="00640C9E">
        <w:rPr>
          <w:szCs w:val="24"/>
          <w:lang w:val="fr-FR"/>
        </w:rPr>
        <w:t xml:space="preserve">urgence et </w:t>
      </w:r>
      <w:r>
        <w:rPr>
          <w:szCs w:val="24"/>
          <w:lang w:val="fr-FR"/>
        </w:rPr>
        <w:t>toute</w:t>
      </w:r>
      <w:r w:rsidRPr="00640C9E">
        <w:rPr>
          <w:szCs w:val="24"/>
          <w:lang w:val="fr-FR"/>
        </w:rPr>
        <w:t xml:space="preserve"> précaution spéciale </w:t>
      </w:r>
      <w:r w:rsidRPr="00EB4D25">
        <w:rPr>
          <w:szCs w:val="24"/>
          <w:lang w:val="fr-FR"/>
        </w:rPr>
        <w:t>ou opération spéciale administrative ou opérationnelle, qui seront</w:t>
      </w:r>
      <w:r w:rsidRPr="00640C9E">
        <w:rPr>
          <w:szCs w:val="24"/>
          <w:lang w:val="fr-FR"/>
        </w:rPr>
        <w:t xml:space="preserve"> </w:t>
      </w:r>
      <w:r>
        <w:rPr>
          <w:szCs w:val="24"/>
          <w:lang w:val="fr-FR"/>
        </w:rPr>
        <w:t xml:space="preserve">réalisées </w:t>
      </w:r>
      <w:r w:rsidRPr="00640C9E">
        <w:rPr>
          <w:szCs w:val="24"/>
          <w:lang w:val="fr-FR"/>
        </w:rPr>
        <w:t xml:space="preserve">en cours de transport, doivent être décrites dans un plan de transport. Ce plan de transport doit </w:t>
      </w:r>
      <w:r>
        <w:rPr>
          <w:szCs w:val="24"/>
          <w:lang w:val="fr-FR"/>
        </w:rPr>
        <w:t>prouver</w:t>
      </w:r>
      <w:r w:rsidRPr="00640C9E">
        <w:rPr>
          <w:szCs w:val="24"/>
          <w:lang w:val="fr-FR"/>
        </w:rPr>
        <w:t xml:space="preserve"> que le niveau général de sûreté du transport est au moins équivalent à celui qui </w:t>
      </w:r>
      <w:r>
        <w:rPr>
          <w:szCs w:val="24"/>
          <w:lang w:val="fr-FR"/>
        </w:rPr>
        <w:t>aurait été</w:t>
      </w:r>
      <w:r w:rsidRPr="00640C9E">
        <w:rPr>
          <w:szCs w:val="24"/>
          <w:lang w:val="fr-FR"/>
        </w:rPr>
        <w:t xml:space="preserve"> obtenu si</w:t>
      </w:r>
      <w:r>
        <w:rPr>
          <w:szCs w:val="24"/>
          <w:lang w:val="fr-FR"/>
        </w:rPr>
        <w:t xml:space="preserve"> </w:t>
      </w:r>
      <w:r w:rsidRPr="00640C9E">
        <w:rPr>
          <w:szCs w:val="24"/>
          <w:lang w:val="fr-FR"/>
        </w:rPr>
        <w:t>les prescriptions du 6.4.7.14 (uniquement pour l</w:t>
      </w:r>
      <w:r>
        <w:rPr>
          <w:szCs w:val="24"/>
          <w:lang w:val="fr-FR"/>
        </w:rPr>
        <w:t>’</w:t>
      </w:r>
      <w:r w:rsidRPr="00640C9E">
        <w:rPr>
          <w:szCs w:val="24"/>
          <w:lang w:val="fr-FR"/>
        </w:rPr>
        <w:t>épreuve décrite au 6.4.15.6, précédée par les épreuves décrites au 6.4.15.2 et au 6.4.15.3) avaient été satisfaites.</w:t>
      </w:r>
    </w:p>
    <w:p w:rsidR="00124E6E" w:rsidRPr="00640C9E" w:rsidRDefault="00124E6E" w:rsidP="00124E6E">
      <w:pPr>
        <w:pStyle w:val="SingleTxtG"/>
        <w:ind w:left="2835"/>
        <w:rPr>
          <w:szCs w:val="24"/>
        </w:rPr>
      </w:pPr>
      <w:r w:rsidRPr="00640C9E">
        <w:rPr>
          <w:szCs w:val="24"/>
          <w:lang w:val="fr-FR"/>
        </w:rPr>
        <w:t>iv)</w:t>
      </w:r>
      <w:r w:rsidRPr="00640C9E">
        <w:rPr>
          <w:szCs w:val="24"/>
          <w:lang w:val="fr-FR"/>
        </w:rPr>
        <w:tab/>
        <w:t xml:space="preserve">Les prescriptions du 6.4.5.1 et du 6.4.5.2 pour un colis du type IP-2 doivent être satisfaites, </w:t>
      </w:r>
      <w:r>
        <w:rPr>
          <w:szCs w:val="24"/>
          <w:lang w:val="fr-FR"/>
        </w:rPr>
        <w:t>si ce n’est que</w:t>
      </w:r>
      <w:r w:rsidRPr="00640C9E">
        <w:rPr>
          <w:szCs w:val="24"/>
          <w:lang w:val="fr-FR"/>
        </w:rPr>
        <w:t xml:space="preserve"> le dommage maximal </w:t>
      </w:r>
      <w:r>
        <w:rPr>
          <w:szCs w:val="24"/>
          <w:lang w:val="fr-FR"/>
        </w:rPr>
        <w:t>auquel il est fait référence</w:t>
      </w:r>
      <w:r w:rsidRPr="00640C9E">
        <w:rPr>
          <w:szCs w:val="24"/>
          <w:lang w:val="fr-FR"/>
        </w:rPr>
        <w:t xml:space="preserve"> au 6.4.15.4 peut être déterminé sur la base des dispositions </w:t>
      </w:r>
      <w:r>
        <w:rPr>
          <w:szCs w:val="24"/>
          <w:lang w:val="fr-FR"/>
        </w:rPr>
        <w:t>prévues dans le</w:t>
      </w:r>
      <w:r w:rsidRPr="00640C9E">
        <w:rPr>
          <w:szCs w:val="24"/>
          <w:lang w:val="fr-FR"/>
        </w:rPr>
        <w:t xml:space="preserve"> plan de transport, et les prescriptions du 6.4.15.5 ne sont pas applicables. </w:t>
      </w:r>
    </w:p>
    <w:p w:rsidR="00124E6E" w:rsidRPr="00640C9E" w:rsidRDefault="00124E6E" w:rsidP="00124E6E">
      <w:pPr>
        <w:pStyle w:val="SingleTxtG"/>
        <w:ind w:left="2835"/>
        <w:rPr>
          <w:szCs w:val="24"/>
        </w:rPr>
      </w:pPr>
      <w:r w:rsidRPr="00640C9E">
        <w:rPr>
          <w:szCs w:val="24"/>
          <w:lang w:val="fr-FR"/>
        </w:rPr>
        <w:t>v)</w:t>
      </w:r>
      <w:r w:rsidRPr="00640C9E">
        <w:rPr>
          <w:szCs w:val="24"/>
          <w:lang w:val="fr-FR"/>
        </w:rPr>
        <w:tab/>
        <w:t>L</w:t>
      </w:r>
      <w:r>
        <w:rPr>
          <w:szCs w:val="24"/>
          <w:lang w:val="fr-FR"/>
        </w:rPr>
        <w:t>’</w:t>
      </w:r>
      <w:r w:rsidRPr="00640C9E">
        <w:rPr>
          <w:szCs w:val="24"/>
          <w:lang w:val="fr-FR"/>
        </w:rPr>
        <w:t xml:space="preserve">objet et </w:t>
      </w:r>
      <w:r>
        <w:rPr>
          <w:szCs w:val="24"/>
          <w:lang w:val="fr-FR"/>
        </w:rPr>
        <w:t>toute</w:t>
      </w:r>
      <w:r w:rsidRPr="00640C9E">
        <w:rPr>
          <w:szCs w:val="24"/>
          <w:lang w:val="fr-FR"/>
        </w:rPr>
        <w:t xml:space="preserve"> protection éventuelle doivent être arrimés au moyen de transport conformément au 6.4.2.1.</w:t>
      </w:r>
    </w:p>
    <w:p w:rsidR="00124E6E" w:rsidRPr="00640C9E" w:rsidRDefault="00124E6E" w:rsidP="00124E6E">
      <w:pPr>
        <w:pStyle w:val="SingleTxtG"/>
        <w:tabs>
          <w:tab w:val="left" w:pos="2268"/>
        </w:tabs>
        <w:ind w:left="2268" w:firstLine="567"/>
        <w:rPr>
          <w:szCs w:val="24"/>
        </w:rPr>
      </w:pPr>
      <w:r w:rsidRPr="00640C9E">
        <w:rPr>
          <w:szCs w:val="24"/>
          <w:lang w:val="fr-FR"/>
        </w:rPr>
        <w:t>vi)</w:t>
      </w:r>
      <w:r w:rsidRPr="00640C9E">
        <w:rPr>
          <w:szCs w:val="24"/>
          <w:lang w:val="fr-FR"/>
        </w:rPr>
        <w:tab/>
        <w:t>L</w:t>
      </w:r>
      <w:r>
        <w:rPr>
          <w:szCs w:val="24"/>
          <w:lang w:val="fr-FR"/>
        </w:rPr>
        <w:t>’</w:t>
      </w:r>
      <w:r w:rsidRPr="00640C9E">
        <w:rPr>
          <w:szCs w:val="24"/>
          <w:lang w:val="fr-FR"/>
        </w:rPr>
        <w:t>expédition doit être soumise à un agrément multilatéral.</w:t>
      </w:r>
      <w:r>
        <w:rPr>
          <w:szCs w:val="24"/>
          <w:lang w:val="fr-FR"/>
        </w:rPr>
        <w:t> »</w:t>
      </w:r>
      <w:r w:rsidRPr="00640C9E">
        <w:rPr>
          <w:szCs w:val="24"/>
          <w:lang w:val="fr-FR"/>
        </w:rPr>
        <w:t>.</w:t>
      </w:r>
    </w:p>
    <w:p w:rsidR="00124E6E" w:rsidRPr="0078529F" w:rsidRDefault="00124E6E" w:rsidP="00124E6E">
      <w:pPr>
        <w:pStyle w:val="H1G"/>
      </w:pPr>
      <w:r>
        <w:tab/>
      </w:r>
      <w:r>
        <w:tab/>
        <w:t>Chapitre 4.2</w:t>
      </w:r>
    </w:p>
    <w:p w:rsidR="00124E6E" w:rsidRDefault="00124E6E" w:rsidP="00FE3F4F">
      <w:pPr>
        <w:pStyle w:val="SingleTxtG"/>
        <w:tabs>
          <w:tab w:val="left" w:pos="2268"/>
        </w:tabs>
        <w:ind w:left="2259" w:hanging="1125"/>
      </w:pPr>
      <w:r>
        <w:t xml:space="preserve">Ajouter le nouveau 4.2.3.7.3 </w:t>
      </w:r>
      <w:proofErr w:type="gramStart"/>
      <w:r>
        <w:t>suivant</w:t>
      </w:r>
      <w:proofErr w:type="gramEnd"/>
      <w:r>
        <w:t> :</w:t>
      </w:r>
    </w:p>
    <w:p w:rsidR="00124E6E" w:rsidRPr="00CA445C" w:rsidRDefault="00124E6E" w:rsidP="00FE3F4F">
      <w:pPr>
        <w:pStyle w:val="SingleTxtG"/>
        <w:tabs>
          <w:tab w:val="left" w:pos="2268"/>
        </w:tabs>
        <w:ind w:left="2259" w:hanging="1125"/>
      </w:pPr>
      <w:r>
        <w:t>« 4.2.3.7.3</w:t>
      </w:r>
      <w:r>
        <w:tab/>
      </w:r>
      <w:r w:rsidRPr="00CA445C">
        <w:t xml:space="preserve"> </w:t>
      </w:r>
      <w:r w:rsidRPr="00766229">
        <w:t xml:space="preserve">La date à laquelle le temps de retenue réel expire doit être indiquée dans le document de transport (voir </w:t>
      </w:r>
      <w:r>
        <w:t>5.4.1.2.2 (d)</w:t>
      </w:r>
      <w:r w:rsidRPr="00766229">
        <w:t>).</w:t>
      </w:r>
      <w:r>
        <w:t> ».</w:t>
      </w:r>
    </w:p>
    <w:p w:rsidR="00124E6E" w:rsidRDefault="00124E6E" w:rsidP="00FE3F4F">
      <w:pPr>
        <w:pStyle w:val="SingleTxtG"/>
        <w:tabs>
          <w:tab w:val="left" w:pos="2268"/>
        </w:tabs>
        <w:ind w:left="2259" w:hanging="1125"/>
      </w:pPr>
      <w:r w:rsidRPr="00AF3D1D">
        <w:t>4.2.5.3</w:t>
      </w:r>
      <w:r>
        <w:t>, TP19</w:t>
      </w:r>
      <w:r>
        <w:tab/>
        <w:t>Modifier pour lire comme suit :</w:t>
      </w:r>
    </w:p>
    <w:p w:rsidR="00124E6E" w:rsidRDefault="00361A7A" w:rsidP="00FE3F4F">
      <w:pPr>
        <w:pStyle w:val="SingleTxtG"/>
        <w:tabs>
          <w:tab w:val="left" w:pos="2268"/>
        </w:tabs>
        <w:ind w:left="2259" w:hanging="1125"/>
      </w:pPr>
      <w:bookmarkStart w:id="53" w:name="_Hlk518036205"/>
      <w:r>
        <w:tab/>
      </w:r>
      <w:r w:rsidR="00124E6E">
        <w:t>« </w:t>
      </w:r>
      <w:r w:rsidR="00124E6E" w:rsidRPr="001C013A">
        <w:rPr>
          <w:b/>
          <w:bCs/>
        </w:rPr>
        <w:t>TP19</w:t>
      </w:r>
      <w:r w:rsidR="00124E6E">
        <w:t xml:space="preserve"> </w:t>
      </w:r>
      <w:r w:rsidR="00124E6E">
        <w:tab/>
        <w:t xml:space="preserve">Au moment de la construction, l'épaisseur minimale du réservoir déterminée conformément au 6.7.3.4, doit être augmentée de 3 mm afin de prévoir une </w:t>
      </w:r>
      <w:r w:rsidR="00124E6E" w:rsidRPr="005D563A">
        <w:rPr>
          <w:color w:val="000000"/>
        </w:rPr>
        <w:t>surépaisseur de corrosion</w:t>
      </w:r>
      <w:r w:rsidR="00124E6E">
        <w:t xml:space="preserve">. L'épaisseur du réservoir doit être vérifiée par ultrasons à </w:t>
      </w:r>
      <w:proofErr w:type="spellStart"/>
      <w:r w:rsidR="00124E6E">
        <w:t>mi-intervalle</w:t>
      </w:r>
      <w:proofErr w:type="spellEnd"/>
      <w:r w:rsidR="00124E6E">
        <w:t xml:space="preserve"> entre les épreuves périodiques de </w:t>
      </w:r>
      <w:r w:rsidR="00124E6E" w:rsidRPr="00A27026">
        <w:t xml:space="preserve">pression </w:t>
      </w:r>
      <w:r w:rsidR="00124E6E" w:rsidRPr="00A27026">
        <w:lastRenderedPageBreak/>
        <w:t>hydraulique et ne doit jamais être inférieure à l’épaisseur minimale déterminée conformément au 6.7.3.4.</w:t>
      </w:r>
      <w:r w:rsidR="00124E6E">
        <w:t> ».</w:t>
      </w:r>
    </w:p>
    <w:bookmarkEnd w:id="53"/>
    <w:p w:rsidR="00124E6E" w:rsidRDefault="00124E6E" w:rsidP="00124E6E">
      <w:pPr>
        <w:pStyle w:val="H1G"/>
      </w:pPr>
      <w:r>
        <w:tab/>
      </w:r>
      <w:r>
        <w:tab/>
        <w:t>Chapitre 4.3</w:t>
      </w:r>
    </w:p>
    <w:p w:rsidR="00124E6E" w:rsidRPr="00AB7C1B" w:rsidRDefault="00124E6E" w:rsidP="00FE3F4F">
      <w:pPr>
        <w:pStyle w:val="SingleTxtG"/>
        <w:tabs>
          <w:tab w:val="left" w:pos="2268"/>
        </w:tabs>
        <w:ind w:left="2259" w:hanging="1125"/>
      </w:pPr>
      <w:r>
        <w:t>4.3.4.1.3</w:t>
      </w:r>
      <w:r>
        <w:tab/>
      </w:r>
      <w:r>
        <w:rPr>
          <w:szCs w:val="24"/>
          <w:lang w:val="fr-FR"/>
        </w:rPr>
        <w:t>L’amendement à la version anglaise est sans objet en français</w:t>
      </w:r>
      <w:r w:rsidRPr="00640C9E">
        <w:rPr>
          <w:szCs w:val="24"/>
          <w:lang w:val="fr-FR"/>
        </w:rPr>
        <w:t>.</w:t>
      </w:r>
    </w:p>
    <w:p w:rsidR="00124E6E" w:rsidRPr="00640C9E" w:rsidRDefault="00124E6E" w:rsidP="00124E6E">
      <w:pPr>
        <w:pStyle w:val="H1G"/>
      </w:pPr>
      <w:r>
        <w:rPr>
          <w:lang w:val="fr-FR"/>
        </w:rPr>
        <w:tab/>
      </w:r>
      <w:r>
        <w:rPr>
          <w:lang w:val="fr-FR"/>
        </w:rPr>
        <w:tab/>
      </w:r>
      <w:r w:rsidRPr="00640C9E">
        <w:rPr>
          <w:lang w:val="fr-FR"/>
        </w:rPr>
        <w:t>Chapitre 5.1</w:t>
      </w:r>
    </w:p>
    <w:p w:rsidR="00124E6E" w:rsidRPr="00EB4D25" w:rsidRDefault="00124E6E" w:rsidP="00124E6E">
      <w:pPr>
        <w:pStyle w:val="SingleTxtG"/>
        <w:tabs>
          <w:tab w:val="left" w:pos="2268"/>
        </w:tabs>
        <w:rPr>
          <w:b/>
          <w:szCs w:val="24"/>
          <w:lang w:val="fr-FR"/>
        </w:rPr>
      </w:pPr>
      <w:r w:rsidRPr="00EB4D25">
        <w:rPr>
          <w:b/>
          <w:szCs w:val="24"/>
          <w:lang w:val="fr-FR"/>
        </w:rPr>
        <w:t>(RID :)</w:t>
      </w:r>
    </w:p>
    <w:p w:rsidR="00124E6E" w:rsidRDefault="00124E6E" w:rsidP="00FE3F4F">
      <w:pPr>
        <w:pStyle w:val="SingleTxtG"/>
        <w:tabs>
          <w:tab w:val="left" w:pos="2268"/>
        </w:tabs>
        <w:ind w:left="2259" w:hanging="1125"/>
        <w:rPr>
          <w:szCs w:val="24"/>
          <w:lang w:val="fr-FR"/>
        </w:rPr>
      </w:pPr>
      <w:r w:rsidRPr="00640C9E">
        <w:rPr>
          <w:szCs w:val="24"/>
          <w:lang w:val="fr-FR"/>
        </w:rPr>
        <w:t>5.1.5.1.2</w:t>
      </w:r>
      <w:r w:rsidRPr="00640C9E">
        <w:rPr>
          <w:szCs w:val="24"/>
          <w:lang w:val="fr-FR"/>
        </w:rPr>
        <w:tab/>
      </w:r>
      <w:r>
        <w:rPr>
          <w:szCs w:val="24"/>
          <w:lang w:val="fr-FR"/>
        </w:rPr>
        <w:t>À</w:t>
      </w:r>
      <w:r w:rsidRPr="00A813A7">
        <w:rPr>
          <w:szCs w:val="24"/>
          <w:lang w:val="fr-FR"/>
        </w:rPr>
        <w:t xml:space="preserve"> la fin</w:t>
      </w:r>
      <w:r w:rsidRPr="00640C9E">
        <w:rPr>
          <w:szCs w:val="24"/>
          <w:lang w:val="fr-FR"/>
        </w:rPr>
        <w:t xml:space="preserve"> de l</w:t>
      </w:r>
      <w:r>
        <w:rPr>
          <w:szCs w:val="24"/>
          <w:lang w:val="fr-FR"/>
        </w:rPr>
        <w:t>’</w:t>
      </w:r>
      <w:r w:rsidRPr="00640C9E">
        <w:rPr>
          <w:szCs w:val="24"/>
          <w:lang w:val="fr-FR"/>
        </w:rPr>
        <w:t>alinéa c)</w:t>
      </w:r>
      <w:r>
        <w:rPr>
          <w:szCs w:val="24"/>
          <w:lang w:val="fr-FR"/>
        </w:rPr>
        <w:t xml:space="preserve">, ajouter </w:t>
      </w:r>
      <w:r w:rsidRPr="00233CA9">
        <w:rPr>
          <w:szCs w:val="24"/>
          <w:lang w:val="fr-FR"/>
        </w:rPr>
        <w:t>«</w:t>
      </w:r>
      <w:r>
        <w:rPr>
          <w:szCs w:val="24"/>
          <w:lang w:val="fr-FR"/>
        </w:rPr>
        <w:t xml:space="preserve"> </w:t>
      </w:r>
      <w:r w:rsidRPr="00233CA9">
        <w:rPr>
          <w:szCs w:val="24"/>
          <w:lang w:val="fr-FR"/>
        </w:rPr>
        <w:t>et</w:t>
      </w:r>
      <w:r>
        <w:rPr>
          <w:szCs w:val="24"/>
          <w:lang w:val="fr-FR"/>
        </w:rPr>
        <w:t xml:space="preserve"> </w:t>
      </w:r>
      <w:r w:rsidRPr="00233CA9">
        <w:rPr>
          <w:szCs w:val="24"/>
          <w:lang w:val="fr-FR"/>
        </w:rPr>
        <w:t>».</w:t>
      </w:r>
    </w:p>
    <w:p w:rsidR="00124E6E" w:rsidRPr="00640C9E" w:rsidRDefault="00124E6E" w:rsidP="00FE3F4F">
      <w:pPr>
        <w:pStyle w:val="SingleTxtG"/>
        <w:tabs>
          <w:tab w:val="left" w:pos="2268"/>
        </w:tabs>
        <w:ind w:left="2259" w:hanging="1125"/>
        <w:rPr>
          <w:szCs w:val="24"/>
        </w:rPr>
      </w:pPr>
      <w:r>
        <w:rPr>
          <w:szCs w:val="24"/>
          <w:lang w:val="fr-FR"/>
        </w:rPr>
        <w:tab/>
      </w:r>
      <w:r w:rsidRPr="00640C9E">
        <w:rPr>
          <w:szCs w:val="24"/>
          <w:lang w:val="fr-FR"/>
        </w:rPr>
        <w:t>Ajouter le</w:t>
      </w:r>
      <w:r>
        <w:rPr>
          <w:szCs w:val="24"/>
          <w:lang w:val="fr-FR"/>
        </w:rPr>
        <w:t>s</w:t>
      </w:r>
      <w:r w:rsidRPr="00640C9E">
        <w:rPr>
          <w:szCs w:val="24"/>
          <w:lang w:val="fr-FR"/>
        </w:rPr>
        <w:t xml:space="preserve"> nouve</w:t>
      </w:r>
      <w:r>
        <w:rPr>
          <w:szCs w:val="24"/>
          <w:lang w:val="fr-FR"/>
        </w:rPr>
        <w:t>aux</w:t>
      </w:r>
      <w:r w:rsidRPr="00640C9E">
        <w:rPr>
          <w:szCs w:val="24"/>
          <w:lang w:val="fr-FR"/>
        </w:rPr>
        <w:t xml:space="preserve"> alinéa</w:t>
      </w:r>
      <w:r>
        <w:rPr>
          <w:szCs w:val="24"/>
          <w:lang w:val="fr-FR"/>
        </w:rPr>
        <w:t>s d) et</w:t>
      </w:r>
      <w:r w:rsidRPr="00640C9E">
        <w:rPr>
          <w:szCs w:val="24"/>
          <w:lang w:val="fr-FR"/>
        </w:rPr>
        <w:t xml:space="preserve"> e) suivant</w:t>
      </w:r>
      <w:r>
        <w:rPr>
          <w:szCs w:val="24"/>
          <w:lang w:val="fr-FR"/>
        </w:rPr>
        <w:t>s :</w:t>
      </w:r>
    </w:p>
    <w:p w:rsidR="00124E6E" w:rsidRDefault="00124E6E" w:rsidP="00124E6E">
      <w:pPr>
        <w:pStyle w:val="SingleTxtG"/>
        <w:tabs>
          <w:tab w:val="left" w:pos="2268"/>
        </w:tabs>
        <w:ind w:firstLine="1134"/>
        <w:rPr>
          <w:szCs w:val="24"/>
          <w:lang w:val="fr-FR"/>
        </w:rPr>
      </w:pPr>
      <w:r>
        <w:rPr>
          <w:szCs w:val="24"/>
          <w:lang w:val="fr-FR"/>
        </w:rPr>
        <w:t>« </w:t>
      </w:r>
      <w:proofErr w:type="gramStart"/>
      <w:r>
        <w:rPr>
          <w:szCs w:val="24"/>
          <w:lang w:val="fr-FR"/>
        </w:rPr>
        <w:t>d</w:t>
      </w:r>
      <w:proofErr w:type="gramEnd"/>
      <w:r>
        <w:rPr>
          <w:szCs w:val="24"/>
          <w:lang w:val="fr-FR"/>
        </w:rPr>
        <w:t>)</w:t>
      </w:r>
      <w:r>
        <w:rPr>
          <w:szCs w:val="24"/>
          <w:lang w:val="fr-FR"/>
        </w:rPr>
        <w:tab/>
      </w:r>
      <w:r w:rsidRPr="00AB7C1B">
        <w:rPr>
          <w:i/>
          <w:iCs/>
          <w:szCs w:val="24"/>
          <w:lang w:val="fr-FR"/>
        </w:rPr>
        <w:t>(Réservé)</w:t>
      </w:r>
      <w:r>
        <w:rPr>
          <w:szCs w:val="24"/>
          <w:lang w:val="fr-FR"/>
        </w:rPr>
        <w:t> ;</w:t>
      </w:r>
    </w:p>
    <w:p w:rsidR="00124E6E" w:rsidRPr="00640C9E" w:rsidRDefault="00124E6E" w:rsidP="00124E6E">
      <w:pPr>
        <w:pStyle w:val="SingleTxtG"/>
        <w:tabs>
          <w:tab w:val="left" w:pos="2268"/>
        </w:tabs>
        <w:ind w:firstLine="1134"/>
        <w:rPr>
          <w:szCs w:val="24"/>
        </w:rPr>
      </w:pPr>
      <w:r w:rsidRPr="00640C9E">
        <w:rPr>
          <w:szCs w:val="24"/>
          <w:lang w:val="fr-FR"/>
        </w:rPr>
        <w:t xml:space="preserve">e) </w:t>
      </w:r>
      <w:r w:rsidRPr="00640C9E">
        <w:rPr>
          <w:szCs w:val="24"/>
          <w:lang w:val="fr-FR"/>
        </w:rPr>
        <w:tab/>
        <w:t>L</w:t>
      </w:r>
      <w:r>
        <w:rPr>
          <w:szCs w:val="24"/>
          <w:lang w:val="fr-FR"/>
        </w:rPr>
        <w:t>’</w:t>
      </w:r>
      <w:r w:rsidRPr="00640C9E">
        <w:rPr>
          <w:szCs w:val="24"/>
          <w:lang w:val="fr-FR"/>
        </w:rPr>
        <w:t>expédition de SCO-III.</w:t>
      </w:r>
      <w:r>
        <w:rPr>
          <w:szCs w:val="24"/>
          <w:lang w:val="fr-FR"/>
        </w:rPr>
        <w:t> »</w:t>
      </w:r>
      <w:r w:rsidRPr="00640C9E">
        <w:rPr>
          <w:szCs w:val="24"/>
          <w:lang w:val="fr-FR"/>
        </w:rPr>
        <w:t>.</w:t>
      </w:r>
    </w:p>
    <w:p w:rsidR="00124E6E" w:rsidRPr="00EB4D25" w:rsidRDefault="00124E6E" w:rsidP="00124E6E">
      <w:pPr>
        <w:pStyle w:val="SingleTxtG"/>
        <w:tabs>
          <w:tab w:val="left" w:pos="2268"/>
        </w:tabs>
        <w:rPr>
          <w:b/>
          <w:szCs w:val="24"/>
          <w:lang w:val="fr-FR"/>
        </w:rPr>
      </w:pPr>
      <w:r w:rsidRPr="00EB4D25">
        <w:rPr>
          <w:b/>
          <w:szCs w:val="24"/>
          <w:lang w:val="fr-FR"/>
        </w:rPr>
        <w:t>(ADR :)</w:t>
      </w:r>
    </w:p>
    <w:p w:rsidR="00124E6E" w:rsidRDefault="00124E6E" w:rsidP="00FE3F4F">
      <w:pPr>
        <w:pStyle w:val="SingleTxtG"/>
        <w:tabs>
          <w:tab w:val="left" w:pos="2268"/>
        </w:tabs>
        <w:ind w:left="2259" w:hanging="1125"/>
        <w:rPr>
          <w:szCs w:val="24"/>
          <w:lang w:val="fr-FR"/>
        </w:rPr>
      </w:pPr>
      <w:r w:rsidRPr="00640C9E">
        <w:rPr>
          <w:szCs w:val="24"/>
          <w:lang w:val="fr-FR"/>
        </w:rPr>
        <w:t>5.1.5.1.2</w:t>
      </w:r>
      <w:r w:rsidRPr="00640C9E">
        <w:rPr>
          <w:szCs w:val="24"/>
          <w:lang w:val="fr-FR"/>
        </w:rPr>
        <w:tab/>
      </w:r>
      <w:r w:rsidRPr="00A813A7">
        <w:rPr>
          <w:szCs w:val="24"/>
          <w:lang w:val="fr-FR"/>
        </w:rPr>
        <w:t>Supprimer le “et” à la fin</w:t>
      </w:r>
      <w:r w:rsidRPr="00640C9E">
        <w:rPr>
          <w:szCs w:val="24"/>
          <w:lang w:val="fr-FR"/>
        </w:rPr>
        <w:t xml:space="preserve"> de l</w:t>
      </w:r>
      <w:r>
        <w:rPr>
          <w:szCs w:val="24"/>
          <w:lang w:val="fr-FR"/>
        </w:rPr>
        <w:t>’</w:t>
      </w:r>
      <w:r w:rsidRPr="00640C9E">
        <w:rPr>
          <w:szCs w:val="24"/>
          <w:lang w:val="fr-FR"/>
        </w:rPr>
        <w:t xml:space="preserve">alinéa </w:t>
      </w:r>
      <w:r>
        <w:rPr>
          <w:szCs w:val="24"/>
          <w:lang w:val="fr-FR"/>
        </w:rPr>
        <w:t>b</w:t>
      </w:r>
      <w:r w:rsidRPr="00640C9E">
        <w:rPr>
          <w:szCs w:val="24"/>
          <w:lang w:val="fr-FR"/>
        </w:rPr>
        <w:t>).</w:t>
      </w:r>
      <w:r>
        <w:rPr>
          <w:szCs w:val="24"/>
          <w:lang w:val="fr-FR"/>
        </w:rPr>
        <w:t xml:space="preserve"> Ajouter </w:t>
      </w:r>
      <w:r w:rsidRPr="00233CA9">
        <w:rPr>
          <w:szCs w:val="24"/>
          <w:lang w:val="fr-FR"/>
        </w:rPr>
        <w:t>«</w:t>
      </w:r>
      <w:r>
        <w:rPr>
          <w:szCs w:val="24"/>
          <w:lang w:val="fr-FR"/>
        </w:rPr>
        <w:t xml:space="preserve"> </w:t>
      </w:r>
      <w:r w:rsidRPr="00233CA9">
        <w:rPr>
          <w:szCs w:val="24"/>
          <w:lang w:val="fr-FR"/>
        </w:rPr>
        <w:t>et</w:t>
      </w:r>
      <w:r>
        <w:rPr>
          <w:szCs w:val="24"/>
          <w:lang w:val="fr-FR"/>
        </w:rPr>
        <w:t xml:space="preserve"> </w:t>
      </w:r>
      <w:r w:rsidRPr="00233CA9">
        <w:rPr>
          <w:szCs w:val="24"/>
          <w:lang w:val="fr-FR"/>
        </w:rPr>
        <w:t xml:space="preserve">» à la fin de l'alinéa </w:t>
      </w:r>
      <w:r>
        <w:rPr>
          <w:szCs w:val="24"/>
          <w:lang w:val="fr-FR"/>
        </w:rPr>
        <w:t>c</w:t>
      </w:r>
      <w:r w:rsidRPr="00233CA9">
        <w:rPr>
          <w:szCs w:val="24"/>
          <w:lang w:val="fr-FR"/>
        </w:rPr>
        <w:t>).</w:t>
      </w:r>
    </w:p>
    <w:p w:rsidR="00124E6E" w:rsidRPr="00640C9E" w:rsidRDefault="00124E6E" w:rsidP="00FE3F4F">
      <w:pPr>
        <w:pStyle w:val="SingleTxtG"/>
        <w:tabs>
          <w:tab w:val="left" w:pos="2268"/>
        </w:tabs>
        <w:ind w:left="2259" w:hanging="1125"/>
        <w:rPr>
          <w:szCs w:val="24"/>
        </w:rPr>
      </w:pPr>
      <w:r>
        <w:rPr>
          <w:szCs w:val="24"/>
          <w:lang w:val="fr-FR"/>
        </w:rPr>
        <w:tab/>
      </w:r>
      <w:r w:rsidRPr="00640C9E">
        <w:rPr>
          <w:szCs w:val="24"/>
          <w:lang w:val="fr-FR"/>
        </w:rPr>
        <w:t>Ajouter le</w:t>
      </w:r>
      <w:r>
        <w:rPr>
          <w:szCs w:val="24"/>
          <w:lang w:val="fr-FR"/>
        </w:rPr>
        <w:t>s</w:t>
      </w:r>
      <w:r w:rsidRPr="00640C9E">
        <w:rPr>
          <w:szCs w:val="24"/>
          <w:lang w:val="fr-FR"/>
        </w:rPr>
        <w:t xml:space="preserve"> nouve</w:t>
      </w:r>
      <w:r>
        <w:rPr>
          <w:szCs w:val="24"/>
          <w:lang w:val="fr-FR"/>
        </w:rPr>
        <w:t>aux</w:t>
      </w:r>
      <w:r w:rsidRPr="00640C9E">
        <w:rPr>
          <w:szCs w:val="24"/>
          <w:lang w:val="fr-FR"/>
        </w:rPr>
        <w:t xml:space="preserve"> alinéa</w:t>
      </w:r>
      <w:r>
        <w:rPr>
          <w:szCs w:val="24"/>
          <w:lang w:val="fr-FR"/>
        </w:rPr>
        <w:t>s d) et</w:t>
      </w:r>
      <w:r w:rsidRPr="00640C9E" w:rsidDel="004467DD">
        <w:rPr>
          <w:szCs w:val="24"/>
          <w:lang w:val="fr-FR"/>
        </w:rPr>
        <w:t xml:space="preserve"> </w:t>
      </w:r>
      <w:r w:rsidRPr="00640C9E">
        <w:rPr>
          <w:szCs w:val="24"/>
          <w:lang w:val="fr-FR"/>
        </w:rPr>
        <w:t>e) suivant</w:t>
      </w:r>
      <w:r>
        <w:rPr>
          <w:szCs w:val="24"/>
          <w:lang w:val="fr-FR"/>
        </w:rPr>
        <w:t>s :</w:t>
      </w:r>
    </w:p>
    <w:p w:rsidR="00124E6E" w:rsidRDefault="00124E6E" w:rsidP="00124E6E">
      <w:pPr>
        <w:pStyle w:val="SingleTxtG"/>
        <w:tabs>
          <w:tab w:val="left" w:pos="2268"/>
        </w:tabs>
        <w:ind w:firstLine="1134"/>
        <w:rPr>
          <w:szCs w:val="24"/>
          <w:lang w:val="fr-FR"/>
        </w:rPr>
      </w:pPr>
      <w:r>
        <w:rPr>
          <w:szCs w:val="24"/>
          <w:lang w:val="fr-FR"/>
        </w:rPr>
        <w:t>« </w:t>
      </w:r>
      <w:proofErr w:type="gramStart"/>
      <w:r>
        <w:rPr>
          <w:szCs w:val="24"/>
          <w:lang w:val="fr-FR"/>
        </w:rPr>
        <w:t>d</w:t>
      </w:r>
      <w:proofErr w:type="gramEnd"/>
      <w:r>
        <w:rPr>
          <w:szCs w:val="24"/>
          <w:lang w:val="fr-FR"/>
        </w:rPr>
        <w:t>)</w:t>
      </w:r>
      <w:r>
        <w:rPr>
          <w:szCs w:val="24"/>
          <w:lang w:val="fr-FR"/>
        </w:rPr>
        <w:tab/>
      </w:r>
      <w:r w:rsidRPr="00B37176">
        <w:rPr>
          <w:i/>
          <w:iCs/>
          <w:szCs w:val="24"/>
          <w:lang w:val="fr-FR"/>
        </w:rPr>
        <w:t>(Réservé)</w:t>
      </w:r>
      <w:r>
        <w:rPr>
          <w:szCs w:val="24"/>
          <w:lang w:val="fr-FR"/>
        </w:rPr>
        <w:t> ;</w:t>
      </w:r>
    </w:p>
    <w:p w:rsidR="00124E6E" w:rsidRPr="00640C9E" w:rsidRDefault="00124E6E" w:rsidP="00124E6E">
      <w:pPr>
        <w:pStyle w:val="SingleTxtG"/>
        <w:tabs>
          <w:tab w:val="left" w:pos="2268"/>
        </w:tabs>
        <w:ind w:firstLine="1134"/>
        <w:rPr>
          <w:szCs w:val="24"/>
        </w:rPr>
      </w:pPr>
      <w:r w:rsidRPr="00640C9E">
        <w:rPr>
          <w:szCs w:val="24"/>
          <w:lang w:val="fr-FR"/>
        </w:rPr>
        <w:t xml:space="preserve">e) </w:t>
      </w:r>
      <w:r w:rsidRPr="00640C9E">
        <w:rPr>
          <w:szCs w:val="24"/>
          <w:lang w:val="fr-FR"/>
        </w:rPr>
        <w:tab/>
        <w:t>L</w:t>
      </w:r>
      <w:r>
        <w:rPr>
          <w:szCs w:val="24"/>
          <w:lang w:val="fr-FR"/>
        </w:rPr>
        <w:t>’</w:t>
      </w:r>
      <w:r w:rsidRPr="00640C9E">
        <w:rPr>
          <w:szCs w:val="24"/>
          <w:lang w:val="fr-FR"/>
        </w:rPr>
        <w:t>expédition de SCO-III.</w:t>
      </w:r>
      <w:r>
        <w:rPr>
          <w:szCs w:val="24"/>
          <w:lang w:val="fr-FR"/>
        </w:rPr>
        <w:t> »</w:t>
      </w:r>
      <w:r w:rsidRPr="00640C9E">
        <w:rPr>
          <w:szCs w:val="24"/>
          <w:lang w:val="fr-FR"/>
        </w:rPr>
        <w:t>.</w:t>
      </w:r>
    </w:p>
    <w:p w:rsidR="00124E6E" w:rsidRPr="00EB4D25" w:rsidRDefault="00124E6E" w:rsidP="00124E6E">
      <w:pPr>
        <w:pStyle w:val="SingleTxtG"/>
        <w:tabs>
          <w:tab w:val="left" w:pos="2268"/>
        </w:tabs>
        <w:rPr>
          <w:b/>
          <w:szCs w:val="24"/>
          <w:lang w:val="fr-FR"/>
        </w:rPr>
      </w:pPr>
      <w:r w:rsidRPr="00EB4D25">
        <w:rPr>
          <w:b/>
          <w:szCs w:val="24"/>
          <w:lang w:val="fr-FR"/>
        </w:rPr>
        <w:t>(ADN :)</w:t>
      </w:r>
    </w:p>
    <w:p w:rsidR="00124E6E" w:rsidRDefault="00124E6E" w:rsidP="00FE3F4F">
      <w:pPr>
        <w:pStyle w:val="SingleTxtG"/>
        <w:tabs>
          <w:tab w:val="left" w:pos="2268"/>
        </w:tabs>
        <w:ind w:left="2259" w:hanging="1125"/>
        <w:rPr>
          <w:szCs w:val="24"/>
          <w:lang w:val="fr-FR"/>
        </w:rPr>
      </w:pPr>
      <w:r w:rsidRPr="00640C9E">
        <w:rPr>
          <w:szCs w:val="24"/>
          <w:lang w:val="fr-FR"/>
        </w:rPr>
        <w:t>5.1.5.1.2</w:t>
      </w:r>
      <w:r w:rsidRPr="00640C9E">
        <w:rPr>
          <w:szCs w:val="24"/>
          <w:lang w:val="fr-FR"/>
        </w:rPr>
        <w:tab/>
      </w:r>
      <w:r>
        <w:rPr>
          <w:szCs w:val="24"/>
          <w:lang w:val="fr-FR"/>
        </w:rPr>
        <w:t xml:space="preserve">Ajouter </w:t>
      </w:r>
      <w:r w:rsidRPr="00233CA9">
        <w:rPr>
          <w:szCs w:val="24"/>
          <w:lang w:val="fr-FR"/>
        </w:rPr>
        <w:t>«</w:t>
      </w:r>
      <w:r>
        <w:rPr>
          <w:szCs w:val="24"/>
          <w:lang w:val="fr-FR"/>
        </w:rPr>
        <w:t xml:space="preserve"> </w:t>
      </w:r>
      <w:r w:rsidRPr="00233CA9">
        <w:rPr>
          <w:szCs w:val="24"/>
          <w:lang w:val="fr-FR"/>
        </w:rPr>
        <w:t>et</w:t>
      </w:r>
      <w:r>
        <w:rPr>
          <w:szCs w:val="24"/>
          <w:lang w:val="fr-FR"/>
        </w:rPr>
        <w:t xml:space="preserve"> </w:t>
      </w:r>
      <w:r w:rsidRPr="00233CA9">
        <w:rPr>
          <w:szCs w:val="24"/>
          <w:lang w:val="fr-FR"/>
        </w:rPr>
        <w:t>» à la fin de l'alinéa d).</w:t>
      </w:r>
    </w:p>
    <w:p w:rsidR="00124E6E" w:rsidRPr="00640C9E" w:rsidRDefault="00124E6E" w:rsidP="00FE3F4F">
      <w:pPr>
        <w:pStyle w:val="SingleTxtG"/>
        <w:tabs>
          <w:tab w:val="left" w:pos="2268"/>
        </w:tabs>
        <w:ind w:left="2259" w:hanging="1125"/>
        <w:rPr>
          <w:szCs w:val="24"/>
        </w:rPr>
      </w:pPr>
      <w:r>
        <w:rPr>
          <w:szCs w:val="24"/>
          <w:lang w:val="fr-FR"/>
        </w:rPr>
        <w:tab/>
      </w:r>
      <w:r w:rsidRPr="00640C9E">
        <w:rPr>
          <w:szCs w:val="24"/>
          <w:lang w:val="fr-FR"/>
        </w:rPr>
        <w:t>Ajouter le nouvel alinéa e) suivant</w:t>
      </w:r>
      <w:r>
        <w:rPr>
          <w:szCs w:val="24"/>
          <w:lang w:val="fr-FR"/>
        </w:rPr>
        <w:t> :</w:t>
      </w:r>
    </w:p>
    <w:p w:rsidR="00124E6E" w:rsidRPr="00640C9E" w:rsidRDefault="00124E6E" w:rsidP="00124E6E">
      <w:pPr>
        <w:pStyle w:val="SingleTxtG"/>
        <w:tabs>
          <w:tab w:val="left" w:pos="2268"/>
        </w:tabs>
        <w:ind w:firstLine="1134"/>
        <w:rPr>
          <w:szCs w:val="24"/>
        </w:rPr>
      </w:pPr>
      <w:r>
        <w:rPr>
          <w:szCs w:val="24"/>
          <w:lang w:val="fr-FR"/>
        </w:rPr>
        <w:t>« </w:t>
      </w:r>
      <w:proofErr w:type="gramStart"/>
      <w:r w:rsidRPr="00640C9E">
        <w:rPr>
          <w:szCs w:val="24"/>
          <w:lang w:val="fr-FR"/>
        </w:rPr>
        <w:t>e</w:t>
      </w:r>
      <w:proofErr w:type="gramEnd"/>
      <w:r w:rsidRPr="00640C9E">
        <w:rPr>
          <w:szCs w:val="24"/>
          <w:lang w:val="fr-FR"/>
        </w:rPr>
        <w:t xml:space="preserve">) </w:t>
      </w:r>
      <w:r w:rsidRPr="00640C9E">
        <w:rPr>
          <w:szCs w:val="24"/>
          <w:lang w:val="fr-FR"/>
        </w:rPr>
        <w:tab/>
        <w:t>L</w:t>
      </w:r>
      <w:r>
        <w:rPr>
          <w:szCs w:val="24"/>
          <w:lang w:val="fr-FR"/>
        </w:rPr>
        <w:t>’</w:t>
      </w:r>
      <w:r w:rsidRPr="00640C9E">
        <w:rPr>
          <w:szCs w:val="24"/>
          <w:lang w:val="fr-FR"/>
        </w:rPr>
        <w:t>expédition de SCO-III.</w:t>
      </w:r>
      <w:r>
        <w:rPr>
          <w:szCs w:val="24"/>
          <w:lang w:val="fr-FR"/>
        </w:rPr>
        <w:t> »</w:t>
      </w:r>
      <w:r w:rsidRPr="00640C9E">
        <w:rPr>
          <w:szCs w:val="24"/>
          <w:lang w:val="fr-FR"/>
        </w:rPr>
        <w:t>.</w:t>
      </w:r>
    </w:p>
    <w:p w:rsidR="00124E6E" w:rsidRPr="00640C9E" w:rsidRDefault="00124E6E" w:rsidP="00FE3F4F">
      <w:pPr>
        <w:pStyle w:val="SingleTxtG"/>
        <w:tabs>
          <w:tab w:val="left" w:pos="2268"/>
        </w:tabs>
        <w:ind w:left="2259" w:hanging="1125"/>
        <w:rPr>
          <w:szCs w:val="24"/>
        </w:rPr>
      </w:pPr>
      <w:r w:rsidRPr="00640C9E">
        <w:rPr>
          <w:szCs w:val="24"/>
          <w:lang w:val="fr-FR"/>
        </w:rPr>
        <w:t>5.1.5.1.4 b)</w:t>
      </w:r>
      <w:r w:rsidRPr="00640C9E">
        <w:rPr>
          <w:szCs w:val="24"/>
          <w:lang w:val="fr-FR"/>
        </w:rPr>
        <w:tab/>
      </w:r>
      <w:r>
        <w:rPr>
          <w:szCs w:val="24"/>
          <w:lang w:val="fr-FR"/>
        </w:rPr>
        <w:t>L’amendement à la version anglaise est sans objet en français</w:t>
      </w:r>
      <w:r w:rsidRPr="00640C9E">
        <w:rPr>
          <w:szCs w:val="24"/>
          <w:lang w:val="fr-FR"/>
        </w:rPr>
        <w:t>.</w:t>
      </w:r>
    </w:p>
    <w:p w:rsidR="00124E6E" w:rsidRPr="00640C9E" w:rsidRDefault="00124E6E" w:rsidP="00FE3F4F">
      <w:pPr>
        <w:pStyle w:val="SingleTxtG"/>
        <w:tabs>
          <w:tab w:val="left" w:pos="2268"/>
        </w:tabs>
        <w:ind w:left="2259" w:hanging="1125"/>
        <w:rPr>
          <w:szCs w:val="24"/>
        </w:rPr>
      </w:pPr>
      <w:r w:rsidRPr="00EB4D25">
        <w:rPr>
          <w:szCs w:val="24"/>
          <w:lang w:val="fr-FR"/>
        </w:rPr>
        <w:t>5.1.5.3.1</w:t>
      </w:r>
      <w:r w:rsidRPr="00EB4D25">
        <w:rPr>
          <w:szCs w:val="24"/>
          <w:lang w:val="fr-FR"/>
        </w:rPr>
        <w:tab/>
        <w:t>Dans la phrase d’introduction, remplacer « SCO-I » par « SCO-I ou SCO III</w:t>
      </w:r>
      <w:r w:rsidR="00EB4D25" w:rsidRPr="00EB4D25">
        <w:rPr>
          <w:rStyle w:val="CommentReference"/>
        </w:rPr>
        <w:t> </w:t>
      </w:r>
      <w:r w:rsidRPr="00EB4D25">
        <w:rPr>
          <w:szCs w:val="24"/>
          <w:lang w:val="fr-FR"/>
        </w:rPr>
        <w:t>».</w:t>
      </w:r>
      <w:r w:rsidRPr="00640C9E">
        <w:rPr>
          <w:szCs w:val="24"/>
          <w:lang w:val="fr-FR"/>
        </w:rPr>
        <w:t xml:space="preserve"> À l</w:t>
      </w:r>
      <w:r>
        <w:rPr>
          <w:szCs w:val="24"/>
          <w:lang w:val="fr-FR"/>
        </w:rPr>
        <w:t>’</w:t>
      </w:r>
      <w:r w:rsidRPr="00640C9E">
        <w:rPr>
          <w:szCs w:val="24"/>
          <w:lang w:val="fr-FR"/>
        </w:rPr>
        <w:t xml:space="preserve">alinéa a), remplacer </w:t>
      </w:r>
      <w:r>
        <w:rPr>
          <w:szCs w:val="24"/>
          <w:lang w:val="fr-FR"/>
        </w:rPr>
        <w:t>« </w:t>
      </w:r>
      <w:r w:rsidRPr="00640C9E">
        <w:rPr>
          <w:szCs w:val="24"/>
          <w:lang w:val="fr-FR"/>
        </w:rPr>
        <w:t>l</w:t>
      </w:r>
      <w:r>
        <w:rPr>
          <w:szCs w:val="24"/>
          <w:lang w:val="fr-FR"/>
        </w:rPr>
        <w:t>’</w:t>
      </w:r>
      <w:r w:rsidRPr="00640C9E">
        <w:rPr>
          <w:szCs w:val="24"/>
          <w:lang w:val="fr-FR"/>
        </w:rPr>
        <w:t>intensité de rayonnement maximale</w:t>
      </w:r>
      <w:r>
        <w:rPr>
          <w:szCs w:val="24"/>
          <w:lang w:val="fr-FR"/>
        </w:rPr>
        <w:t> »</w:t>
      </w:r>
      <w:r w:rsidRPr="00640C9E">
        <w:rPr>
          <w:szCs w:val="24"/>
          <w:lang w:val="fr-FR"/>
        </w:rPr>
        <w:t xml:space="preserve"> par </w:t>
      </w:r>
      <w:r>
        <w:rPr>
          <w:szCs w:val="24"/>
          <w:lang w:val="fr-FR"/>
        </w:rPr>
        <w:t>« </w:t>
      </w:r>
      <w:r w:rsidRPr="00640C9E">
        <w:rPr>
          <w:szCs w:val="24"/>
          <w:lang w:val="fr-FR"/>
        </w:rPr>
        <w:t>le débit de dose maximal</w:t>
      </w:r>
      <w:r>
        <w:rPr>
          <w:szCs w:val="24"/>
          <w:lang w:val="fr-FR"/>
        </w:rPr>
        <w:t> »</w:t>
      </w:r>
      <w:r w:rsidRPr="00640C9E">
        <w:rPr>
          <w:szCs w:val="24"/>
          <w:lang w:val="fr-FR"/>
        </w:rPr>
        <w:t xml:space="preserve"> (deux fois) et remplacer </w:t>
      </w:r>
      <w:r>
        <w:rPr>
          <w:szCs w:val="24"/>
          <w:lang w:val="fr-FR"/>
        </w:rPr>
        <w:t>« </w:t>
      </w:r>
      <w:r w:rsidRPr="00640C9E">
        <w:rPr>
          <w:szCs w:val="24"/>
          <w:lang w:val="fr-FR"/>
        </w:rPr>
        <w:t>SCO-I</w:t>
      </w:r>
      <w:r>
        <w:rPr>
          <w:szCs w:val="24"/>
          <w:lang w:val="fr-FR"/>
        </w:rPr>
        <w:t> »</w:t>
      </w:r>
      <w:r w:rsidRPr="00640C9E">
        <w:rPr>
          <w:szCs w:val="24"/>
          <w:lang w:val="fr-FR"/>
        </w:rPr>
        <w:t xml:space="preserve"> par </w:t>
      </w:r>
      <w:r>
        <w:rPr>
          <w:szCs w:val="24"/>
          <w:lang w:val="fr-FR"/>
        </w:rPr>
        <w:t>« </w:t>
      </w:r>
      <w:r w:rsidRPr="00640C9E">
        <w:rPr>
          <w:szCs w:val="24"/>
          <w:lang w:val="fr-FR"/>
        </w:rPr>
        <w:t>SCO-I ou SCO-III</w:t>
      </w:r>
      <w:r>
        <w:rPr>
          <w:szCs w:val="24"/>
          <w:lang w:val="fr-FR"/>
        </w:rPr>
        <w:t> »</w:t>
      </w:r>
      <w:r w:rsidRPr="00640C9E">
        <w:rPr>
          <w:szCs w:val="24"/>
          <w:lang w:val="fr-FR"/>
        </w:rPr>
        <w:t xml:space="preserve">. </w:t>
      </w:r>
      <w:r w:rsidR="00FB6D76" w:rsidRPr="00640C9E">
        <w:rPr>
          <w:szCs w:val="24"/>
          <w:lang w:val="fr-FR"/>
        </w:rPr>
        <w:t>À l</w:t>
      </w:r>
      <w:r w:rsidR="00FB6D76">
        <w:rPr>
          <w:szCs w:val="24"/>
          <w:lang w:val="fr-FR"/>
        </w:rPr>
        <w:t>’</w:t>
      </w:r>
      <w:r w:rsidR="00FB6D76" w:rsidRPr="00640C9E">
        <w:rPr>
          <w:szCs w:val="24"/>
          <w:lang w:val="fr-FR"/>
        </w:rPr>
        <w:t xml:space="preserve">alinéa a), </w:t>
      </w:r>
      <w:r w:rsidR="00FB6D76">
        <w:rPr>
          <w:szCs w:val="24"/>
          <w:lang w:val="fr-FR"/>
        </w:rPr>
        <w:t>dans la deuxième phrase, supprimer « </w:t>
      </w:r>
      <w:r w:rsidR="00FB6D76" w:rsidRPr="00FB6D76">
        <w:rPr>
          <w:szCs w:val="24"/>
          <w:lang w:val="fr-FR"/>
        </w:rPr>
        <w:t>et le nombre qui en résulte constitue l'indice de transport</w:t>
      </w:r>
      <w:r w:rsidR="00FB6D76">
        <w:rPr>
          <w:szCs w:val="24"/>
          <w:lang w:val="fr-FR"/>
        </w:rPr>
        <w:t xml:space="preserve"> ». </w:t>
      </w:r>
      <w:r w:rsidRPr="00640C9E">
        <w:rPr>
          <w:szCs w:val="24"/>
          <w:lang w:val="fr-FR"/>
        </w:rPr>
        <w:t>À l</w:t>
      </w:r>
      <w:r>
        <w:rPr>
          <w:szCs w:val="24"/>
          <w:lang w:val="fr-FR"/>
        </w:rPr>
        <w:t>’</w:t>
      </w:r>
      <w:r w:rsidRPr="00640C9E">
        <w:rPr>
          <w:szCs w:val="24"/>
          <w:lang w:val="fr-FR"/>
        </w:rPr>
        <w:t xml:space="preserve">alinéa b), remplacer </w:t>
      </w:r>
      <w:r>
        <w:rPr>
          <w:szCs w:val="24"/>
          <w:lang w:val="fr-FR"/>
        </w:rPr>
        <w:t>« </w:t>
      </w:r>
      <w:r w:rsidRPr="00640C9E">
        <w:rPr>
          <w:szCs w:val="24"/>
          <w:lang w:val="fr-FR"/>
        </w:rPr>
        <w:t>SCO-I</w:t>
      </w:r>
      <w:r>
        <w:rPr>
          <w:szCs w:val="24"/>
          <w:lang w:val="fr-FR"/>
        </w:rPr>
        <w:t> »</w:t>
      </w:r>
      <w:r w:rsidRPr="00640C9E">
        <w:rPr>
          <w:szCs w:val="24"/>
          <w:lang w:val="fr-FR"/>
        </w:rPr>
        <w:t xml:space="preserve"> par </w:t>
      </w:r>
      <w:r>
        <w:rPr>
          <w:szCs w:val="24"/>
          <w:lang w:val="fr-FR"/>
        </w:rPr>
        <w:t>« </w:t>
      </w:r>
      <w:r w:rsidRPr="00640C9E">
        <w:rPr>
          <w:szCs w:val="24"/>
          <w:lang w:val="fr-FR"/>
        </w:rPr>
        <w:t>SCO-I et SCO-III</w:t>
      </w:r>
      <w:r>
        <w:rPr>
          <w:szCs w:val="24"/>
          <w:lang w:val="fr-FR"/>
        </w:rPr>
        <w:t> »</w:t>
      </w:r>
      <w:r w:rsidRPr="00640C9E">
        <w:rPr>
          <w:szCs w:val="24"/>
          <w:lang w:val="fr-FR"/>
        </w:rPr>
        <w:t>. À la fin de l</w:t>
      </w:r>
      <w:r>
        <w:rPr>
          <w:szCs w:val="24"/>
          <w:lang w:val="fr-FR"/>
        </w:rPr>
        <w:t>’</w:t>
      </w:r>
      <w:r w:rsidRPr="00640C9E">
        <w:rPr>
          <w:szCs w:val="24"/>
          <w:lang w:val="fr-FR"/>
        </w:rPr>
        <w:t xml:space="preserve">alinéa c), ajouter </w:t>
      </w:r>
      <w:r>
        <w:rPr>
          <w:szCs w:val="24"/>
          <w:lang w:val="fr-FR"/>
        </w:rPr>
        <w:t>« ;</w:t>
      </w:r>
      <w:r w:rsidRPr="00640C9E">
        <w:rPr>
          <w:szCs w:val="24"/>
          <w:lang w:val="fr-FR"/>
        </w:rPr>
        <w:t xml:space="preserve"> le nombre qui en résulte constitue la valeur </w:t>
      </w:r>
      <w:r w:rsidRPr="00640C9E">
        <w:rPr>
          <w:i/>
          <w:iCs/>
          <w:szCs w:val="24"/>
          <w:lang w:val="fr-FR"/>
        </w:rPr>
        <w:t>TI</w:t>
      </w:r>
      <w:r>
        <w:rPr>
          <w:szCs w:val="24"/>
          <w:lang w:val="fr-FR"/>
        </w:rPr>
        <w:t> »</w:t>
      </w:r>
      <w:r w:rsidRPr="00640C9E">
        <w:rPr>
          <w:szCs w:val="24"/>
          <w:lang w:val="fr-FR"/>
        </w:rPr>
        <w:t>.</w:t>
      </w:r>
    </w:p>
    <w:p w:rsidR="00361A7A" w:rsidRDefault="00124E6E" w:rsidP="00FE3F4F">
      <w:pPr>
        <w:pStyle w:val="SingleTxtG"/>
        <w:tabs>
          <w:tab w:val="left" w:pos="2268"/>
        </w:tabs>
        <w:ind w:left="2259" w:hanging="1125"/>
        <w:rPr>
          <w:szCs w:val="24"/>
          <w:lang w:val="fr-FR"/>
        </w:rPr>
      </w:pPr>
      <w:r w:rsidRPr="00640C9E">
        <w:rPr>
          <w:szCs w:val="24"/>
          <w:lang w:val="fr-FR"/>
        </w:rPr>
        <w:t>Tableau 5.1.5.3.1</w:t>
      </w:r>
    </w:p>
    <w:p w:rsidR="00124E6E" w:rsidRPr="00640C9E" w:rsidRDefault="00124E6E" w:rsidP="00FE3F4F">
      <w:pPr>
        <w:pStyle w:val="SingleTxtG"/>
        <w:tabs>
          <w:tab w:val="left" w:pos="2268"/>
        </w:tabs>
        <w:ind w:left="2259" w:hanging="1125"/>
        <w:rPr>
          <w:bCs/>
          <w:szCs w:val="24"/>
        </w:rPr>
      </w:pPr>
      <w:r w:rsidRPr="00640C9E">
        <w:rPr>
          <w:szCs w:val="24"/>
          <w:lang w:val="fr-FR"/>
        </w:rPr>
        <w:t xml:space="preserve"> </w:t>
      </w:r>
      <w:r w:rsidRPr="00640C9E">
        <w:rPr>
          <w:szCs w:val="24"/>
          <w:lang w:val="fr-FR"/>
        </w:rPr>
        <w:tab/>
        <w:t xml:space="preserve">Dans le titre, remplacer </w:t>
      </w:r>
      <w:r>
        <w:rPr>
          <w:szCs w:val="24"/>
          <w:lang w:val="fr-FR"/>
        </w:rPr>
        <w:t>« </w:t>
      </w:r>
      <w:r w:rsidRPr="00640C9E">
        <w:rPr>
          <w:szCs w:val="24"/>
          <w:lang w:val="fr-FR"/>
        </w:rPr>
        <w:t>SCO-I</w:t>
      </w:r>
      <w:r>
        <w:rPr>
          <w:szCs w:val="24"/>
          <w:lang w:val="fr-FR"/>
        </w:rPr>
        <w:t> »</w:t>
      </w:r>
      <w:r w:rsidRPr="00640C9E">
        <w:rPr>
          <w:szCs w:val="24"/>
          <w:lang w:val="fr-FR"/>
        </w:rPr>
        <w:t xml:space="preserve"> par </w:t>
      </w:r>
      <w:r>
        <w:rPr>
          <w:szCs w:val="24"/>
          <w:lang w:val="fr-FR"/>
        </w:rPr>
        <w:t>« </w:t>
      </w:r>
      <w:r w:rsidRPr="00640C9E">
        <w:rPr>
          <w:szCs w:val="24"/>
          <w:lang w:val="fr-FR"/>
        </w:rPr>
        <w:t>SCO-I et SCO-III</w:t>
      </w:r>
      <w:r>
        <w:rPr>
          <w:szCs w:val="24"/>
          <w:lang w:val="fr-FR"/>
        </w:rPr>
        <w:t> »</w:t>
      </w:r>
      <w:r w:rsidRPr="00640C9E">
        <w:rPr>
          <w:szCs w:val="24"/>
          <w:lang w:val="fr-FR"/>
        </w:rPr>
        <w:t>.</w:t>
      </w:r>
    </w:p>
    <w:p w:rsidR="00124E6E" w:rsidRPr="00640C9E" w:rsidRDefault="00124E6E" w:rsidP="00FE3F4F">
      <w:pPr>
        <w:pStyle w:val="SingleTxtG"/>
        <w:tabs>
          <w:tab w:val="left" w:pos="2268"/>
        </w:tabs>
        <w:ind w:left="2259" w:hanging="1125"/>
        <w:rPr>
          <w:szCs w:val="24"/>
        </w:rPr>
      </w:pPr>
      <w:r w:rsidRPr="00640C9E">
        <w:rPr>
          <w:szCs w:val="24"/>
          <w:lang w:val="fr-FR"/>
        </w:rPr>
        <w:t>5.1.5.3.2</w:t>
      </w:r>
      <w:r w:rsidRPr="00640C9E">
        <w:rPr>
          <w:szCs w:val="24"/>
          <w:lang w:val="fr-FR"/>
        </w:rPr>
        <w:tab/>
        <w:t>Modifier pour lire comme suit</w:t>
      </w:r>
      <w:r>
        <w:rPr>
          <w:szCs w:val="24"/>
          <w:lang w:val="fr-FR"/>
        </w:rPr>
        <w:t> :</w:t>
      </w:r>
    </w:p>
    <w:p w:rsidR="00124E6E" w:rsidRPr="00640C9E" w:rsidRDefault="00124E6E" w:rsidP="00FE3F4F">
      <w:pPr>
        <w:pStyle w:val="SingleTxtG"/>
        <w:tabs>
          <w:tab w:val="left" w:pos="2268"/>
        </w:tabs>
        <w:ind w:left="2259" w:hanging="1125"/>
        <w:rPr>
          <w:szCs w:val="24"/>
        </w:rPr>
      </w:pPr>
      <w:r>
        <w:rPr>
          <w:szCs w:val="24"/>
          <w:lang w:val="fr-FR"/>
        </w:rPr>
        <w:t>« </w:t>
      </w:r>
      <w:r w:rsidR="00361A7A" w:rsidRPr="00640C9E">
        <w:rPr>
          <w:szCs w:val="24"/>
          <w:lang w:val="fr-FR"/>
        </w:rPr>
        <w:t>5.1.5.3.2</w:t>
      </w:r>
      <w:r w:rsidR="00361A7A" w:rsidRPr="00640C9E">
        <w:rPr>
          <w:szCs w:val="24"/>
          <w:lang w:val="fr-FR"/>
        </w:rPr>
        <w:tab/>
      </w:r>
      <w:r w:rsidRPr="00640C9E">
        <w:rPr>
          <w:szCs w:val="24"/>
          <w:lang w:val="fr-FR"/>
        </w:rPr>
        <w:t>Le TI de chaque suremballage rigide, conteneur ou moyen de transport est déterminé en additionnant les TI de tous les colis qu</w:t>
      </w:r>
      <w:r>
        <w:rPr>
          <w:szCs w:val="24"/>
          <w:lang w:val="fr-FR"/>
        </w:rPr>
        <w:t>’</w:t>
      </w:r>
      <w:r w:rsidRPr="00640C9E">
        <w:rPr>
          <w:szCs w:val="24"/>
          <w:lang w:val="fr-FR"/>
        </w:rPr>
        <w:t>ils contiennent. Dans le cas d</w:t>
      </w:r>
      <w:r>
        <w:rPr>
          <w:szCs w:val="24"/>
          <w:lang w:val="fr-FR"/>
        </w:rPr>
        <w:t>’</w:t>
      </w:r>
      <w:r w:rsidRPr="00640C9E">
        <w:rPr>
          <w:szCs w:val="24"/>
          <w:lang w:val="fr-FR"/>
        </w:rPr>
        <w:t xml:space="preserve">une expédition </w:t>
      </w:r>
      <w:r>
        <w:rPr>
          <w:szCs w:val="24"/>
          <w:lang w:val="fr-FR"/>
        </w:rPr>
        <w:t>assurée</w:t>
      </w:r>
      <w:r w:rsidRPr="00640C9E">
        <w:rPr>
          <w:szCs w:val="24"/>
          <w:lang w:val="fr-FR"/>
        </w:rPr>
        <w:t xml:space="preserve"> par un seul expéditeur, ce dernier peut déterminer le TI </w:t>
      </w:r>
      <w:r>
        <w:rPr>
          <w:szCs w:val="24"/>
          <w:lang w:val="fr-FR"/>
        </w:rPr>
        <w:t>en mesurant directement la</w:t>
      </w:r>
      <w:r w:rsidRPr="00640C9E">
        <w:rPr>
          <w:szCs w:val="24"/>
          <w:lang w:val="fr-FR"/>
        </w:rPr>
        <w:t xml:space="preserve"> dose. </w:t>
      </w:r>
    </w:p>
    <w:p w:rsidR="00124E6E" w:rsidRPr="00640C9E" w:rsidRDefault="00361A7A" w:rsidP="00FE3F4F">
      <w:pPr>
        <w:pStyle w:val="SingleTxtG"/>
        <w:tabs>
          <w:tab w:val="left" w:pos="2268"/>
        </w:tabs>
        <w:ind w:left="2259" w:hanging="1125"/>
        <w:rPr>
          <w:szCs w:val="24"/>
        </w:rPr>
      </w:pPr>
      <w:r>
        <w:rPr>
          <w:szCs w:val="24"/>
          <w:lang w:val="fr-FR"/>
        </w:rPr>
        <w:tab/>
      </w:r>
      <w:r w:rsidR="00124E6E" w:rsidRPr="00640C9E">
        <w:rPr>
          <w:szCs w:val="24"/>
          <w:lang w:val="fr-FR"/>
        </w:rPr>
        <w:t>Le TI d</w:t>
      </w:r>
      <w:r w:rsidR="00124E6E">
        <w:rPr>
          <w:szCs w:val="24"/>
          <w:lang w:val="fr-FR"/>
        </w:rPr>
        <w:t>’</w:t>
      </w:r>
      <w:r w:rsidR="00124E6E" w:rsidRPr="00640C9E">
        <w:rPr>
          <w:szCs w:val="24"/>
          <w:lang w:val="fr-FR"/>
        </w:rPr>
        <w:t>un suremballage non rigide ne doit être déterminé qu</w:t>
      </w:r>
      <w:r w:rsidR="00124E6E">
        <w:rPr>
          <w:szCs w:val="24"/>
          <w:lang w:val="fr-FR"/>
        </w:rPr>
        <w:t>’</w:t>
      </w:r>
      <w:r w:rsidR="00124E6E" w:rsidRPr="00640C9E">
        <w:rPr>
          <w:szCs w:val="24"/>
          <w:lang w:val="fr-FR"/>
        </w:rPr>
        <w:t xml:space="preserve">en additionnant les TI de </w:t>
      </w:r>
      <w:r w:rsidR="00124E6E">
        <w:rPr>
          <w:szCs w:val="24"/>
          <w:lang w:val="fr-FR"/>
        </w:rPr>
        <w:t>l’ensemble des</w:t>
      </w:r>
      <w:r w:rsidR="00124E6E" w:rsidRPr="00640C9E">
        <w:rPr>
          <w:szCs w:val="24"/>
          <w:lang w:val="fr-FR"/>
        </w:rPr>
        <w:t xml:space="preserve"> colis contenus dans ledit suremballage.</w:t>
      </w:r>
      <w:r w:rsidR="00124E6E">
        <w:rPr>
          <w:szCs w:val="24"/>
          <w:lang w:val="fr-FR"/>
        </w:rPr>
        <w:t> »</w:t>
      </w:r>
      <w:r w:rsidR="00124E6E" w:rsidRPr="00640C9E">
        <w:rPr>
          <w:szCs w:val="24"/>
          <w:lang w:val="fr-FR"/>
        </w:rPr>
        <w:t>.</w:t>
      </w:r>
    </w:p>
    <w:p w:rsidR="00124E6E" w:rsidRPr="00640C9E" w:rsidRDefault="00124E6E" w:rsidP="00FE3F4F">
      <w:pPr>
        <w:pStyle w:val="SingleTxtG"/>
        <w:tabs>
          <w:tab w:val="left" w:pos="2268"/>
        </w:tabs>
        <w:ind w:left="2259" w:hanging="1125"/>
        <w:rPr>
          <w:szCs w:val="24"/>
        </w:rPr>
      </w:pPr>
      <w:r w:rsidRPr="00640C9E">
        <w:rPr>
          <w:szCs w:val="24"/>
          <w:lang w:val="fr-FR"/>
        </w:rPr>
        <w:t>5.1.5.3.4</w:t>
      </w:r>
      <w:r>
        <w:rPr>
          <w:szCs w:val="24"/>
          <w:lang w:val="fr-FR"/>
        </w:rPr>
        <w:t xml:space="preserve"> a)</w:t>
      </w:r>
      <w:r>
        <w:rPr>
          <w:szCs w:val="24"/>
        </w:rPr>
        <w:tab/>
        <w:t>Dans la première phrase, remplacer</w:t>
      </w:r>
      <w:r w:rsidRPr="00640C9E">
        <w:rPr>
          <w:szCs w:val="24"/>
          <w:lang w:val="fr-FR"/>
        </w:rPr>
        <w:t xml:space="preserve"> </w:t>
      </w:r>
      <w:r>
        <w:rPr>
          <w:szCs w:val="24"/>
          <w:lang w:val="fr-FR"/>
        </w:rPr>
        <w:t>« de 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xml:space="preserve">« du </w:t>
      </w:r>
      <w:r w:rsidRPr="00640C9E">
        <w:rPr>
          <w:szCs w:val="24"/>
          <w:lang w:val="fr-FR"/>
        </w:rPr>
        <w:t>débit de dose</w:t>
      </w:r>
      <w:r>
        <w:rPr>
          <w:szCs w:val="24"/>
          <w:lang w:val="fr-FR"/>
        </w:rPr>
        <w:t> ». Dans la deuxième phrase, remplacer « 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w:t>
      </w:r>
    </w:p>
    <w:p w:rsidR="00124E6E" w:rsidRPr="00640C9E" w:rsidRDefault="00124E6E" w:rsidP="00FE3F4F">
      <w:pPr>
        <w:pStyle w:val="SingleTxtG"/>
        <w:tabs>
          <w:tab w:val="left" w:pos="2268"/>
        </w:tabs>
        <w:ind w:left="2259" w:hanging="1125"/>
        <w:rPr>
          <w:szCs w:val="24"/>
        </w:rPr>
      </w:pPr>
      <w:r w:rsidRPr="00640C9E">
        <w:rPr>
          <w:szCs w:val="24"/>
          <w:lang w:val="fr-FR"/>
        </w:rPr>
        <w:t>5.1.5.3.4</w:t>
      </w:r>
      <w:r>
        <w:rPr>
          <w:szCs w:val="24"/>
          <w:lang w:val="fr-FR"/>
        </w:rPr>
        <w:t xml:space="preserve"> b)</w:t>
      </w:r>
      <w:r w:rsidRPr="00640C9E">
        <w:rPr>
          <w:szCs w:val="24"/>
          <w:lang w:val="fr-FR"/>
        </w:rPr>
        <w:tab/>
      </w:r>
      <w:r>
        <w:rPr>
          <w:szCs w:val="24"/>
          <w:lang w:val="fr-FR"/>
        </w:rPr>
        <w:t>L’amendement à la version anglaise est sans objet en français</w:t>
      </w:r>
      <w:r w:rsidRPr="00640C9E">
        <w:rPr>
          <w:szCs w:val="24"/>
          <w:lang w:val="fr-FR"/>
        </w:rPr>
        <w:t>.</w:t>
      </w:r>
    </w:p>
    <w:p w:rsidR="00124E6E" w:rsidRDefault="00124E6E" w:rsidP="00FE3F4F">
      <w:pPr>
        <w:pStyle w:val="SingleTxtG"/>
        <w:tabs>
          <w:tab w:val="left" w:pos="2268"/>
        </w:tabs>
        <w:ind w:left="2259" w:hanging="1125"/>
        <w:rPr>
          <w:szCs w:val="24"/>
          <w:lang w:val="fr-FR"/>
        </w:rPr>
      </w:pPr>
      <w:r w:rsidRPr="00640C9E">
        <w:rPr>
          <w:szCs w:val="24"/>
          <w:lang w:val="fr-FR"/>
        </w:rPr>
        <w:t>5.1.5.3.4</w:t>
      </w:r>
      <w:r>
        <w:rPr>
          <w:szCs w:val="24"/>
          <w:lang w:val="fr-FR"/>
        </w:rPr>
        <w:t xml:space="preserve"> c)</w:t>
      </w:r>
      <w:r>
        <w:rPr>
          <w:szCs w:val="24"/>
        </w:rPr>
        <w:tab/>
        <w:t>Remplacer</w:t>
      </w:r>
      <w:r>
        <w:rPr>
          <w:szCs w:val="24"/>
          <w:lang w:val="fr-FR"/>
        </w:rPr>
        <w:t xml:space="preserve"> « l’</w:t>
      </w:r>
      <w:r w:rsidRPr="00640C9E">
        <w:rPr>
          <w:szCs w:val="24"/>
          <w:lang w:val="fr-FR"/>
        </w:rPr>
        <w:t>intensité de rayonnement</w:t>
      </w:r>
      <w:r>
        <w:rPr>
          <w:szCs w:val="24"/>
          <w:lang w:val="fr-FR"/>
        </w:rPr>
        <w:t xml:space="preserve"> est supérieure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xml:space="preserve"> est supérieur ».</w:t>
      </w:r>
    </w:p>
    <w:p w:rsidR="00361A7A" w:rsidRDefault="00124E6E" w:rsidP="00FE3F4F">
      <w:pPr>
        <w:pStyle w:val="SingleTxtG"/>
        <w:tabs>
          <w:tab w:val="left" w:pos="2268"/>
        </w:tabs>
        <w:ind w:left="2259" w:hanging="1125"/>
        <w:rPr>
          <w:szCs w:val="24"/>
        </w:rPr>
      </w:pPr>
      <w:r>
        <w:rPr>
          <w:szCs w:val="24"/>
        </w:rPr>
        <w:lastRenderedPageBreak/>
        <w:t>Tableau 5.1.5.3.4</w:t>
      </w:r>
    </w:p>
    <w:p w:rsidR="00124E6E" w:rsidRPr="00AB7C1B" w:rsidRDefault="00124E6E" w:rsidP="00FE3F4F">
      <w:pPr>
        <w:pStyle w:val="SingleTxtG"/>
        <w:tabs>
          <w:tab w:val="left" w:pos="2268"/>
        </w:tabs>
        <w:ind w:left="2259" w:hanging="1125"/>
        <w:rPr>
          <w:szCs w:val="24"/>
          <w:lang w:val="fr-FR"/>
        </w:rPr>
      </w:pPr>
      <w:r>
        <w:rPr>
          <w:szCs w:val="24"/>
        </w:rPr>
        <w:tab/>
        <w:t>Remplacer</w:t>
      </w:r>
      <w:r>
        <w:rPr>
          <w:szCs w:val="24"/>
          <w:lang w:val="fr-FR"/>
        </w:rPr>
        <w:t xml:space="preserve"> « I</w:t>
      </w:r>
      <w:r w:rsidRPr="00640C9E">
        <w:rPr>
          <w:szCs w:val="24"/>
          <w:lang w:val="fr-FR"/>
        </w:rPr>
        <w:t>ntensité de rayonnement</w:t>
      </w:r>
      <w:r>
        <w:rPr>
          <w:szCs w:val="24"/>
          <w:lang w:val="fr-FR"/>
        </w:rPr>
        <w:t xml:space="preserve"> maximale »</w:t>
      </w:r>
      <w:r w:rsidRPr="00640C9E">
        <w:rPr>
          <w:szCs w:val="24"/>
          <w:lang w:val="fr-FR"/>
        </w:rPr>
        <w:t xml:space="preserve"> par </w:t>
      </w:r>
      <w:r>
        <w:rPr>
          <w:szCs w:val="24"/>
          <w:lang w:val="fr-FR"/>
        </w:rPr>
        <w:t>« </w:t>
      </w:r>
      <w:r w:rsidRPr="00640C9E">
        <w:rPr>
          <w:szCs w:val="24"/>
          <w:lang w:val="fr-FR"/>
        </w:rPr>
        <w:t>débit de dose</w:t>
      </w:r>
      <w:r>
        <w:rPr>
          <w:szCs w:val="24"/>
          <w:lang w:val="fr-FR"/>
        </w:rPr>
        <w:t xml:space="preserve"> maximal ».</w:t>
      </w:r>
    </w:p>
    <w:p w:rsidR="00124E6E" w:rsidRPr="006B0E45" w:rsidRDefault="00124E6E" w:rsidP="00124E6E">
      <w:pPr>
        <w:pStyle w:val="H1G"/>
        <w:rPr>
          <w:lang w:val="fr-FR"/>
        </w:rPr>
      </w:pPr>
      <w:r w:rsidRPr="006B0E45">
        <w:rPr>
          <w:lang w:val="fr-FR"/>
        </w:rPr>
        <w:tab/>
      </w:r>
      <w:r w:rsidRPr="006B0E45">
        <w:rPr>
          <w:lang w:val="fr-FR"/>
        </w:rPr>
        <w:tab/>
        <w:t>Chapitre 5.2</w:t>
      </w:r>
    </w:p>
    <w:p w:rsidR="00124E6E" w:rsidRDefault="00124E6E" w:rsidP="00FE3F4F">
      <w:pPr>
        <w:pStyle w:val="SingleTxtG"/>
        <w:tabs>
          <w:tab w:val="left" w:pos="2268"/>
        </w:tabs>
        <w:ind w:left="2259" w:hanging="1125"/>
      </w:pPr>
      <w:r>
        <w:t>5.2.1.1</w:t>
      </w:r>
      <w:r>
        <w:tab/>
        <w:t xml:space="preserve">Modifier la fin de la deuxième phrase pour lire comme suit : </w:t>
      </w:r>
      <w:r>
        <w:rPr>
          <w:szCs w:val="24"/>
          <w:lang w:val="fr-FR"/>
        </w:rPr>
        <w:t>« …</w:t>
      </w:r>
      <w:r>
        <w:t xml:space="preserve">les bouteilles d’une contenance en eau ne dépassant pas 60 </w:t>
      </w:r>
      <w:r w:rsidRPr="00F11D23">
        <w:rPr>
          <w:i/>
          <w:iCs/>
        </w:rPr>
        <w:t>l</w:t>
      </w:r>
      <w:r>
        <w:t xml:space="preserve">, où ils doivent mesurer au moins 6 mm de hauteur ainsi que sur les emballages d’une capacité ne dépassant pas 5 </w:t>
      </w:r>
      <w:r w:rsidRPr="00384FD3">
        <w:rPr>
          <w:i/>
          <w:iCs/>
        </w:rPr>
        <w:t>l</w:t>
      </w:r>
      <w:r>
        <w:t xml:space="preserve"> ou d’une masse nette ne dépassant pas 5 kg, où ils doivent avoir des dimensions appropriées. ».</w:t>
      </w:r>
      <w:r>
        <w:tab/>
      </w:r>
    </w:p>
    <w:p w:rsidR="00124E6E" w:rsidRPr="00640C9E" w:rsidRDefault="00124E6E" w:rsidP="00FE3F4F">
      <w:pPr>
        <w:pStyle w:val="SingleTxtG"/>
        <w:tabs>
          <w:tab w:val="left" w:pos="2268"/>
        </w:tabs>
        <w:ind w:left="2259" w:hanging="1125"/>
        <w:rPr>
          <w:szCs w:val="24"/>
        </w:rPr>
      </w:pPr>
      <w:r>
        <w:rPr>
          <w:szCs w:val="24"/>
          <w:lang w:val="fr-FR"/>
        </w:rPr>
        <w:t>5.2.1.7.6</w:t>
      </w:r>
      <w:r w:rsidRPr="00640C9E">
        <w:rPr>
          <w:szCs w:val="24"/>
          <w:lang w:val="fr-FR"/>
        </w:rPr>
        <w:tab/>
        <w:t>Ajouter à la fin du paragraphe la phrase suivante</w:t>
      </w:r>
      <w:r>
        <w:rPr>
          <w:szCs w:val="24"/>
          <w:lang w:val="fr-FR"/>
        </w:rPr>
        <w:t> :</w:t>
      </w:r>
    </w:p>
    <w:p w:rsidR="00124E6E" w:rsidRPr="00640C9E" w:rsidRDefault="00361A7A" w:rsidP="00FE3F4F">
      <w:pPr>
        <w:pStyle w:val="SingleTxtG"/>
        <w:tabs>
          <w:tab w:val="left" w:pos="2268"/>
        </w:tabs>
        <w:ind w:left="2259" w:hanging="1125"/>
        <w:rPr>
          <w:szCs w:val="24"/>
        </w:rPr>
      </w:pPr>
      <w:r>
        <w:rPr>
          <w:szCs w:val="24"/>
          <w:lang w:val="fr-FR"/>
        </w:rPr>
        <w:tab/>
      </w:r>
      <w:r w:rsidR="00124E6E">
        <w:rPr>
          <w:szCs w:val="24"/>
          <w:lang w:val="fr-FR"/>
        </w:rPr>
        <w:t>« </w:t>
      </w:r>
      <w:r w:rsidR="00124E6E" w:rsidRPr="00640C9E">
        <w:rPr>
          <w:szCs w:val="24"/>
          <w:lang w:val="fr-FR"/>
        </w:rPr>
        <w:t xml:space="preserve">Toute marque apposée sur le colis conformément aux prescriptions du </w:t>
      </w:r>
      <w:r w:rsidR="00124E6E">
        <w:rPr>
          <w:szCs w:val="24"/>
          <w:lang w:val="fr-FR"/>
        </w:rPr>
        <w:t>5.2.1.7.4</w:t>
      </w:r>
      <w:r w:rsidR="00124E6E" w:rsidRPr="00640C9E">
        <w:rPr>
          <w:szCs w:val="24"/>
          <w:lang w:val="fr-FR"/>
        </w:rPr>
        <w:t xml:space="preserve"> </w:t>
      </w:r>
      <w:r w:rsidR="00124E6E">
        <w:rPr>
          <w:szCs w:val="24"/>
          <w:lang w:val="fr-FR"/>
        </w:rPr>
        <w:t xml:space="preserve">a) et b) </w:t>
      </w:r>
      <w:r w:rsidR="00124E6E" w:rsidRPr="00640C9E">
        <w:rPr>
          <w:szCs w:val="24"/>
          <w:lang w:val="fr-FR"/>
        </w:rPr>
        <w:t xml:space="preserve">et </w:t>
      </w:r>
      <w:r w:rsidR="00124E6E">
        <w:rPr>
          <w:szCs w:val="24"/>
          <w:lang w:val="fr-FR"/>
        </w:rPr>
        <w:t>5.2.1.7.5 c)</w:t>
      </w:r>
      <w:r w:rsidR="00124E6E" w:rsidRPr="00640C9E">
        <w:rPr>
          <w:szCs w:val="24"/>
          <w:lang w:val="fr-FR"/>
        </w:rPr>
        <w:t xml:space="preserve"> </w:t>
      </w:r>
      <w:r w:rsidR="00124E6E">
        <w:rPr>
          <w:szCs w:val="24"/>
          <w:lang w:val="fr-FR"/>
        </w:rPr>
        <w:t>relatives au</w:t>
      </w:r>
      <w:r w:rsidR="00124E6E" w:rsidRPr="00640C9E">
        <w:rPr>
          <w:szCs w:val="24"/>
          <w:lang w:val="fr-FR"/>
        </w:rPr>
        <w:t xml:space="preserve"> type de colis sans rapport avec le numéro ONU et la désignation officielle de transport attribués à l</w:t>
      </w:r>
      <w:r w:rsidR="00124E6E">
        <w:rPr>
          <w:szCs w:val="24"/>
          <w:lang w:val="fr-FR"/>
        </w:rPr>
        <w:t>’</w:t>
      </w:r>
      <w:r w:rsidR="00124E6E" w:rsidRPr="00640C9E">
        <w:rPr>
          <w:szCs w:val="24"/>
          <w:lang w:val="fr-FR"/>
        </w:rPr>
        <w:t>envoi doit être enlevée ou couverte.</w:t>
      </w:r>
      <w:r w:rsidR="00124E6E">
        <w:rPr>
          <w:szCs w:val="24"/>
          <w:lang w:val="fr-FR"/>
        </w:rPr>
        <w:t> »</w:t>
      </w:r>
      <w:r w:rsidR="00124E6E" w:rsidRPr="00640C9E">
        <w:rPr>
          <w:szCs w:val="24"/>
          <w:lang w:val="fr-FR"/>
        </w:rPr>
        <w:t>.</w:t>
      </w:r>
    </w:p>
    <w:p w:rsidR="00124E6E" w:rsidRDefault="00124E6E" w:rsidP="00FE3F4F">
      <w:pPr>
        <w:pStyle w:val="SingleTxtG"/>
        <w:tabs>
          <w:tab w:val="left" w:pos="2268"/>
        </w:tabs>
        <w:ind w:left="2259" w:hanging="1125"/>
      </w:pPr>
      <w:r>
        <w:t>5.2.1.9.2</w:t>
      </w:r>
      <w:r w:rsidRPr="004B18DE">
        <w:tab/>
      </w:r>
      <w:r>
        <w:t>À la figure 5.2.1.9.2, remplacer « 120 mm » par « 100 mm » et « 110 mm » par « 100 mm ».</w:t>
      </w:r>
    </w:p>
    <w:p w:rsidR="00124E6E" w:rsidRDefault="00361A7A" w:rsidP="00FE3F4F">
      <w:pPr>
        <w:pStyle w:val="SingleTxtG"/>
        <w:tabs>
          <w:tab w:val="left" w:pos="2268"/>
        </w:tabs>
        <w:ind w:left="2259" w:hanging="1125"/>
      </w:pPr>
      <w:r>
        <w:tab/>
      </w:r>
      <w:r w:rsidR="00124E6E">
        <w:t>Au dernier paragraphe :</w:t>
      </w:r>
    </w:p>
    <w:p w:rsidR="00124E6E" w:rsidRPr="00197E7E" w:rsidRDefault="00361A7A" w:rsidP="00FE3F4F">
      <w:pPr>
        <w:pStyle w:val="SingleTxtG"/>
        <w:tabs>
          <w:tab w:val="left" w:pos="2268"/>
        </w:tabs>
        <w:ind w:left="2259" w:hanging="1125"/>
      </w:pPr>
      <w:r>
        <w:tab/>
      </w:r>
      <w:r w:rsidR="00124E6E" w:rsidRPr="00197E7E">
        <w:t>Première phrase : Remplacer « d’un rectangle » par « d’un rectangle ou d’un carré »</w:t>
      </w:r>
      <w:r w:rsidR="00124E6E">
        <w:t>.</w:t>
      </w:r>
    </w:p>
    <w:p w:rsidR="00124E6E" w:rsidRPr="00F11D23" w:rsidRDefault="00361A7A" w:rsidP="00FE3F4F">
      <w:pPr>
        <w:pStyle w:val="SingleTxtG"/>
        <w:tabs>
          <w:tab w:val="left" w:pos="2268"/>
        </w:tabs>
        <w:ind w:left="2259" w:hanging="1125"/>
      </w:pPr>
      <w:r>
        <w:tab/>
      </w:r>
      <w:r w:rsidR="00124E6E" w:rsidRPr="00F11D23">
        <w:t>D</w:t>
      </w:r>
      <w:r w:rsidR="00124E6E" w:rsidRPr="00197E7E">
        <w:t>euxième phrase</w:t>
      </w:r>
      <w:r w:rsidR="00124E6E" w:rsidRPr="00F11D23">
        <w:t> :</w:t>
      </w:r>
      <w:r w:rsidR="00124E6E" w:rsidRPr="00197E7E">
        <w:t xml:space="preserve"> remplacer « 120 mm de largeur </w:t>
      </w:r>
      <w:r w:rsidR="00124E6E" w:rsidRPr="00F11D23">
        <w:t>×</w:t>
      </w:r>
      <w:r w:rsidR="00124E6E" w:rsidRPr="00197E7E">
        <w:t xml:space="preserve"> 110 mm de hauteur » par « 100 mm de largeur </w:t>
      </w:r>
      <w:r w:rsidR="00124E6E" w:rsidRPr="00F11D23">
        <w:t>×</w:t>
      </w:r>
      <w:r w:rsidR="00124E6E" w:rsidRPr="00197E7E">
        <w:t xml:space="preserve"> 100 mm de hauteur ». </w:t>
      </w:r>
    </w:p>
    <w:p w:rsidR="00124E6E" w:rsidRPr="00197E7E" w:rsidRDefault="00361A7A" w:rsidP="00FE3F4F">
      <w:pPr>
        <w:pStyle w:val="SingleTxtG"/>
        <w:tabs>
          <w:tab w:val="left" w:pos="2268"/>
        </w:tabs>
        <w:ind w:left="2259" w:hanging="1125"/>
      </w:pPr>
      <w:r>
        <w:tab/>
      </w:r>
      <w:r w:rsidR="00124E6E">
        <w:t>Cinquième</w:t>
      </w:r>
      <w:r w:rsidR="00124E6E" w:rsidRPr="00197E7E">
        <w:t xml:space="preserve"> phrase</w:t>
      </w:r>
      <w:r w:rsidR="00124E6E" w:rsidRPr="00F11D23">
        <w:t> :</w:t>
      </w:r>
      <w:r w:rsidR="00124E6E" w:rsidRPr="00197E7E">
        <w:t xml:space="preserve"> supprimer « /l’épaisseur</w:t>
      </w:r>
      <w:r w:rsidR="00124E6E">
        <w:t xml:space="preserve"> de la ligne</w:t>
      </w:r>
      <w:r w:rsidR="00124E6E" w:rsidRPr="00197E7E">
        <w:t> »</w:t>
      </w:r>
      <w:r w:rsidR="00124E6E" w:rsidRPr="00F11D23">
        <w:t xml:space="preserve"> </w:t>
      </w:r>
      <w:r w:rsidR="00124E6E" w:rsidRPr="00197E7E">
        <w:t xml:space="preserve">et remplacer « 105 mm de largeur </w:t>
      </w:r>
      <w:r w:rsidR="00124E6E" w:rsidRPr="00F11D23">
        <w:t>×</w:t>
      </w:r>
      <w:r w:rsidR="00124E6E" w:rsidRPr="00197E7E">
        <w:t xml:space="preserve"> 74 mm de hauteur » par « 100 mm de largeur </w:t>
      </w:r>
      <w:r w:rsidR="00124E6E" w:rsidRPr="00F11D23">
        <w:t>×</w:t>
      </w:r>
      <w:r w:rsidR="00124E6E" w:rsidRPr="00197E7E">
        <w:t xml:space="preserve"> 70 mm de hauteur ».</w:t>
      </w:r>
    </w:p>
    <w:p w:rsidR="00124E6E" w:rsidRPr="000F55D8" w:rsidRDefault="00124E6E" w:rsidP="00FE3F4F">
      <w:pPr>
        <w:pStyle w:val="SingleTxtG"/>
        <w:tabs>
          <w:tab w:val="left" w:pos="2268"/>
        </w:tabs>
        <w:ind w:left="2259" w:hanging="1125"/>
        <w:rPr>
          <w:lang w:val="fr-FR"/>
        </w:rPr>
      </w:pPr>
      <w:r>
        <w:rPr>
          <w:lang w:val="fr-FR"/>
        </w:rPr>
        <w:t>5.2.2.1.11.2</w:t>
      </w:r>
      <w:r w:rsidRPr="00640C9E">
        <w:rPr>
          <w:lang w:val="fr-FR"/>
        </w:rPr>
        <w:tab/>
        <w:t>À l</w:t>
      </w:r>
      <w:r>
        <w:rPr>
          <w:lang w:val="fr-FR"/>
        </w:rPr>
        <w:t>’</w:t>
      </w:r>
      <w:r w:rsidRPr="00640C9E">
        <w:rPr>
          <w:lang w:val="fr-FR"/>
        </w:rPr>
        <w:t xml:space="preserve">alinéa d), remplacer </w:t>
      </w:r>
      <w:r>
        <w:rPr>
          <w:lang w:val="fr-FR"/>
        </w:rPr>
        <w:t>« </w:t>
      </w:r>
      <w:r w:rsidRPr="00640C9E">
        <w:rPr>
          <w:lang w:val="fr-FR"/>
        </w:rPr>
        <w:t>(la</w:t>
      </w:r>
      <w:r>
        <w:rPr>
          <w:lang w:val="fr-FR"/>
        </w:rPr>
        <w:t xml:space="preserve"> </w:t>
      </w:r>
      <w:r w:rsidRPr="00640C9E">
        <w:rPr>
          <w:lang w:val="fr-FR"/>
        </w:rPr>
        <w:t xml:space="preserve">rubrique </w:t>
      </w:r>
      <w:r>
        <w:rPr>
          <w:lang w:val="fr-FR"/>
        </w:rPr>
        <w:t>“</w:t>
      </w:r>
      <w:r w:rsidRPr="00640C9E">
        <w:rPr>
          <w:lang w:val="fr-FR"/>
        </w:rPr>
        <w:t>Indice de transport</w:t>
      </w:r>
      <w:r>
        <w:rPr>
          <w:lang w:val="fr-FR"/>
        </w:rPr>
        <w:t>”</w:t>
      </w:r>
      <w:r w:rsidRPr="00640C9E">
        <w:rPr>
          <w:lang w:val="fr-FR"/>
        </w:rPr>
        <w:t xml:space="preserve"> n</w:t>
      </w:r>
      <w:r>
        <w:rPr>
          <w:lang w:val="fr-FR"/>
        </w:rPr>
        <w:t>’</w:t>
      </w:r>
      <w:r w:rsidRPr="00640C9E">
        <w:rPr>
          <w:lang w:val="fr-FR"/>
        </w:rPr>
        <w:t>est pas requise pour la catégorie I-BLANCHE)</w:t>
      </w:r>
      <w:r>
        <w:rPr>
          <w:lang w:val="fr-FR"/>
        </w:rPr>
        <w:t> »</w:t>
      </w:r>
      <w:r w:rsidRPr="00640C9E">
        <w:rPr>
          <w:lang w:val="fr-FR"/>
        </w:rPr>
        <w:t xml:space="preserve"> par </w:t>
      </w:r>
      <w:r>
        <w:rPr>
          <w:lang w:val="fr-FR"/>
        </w:rPr>
        <w:t>« </w:t>
      </w:r>
      <w:r w:rsidRPr="00640C9E">
        <w:rPr>
          <w:lang w:val="fr-FR"/>
        </w:rPr>
        <w:t>(sauf pour la catégorie I-BLANCHE)</w:t>
      </w:r>
      <w:r>
        <w:rPr>
          <w:lang w:val="fr-FR"/>
        </w:rPr>
        <w:t> »</w:t>
      </w:r>
      <w:r w:rsidRPr="00640C9E">
        <w:rPr>
          <w:lang w:val="fr-FR"/>
        </w:rPr>
        <w:t>.</w:t>
      </w:r>
    </w:p>
    <w:p w:rsidR="00124E6E" w:rsidRDefault="00124E6E" w:rsidP="00124E6E">
      <w:pPr>
        <w:pStyle w:val="H1G"/>
        <w:rPr>
          <w:lang w:val="fr-FR"/>
        </w:rPr>
      </w:pPr>
      <w:r>
        <w:rPr>
          <w:lang w:val="fr-FR"/>
        </w:rPr>
        <w:tab/>
      </w:r>
      <w:r>
        <w:rPr>
          <w:lang w:val="fr-FR"/>
        </w:rPr>
        <w:tab/>
        <w:t>(ADR/ADN :) Chapitre 5.3</w:t>
      </w:r>
    </w:p>
    <w:p w:rsidR="00124E6E" w:rsidRPr="00640C9E" w:rsidRDefault="00124E6E" w:rsidP="00FE3F4F">
      <w:pPr>
        <w:pStyle w:val="SingleTxtG"/>
        <w:tabs>
          <w:tab w:val="left" w:pos="2268"/>
        </w:tabs>
        <w:ind w:left="2259" w:hanging="1125"/>
        <w:rPr>
          <w:szCs w:val="24"/>
        </w:rPr>
      </w:pPr>
      <w:r>
        <w:rPr>
          <w:szCs w:val="24"/>
          <w:lang w:val="fr-FR"/>
        </w:rPr>
        <w:t>5.3.1.5.2</w:t>
      </w:r>
      <w:r w:rsidRPr="00640C9E">
        <w:rPr>
          <w:szCs w:val="24"/>
          <w:lang w:val="fr-FR"/>
        </w:rPr>
        <w:tab/>
      </w:r>
      <w:r>
        <w:rPr>
          <w:szCs w:val="24"/>
          <w:lang w:val="fr-FR"/>
        </w:rPr>
        <w:t>Après « Les véhicules transportant » ajouter « </w:t>
      </w:r>
      <w:r w:rsidRPr="00640C9E">
        <w:rPr>
          <w:szCs w:val="24"/>
          <w:lang w:val="fr-FR"/>
        </w:rPr>
        <w:t>des matières LSA-I ou des objets SCO-I non emballés</w:t>
      </w:r>
      <w:r>
        <w:rPr>
          <w:szCs w:val="24"/>
          <w:lang w:val="fr-FR"/>
        </w:rPr>
        <w:t xml:space="preserve"> »</w:t>
      </w:r>
      <w:r w:rsidRPr="00640C9E">
        <w:rPr>
          <w:szCs w:val="24"/>
          <w:lang w:val="fr-FR"/>
        </w:rPr>
        <w:t xml:space="preserve"> </w:t>
      </w:r>
    </w:p>
    <w:p w:rsidR="00124E6E" w:rsidRDefault="00124E6E" w:rsidP="00FE3F4F">
      <w:pPr>
        <w:pStyle w:val="SingleTxtG"/>
        <w:tabs>
          <w:tab w:val="left" w:pos="2268"/>
        </w:tabs>
        <w:ind w:left="2259" w:hanging="1125"/>
        <w:rPr>
          <w:szCs w:val="24"/>
          <w:lang w:val="fr-FR"/>
        </w:rPr>
      </w:pPr>
      <w:r>
        <w:rPr>
          <w:szCs w:val="24"/>
          <w:lang w:val="fr-FR"/>
        </w:rPr>
        <w:t>[5.3.2.1.4</w:t>
      </w:r>
      <w:r w:rsidRPr="00640C9E">
        <w:rPr>
          <w:szCs w:val="24"/>
          <w:lang w:val="fr-FR"/>
        </w:rPr>
        <w:tab/>
        <w:t xml:space="preserve">Dans la </w:t>
      </w:r>
      <w:r>
        <w:rPr>
          <w:szCs w:val="24"/>
          <w:lang w:val="fr-FR"/>
        </w:rPr>
        <w:t xml:space="preserve">première </w:t>
      </w:r>
      <w:r w:rsidRPr="00640C9E">
        <w:rPr>
          <w:szCs w:val="24"/>
          <w:lang w:val="fr-FR"/>
        </w:rPr>
        <w:t xml:space="preserve">phrase, remplacer </w:t>
      </w:r>
      <w:r>
        <w:rPr>
          <w:szCs w:val="24"/>
          <w:lang w:val="fr-FR"/>
        </w:rPr>
        <w:t>« </w:t>
      </w:r>
      <w:r>
        <w:t xml:space="preserve">des matières solides ou des objets non emballés ou des matières radioactives emballées portant un seul numéro ONU </w:t>
      </w:r>
      <w:r>
        <w:rPr>
          <w:bCs/>
          <w:iCs/>
        </w:rPr>
        <w:t xml:space="preserve">destinées à être transportées </w:t>
      </w:r>
      <w:proofErr w:type="spellStart"/>
      <w:r>
        <w:rPr>
          <w:bCs/>
          <w:iCs/>
        </w:rPr>
        <w:t>sous utilisation</w:t>
      </w:r>
      <w:proofErr w:type="spellEnd"/>
      <w:r>
        <w:rPr>
          <w:bCs/>
          <w:iCs/>
        </w:rPr>
        <w:t xml:space="preserve"> exclusive</w:t>
      </w:r>
      <w:r>
        <w:rPr>
          <w:szCs w:val="24"/>
          <w:lang w:val="fr-FR"/>
        </w:rPr>
        <w:t> »</w:t>
      </w:r>
      <w:r w:rsidRPr="00640C9E">
        <w:rPr>
          <w:szCs w:val="24"/>
          <w:lang w:val="fr-FR"/>
        </w:rPr>
        <w:t xml:space="preserve"> par </w:t>
      </w:r>
      <w:r>
        <w:rPr>
          <w:szCs w:val="24"/>
          <w:lang w:val="fr-FR"/>
        </w:rPr>
        <w:t>« </w:t>
      </w:r>
      <w:r w:rsidRPr="00640C9E">
        <w:rPr>
          <w:szCs w:val="24"/>
          <w:lang w:val="fr-FR"/>
        </w:rPr>
        <w:t>des matières LSA-I</w:t>
      </w:r>
      <w:r>
        <w:rPr>
          <w:szCs w:val="24"/>
          <w:lang w:val="fr-FR"/>
        </w:rPr>
        <w:t xml:space="preserve">, </w:t>
      </w:r>
      <w:r w:rsidRPr="00640C9E">
        <w:rPr>
          <w:szCs w:val="24"/>
          <w:lang w:val="fr-FR"/>
        </w:rPr>
        <w:t>des objets SCO-I ou SCO-III non emballés</w:t>
      </w:r>
      <w:r>
        <w:rPr>
          <w:szCs w:val="24"/>
          <w:lang w:val="fr-FR"/>
        </w:rPr>
        <w:t> »</w:t>
      </w:r>
      <w:r w:rsidRPr="00640C9E">
        <w:rPr>
          <w:szCs w:val="24"/>
          <w:lang w:val="fr-FR"/>
        </w:rPr>
        <w:t>.</w:t>
      </w:r>
      <w:r>
        <w:rPr>
          <w:szCs w:val="24"/>
          <w:lang w:val="fr-FR"/>
        </w:rPr>
        <w:t>]</w:t>
      </w:r>
    </w:p>
    <w:p w:rsidR="00124E6E" w:rsidRDefault="00124E6E" w:rsidP="00124E6E">
      <w:pPr>
        <w:pStyle w:val="H1G"/>
        <w:rPr>
          <w:lang w:val="fr-FR"/>
        </w:rPr>
      </w:pPr>
      <w:r>
        <w:rPr>
          <w:lang w:val="fr-FR"/>
        </w:rPr>
        <w:tab/>
      </w:r>
      <w:r>
        <w:rPr>
          <w:lang w:val="fr-FR"/>
        </w:rPr>
        <w:tab/>
        <w:t>Chapitre 5.4</w:t>
      </w:r>
    </w:p>
    <w:p w:rsidR="00E0063A" w:rsidRDefault="00E0063A" w:rsidP="00E0063A">
      <w:pPr>
        <w:pStyle w:val="SingleTxtG"/>
        <w:tabs>
          <w:tab w:val="left" w:pos="2268"/>
        </w:tabs>
        <w:ind w:left="2259" w:hanging="1125"/>
        <w:rPr>
          <w:szCs w:val="24"/>
          <w:lang w:val="fr-FR"/>
        </w:rPr>
      </w:pPr>
      <w:r>
        <w:rPr>
          <w:szCs w:val="24"/>
          <w:lang w:val="fr-FR"/>
        </w:rPr>
        <w:t>5.4.1.1.1 f)</w:t>
      </w:r>
      <w:r>
        <w:rPr>
          <w:szCs w:val="24"/>
          <w:lang w:val="fr-FR"/>
        </w:rPr>
        <w:tab/>
        <w:t>R</w:t>
      </w:r>
      <w:r w:rsidRPr="00E0063A">
        <w:rPr>
          <w:szCs w:val="24"/>
          <w:lang w:val="fr-FR"/>
        </w:rPr>
        <w:t xml:space="preserve">emplacer </w:t>
      </w:r>
      <w:r>
        <w:rPr>
          <w:szCs w:val="24"/>
          <w:lang w:val="fr-FR"/>
        </w:rPr>
        <w:t>« </w:t>
      </w:r>
      <w:r w:rsidRPr="00E0063A">
        <w:rPr>
          <w:szCs w:val="24"/>
          <w:lang w:val="fr-FR"/>
        </w:rPr>
        <w:t>la quantité totale de chaque marchandise dangereuse caractérisée par son numéro ONU, sa désignation officielle de transport et un groupe d'emballage (exprimée en volume ou en masse brute, ou en masse nette selon le cas)</w:t>
      </w:r>
      <w:r>
        <w:rPr>
          <w:szCs w:val="24"/>
          <w:lang w:val="fr-FR"/>
        </w:rPr>
        <w:t> » par « </w:t>
      </w:r>
      <w:r w:rsidRPr="00E0063A">
        <w:rPr>
          <w:szCs w:val="24"/>
          <w:lang w:val="fr-FR"/>
        </w:rPr>
        <w:t>la quantité totale de chaque marchandise dangereuse ayant un numéro ONU, une désignation officielle de transport, ou un groupe d'emballage différent (exprimée en volume, en masse brute ou en masse nette selon le cas).</w:t>
      </w:r>
      <w:r>
        <w:rPr>
          <w:szCs w:val="24"/>
          <w:lang w:val="fr-FR"/>
        </w:rPr>
        <w:t> ».</w:t>
      </w:r>
    </w:p>
    <w:p w:rsidR="00124E6E" w:rsidRPr="00640C9E" w:rsidRDefault="00124E6E" w:rsidP="00FE3F4F">
      <w:pPr>
        <w:pStyle w:val="SingleTxtG"/>
        <w:tabs>
          <w:tab w:val="left" w:pos="2268"/>
        </w:tabs>
        <w:ind w:left="2259" w:hanging="1125"/>
        <w:rPr>
          <w:szCs w:val="24"/>
        </w:rPr>
      </w:pPr>
      <w:r>
        <w:rPr>
          <w:szCs w:val="24"/>
          <w:lang w:val="fr-FR"/>
        </w:rPr>
        <w:t>5.4.1.2.5.1</w:t>
      </w:r>
      <w:r w:rsidRPr="00640C9E">
        <w:rPr>
          <w:szCs w:val="24"/>
          <w:lang w:val="fr-FR"/>
        </w:rPr>
        <w:tab/>
        <w:t>Modifier les alinéas d</w:t>
      </w:r>
      <w:r>
        <w:rPr>
          <w:szCs w:val="24"/>
          <w:lang w:val="fr-FR"/>
        </w:rPr>
        <w:t>)</w:t>
      </w:r>
      <w:r w:rsidRPr="00640C9E">
        <w:rPr>
          <w:szCs w:val="24"/>
          <w:lang w:val="fr-FR"/>
        </w:rPr>
        <w:t xml:space="preserve"> </w:t>
      </w:r>
      <w:r>
        <w:rPr>
          <w:szCs w:val="24"/>
          <w:lang w:val="fr-FR"/>
        </w:rPr>
        <w:t>et</w:t>
      </w:r>
      <w:r w:rsidRPr="00640C9E">
        <w:rPr>
          <w:szCs w:val="24"/>
          <w:lang w:val="fr-FR"/>
        </w:rPr>
        <w:t xml:space="preserve"> e</w:t>
      </w:r>
      <w:r>
        <w:rPr>
          <w:szCs w:val="24"/>
          <w:lang w:val="fr-FR"/>
        </w:rPr>
        <w:t>)</w:t>
      </w:r>
      <w:r w:rsidRPr="00640C9E">
        <w:rPr>
          <w:szCs w:val="24"/>
          <w:lang w:val="fr-FR"/>
        </w:rPr>
        <w:t xml:space="preserve"> pour lire comme suit</w:t>
      </w:r>
      <w:r>
        <w:rPr>
          <w:szCs w:val="24"/>
          <w:lang w:val="fr-FR"/>
        </w:rPr>
        <w:t> :</w:t>
      </w:r>
    </w:p>
    <w:p w:rsidR="00124E6E" w:rsidRPr="00640C9E" w:rsidRDefault="00124E6E" w:rsidP="00361A7A">
      <w:pPr>
        <w:pStyle w:val="SingleTxtG"/>
        <w:tabs>
          <w:tab w:val="left" w:pos="2268"/>
        </w:tabs>
        <w:ind w:left="2835" w:hanging="576"/>
        <w:rPr>
          <w:szCs w:val="24"/>
        </w:rPr>
      </w:pPr>
      <w:r>
        <w:rPr>
          <w:szCs w:val="24"/>
          <w:lang w:val="fr-FR"/>
        </w:rPr>
        <w:lastRenderedPageBreak/>
        <w:t>« </w:t>
      </w:r>
      <w:proofErr w:type="gramStart"/>
      <w:r w:rsidRPr="00640C9E">
        <w:rPr>
          <w:szCs w:val="24"/>
          <w:lang w:val="fr-FR"/>
        </w:rPr>
        <w:t>d</w:t>
      </w:r>
      <w:proofErr w:type="gramEnd"/>
      <w:r w:rsidRPr="00640C9E">
        <w:rPr>
          <w:szCs w:val="24"/>
          <w:lang w:val="fr-FR"/>
        </w:rPr>
        <w:t>)</w:t>
      </w:r>
      <w:r w:rsidRPr="00640C9E">
        <w:rPr>
          <w:szCs w:val="24"/>
          <w:lang w:val="fr-FR"/>
        </w:rPr>
        <w:tab/>
        <w:t>La catégorie du colis, du suremballage ou du conteneur, telle que déterminée conformément au 5.1.5.3.4</w:t>
      </w:r>
      <w:r>
        <w:rPr>
          <w:szCs w:val="24"/>
          <w:lang w:val="fr-FR"/>
        </w:rPr>
        <w:t xml:space="preserve"> </w:t>
      </w:r>
      <w:r w:rsidRPr="00640C9E">
        <w:rPr>
          <w:szCs w:val="24"/>
          <w:lang w:val="fr-FR"/>
        </w:rPr>
        <w:t xml:space="preserve"> c</w:t>
      </w:r>
      <w:r>
        <w:rPr>
          <w:szCs w:val="24"/>
          <w:lang w:val="fr-FR"/>
        </w:rPr>
        <w:t>’</w:t>
      </w:r>
      <w:r w:rsidRPr="00640C9E">
        <w:rPr>
          <w:szCs w:val="24"/>
          <w:lang w:val="fr-FR"/>
        </w:rPr>
        <w:t>est-à-dire I-BLANC</w:t>
      </w:r>
      <w:r>
        <w:rPr>
          <w:szCs w:val="24"/>
          <w:lang w:val="fr-FR"/>
        </w:rPr>
        <w:t>HE</w:t>
      </w:r>
      <w:r w:rsidRPr="00640C9E">
        <w:rPr>
          <w:szCs w:val="24"/>
          <w:lang w:val="fr-FR"/>
        </w:rPr>
        <w:t>, II-JAUNE, III-JAUNE</w:t>
      </w:r>
      <w:r>
        <w:rPr>
          <w:szCs w:val="24"/>
          <w:lang w:val="fr-FR"/>
        </w:rPr>
        <w:t> ;</w:t>
      </w:r>
    </w:p>
    <w:p w:rsidR="00124E6E" w:rsidRPr="00640C9E" w:rsidRDefault="00124E6E" w:rsidP="00361A7A">
      <w:pPr>
        <w:pStyle w:val="SingleTxtG"/>
        <w:tabs>
          <w:tab w:val="left" w:pos="2268"/>
        </w:tabs>
        <w:ind w:left="2835" w:hanging="576"/>
        <w:rPr>
          <w:szCs w:val="24"/>
        </w:rPr>
      </w:pPr>
      <w:r w:rsidRPr="00640C9E">
        <w:rPr>
          <w:szCs w:val="24"/>
          <w:lang w:val="fr-FR"/>
        </w:rPr>
        <w:t>e)</w:t>
      </w:r>
      <w:r w:rsidRPr="00640C9E">
        <w:rPr>
          <w:szCs w:val="24"/>
          <w:lang w:val="fr-FR"/>
        </w:rPr>
        <w:tab/>
        <w:t>Le TI, tel que déterminé conformément aux 5.1.5.3.1 et 5.1.5.3.2 (sauf pour la catégorie I-BLANC</w:t>
      </w:r>
      <w:r>
        <w:rPr>
          <w:szCs w:val="24"/>
          <w:lang w:val="fr-FR"/>
        </w:rPr>
        <w:t>HE</w:t>
      </w:r>
      <w:r w:rsidRPr="00640C9E">
        <w:rPr>
          <w:szCs w:val="24"/>
          <w:lang w:val="fr-FR"/>
        </w:rPr>
        <w:t>)</w:t>
      </w:r>
      <w:r>
        <w:rPr>
          <w:szCs w:val="24"/>
          <w:lang w:val="fr-FR"/>
        </w:rPr>
        <w:t> ; ».</w:t>
      </w:r>
    </w:p>
    <w:p w:rsidR="00361A7A" w:rsidRDefault="00124E6E" w:rsidP="00FE3F4F">
      <w:pPr>
        <w:pStyle w:val="SingleTxtG"/>
        <w:tabs>
          <w:tab w:val="left" w:pos="2268"/>
        </w:tabs>
        <w:ind w:left="2259" w:hanging="1125"/>
        <w:rPr>
          <w:szCs w:val="24"/>
          <w:lang w:val="fr-FR"/>
        </w:rPr>
      </w:pPr>
      <w:r w:rsidRPr="00EB4D25">
        <w:rPr>
          <w:b/>
          <w:szCs w:val="24"/>
          <w:lang w:val="fr-FR"/>
        </w:rPr>
        <w:t>(ADR :)</w:t>
      </w:r>
      <w:r>
        <w:rPr>
          <w:szCs w:val="24"/>
          <w:lang w:val="fr-FR"/>
        </w:rPr>
        <w:t xml:space="preserve"> 5.4.1.2.2 d)</w:t>
      </w:r>
    </w:p>
    <w:p w:rsidR="00124E6E" w:rsidRDefault="00124E6E" w:rsidP="00FE3F4F">
      <w:pPr>
        <w:pStyle w:val="SingleTxtG"/>
        <w:tabs>
          <w:tab w:val="left" w:pos="2268"/>
        </w:tabs>
        <w:ind w:left="2259" w:hanging="1125"/>
        <w:rPr>
          <w:szCs w:val="24"/>
          <w:lang w:val="fr-FR"/>
        </w:rPr>
      </w:pPr>
      <w:r>
        <w:rPr>
          <w:szCs w:val="24"/>
          <w:lang w:val="fr-FR"/>
        </w:rPr>
        <w:tab/>
        <w:t>Après « des conteneurs-citernes » ajouter « et des citernes mobiles ».</w:t>
      </w:r>
    </w:p>
    <w:p w:rsidR="00361A7A" w:rsidRDefault="00124E6E" w:rsidP="00FE3F4F">
      <w:pPr>
        <w:pStyle w:val="SingleTxtG"/>
        <w:tabs>
          <w:tab w:val="left" w:pos="2268"/>
        </w:tabs>
        <w:ind w:left="2259" w:hanging="1125"/>
        <w:rPr>
          <w:szCs w:val="24"/>
          <w:lang w:val="fr-FR"/>
        </w:rPr>
      </w:pPr>
      <w:r w:rsidRPr="00EB4D25">
        <w:rPr>
          <w:b/>
          <w:szCs w:val="24"/>
          <w:lang w:val="fr-FR"/>
        </w:rPr>
        <w:t>(RID :)</w:t>
      </w:r>
      <w:r>
        <w:rPr>
          <w:szCs w:val="24"/>
          <w:lang w:val="fr-FR"/>
        </w:rPr>
        <w:t xml:space="preserve"> 5.4.1.2.2 d)</w:t>
      </w:r>
    </w:p>
    <w:p w:rsidR="00124E6E" w:rsidRDefault="00124E6E" w:rsidP="00FE3F4F">
      <w:pPr>
        <w:pStyle w:val="SingleTxtG"/>
        <w:tabs>
          <w:tab w:val="left" w:pos="2268"/>
        </w:tabs>
        <w:ind w:left="2259" w:hanging="1125"/>
        <w:rPr>
          <w:szCs w:val="24"/>
          <w:lang w:val="fr-FR"/>
        </w:rPr>
      </w:pPr>
      <w:r>
        <w:rPr>
          <w:szCs w:val="24"/>
          <w:lang w:val="fr-FR"/>
        </w:rPr>
        <w:tab/>
        <w:t>Remplacer « des wagons-citernes et des conteneurs-citernes » par « des wagons-citernes, des conteneurs-citernes et des citernes mobiles ».</w:t>
      </w:r>
    </w:p>
    <w:p w:rsidR="00361A7A" w:rsidRDefault="00124E6E" w:rsidP="00FE3F4F">
      <w:pPr>
        <w:pStyle w:val="SingleTxtG"/>
        <w:tabs>
          <w:tab w:val="left" w:pos="2268"/>
        </w:tabs>
        <w:ind w:left="2259" w:hanging="1125"/>
        <w:rPr>
          <w:szCs w:val="24"/>
          <w:lang w:val="fr-FR"/>
        </w:rPr>
      </w:pPr>
      <w:r w:rsidRPr="00EB4D25">
        <w:rPr>
          <w:b/>
          <w:szCs w:val="24"/>
          <w:lang w:val="fr-FR"/>
        </w:rPr>
        <w:t>[(ADN :)</w:t>
      </w:r>
      <w:r>
        <w:rPr>
          <w:szCs w:val="24"/>
          <w:lang w:val="fr-FR"/>
        </w:rPr>
        <w:t xml:space="preserve"> 5.4.1.2.2 d)</w:t>
      </w:r>
    </w:p>
    <w:p w:rsidR="00124E6E" w:rsidRDefault="00124E6E" w:rsidP="00FE3F4F">
      <w:pPr>
        <w:pStyle w:val="SingleTxtG"/>
        <w:tabs>
          <w:tab w:val="left" w:pos="2268"/>
        </w:tabs>
        <w:ind w:left="2259" w:hanging="1125"/>
        <w:rPr>
          <w:szCs w:val="24"/>
          <w:lang w:val="fr-FR"/>
        </w:rPr>
      </w:pPr>
      <w:r>
        <w:rPr>
          <w:szCs w:val="24"/>
          <w:lang w:val="fr-FR"/>
        </w:rPr>
        <w:tab/>
        <w:t>Remplacer « des conteneurs-citernes » par « des wagons-citernes, des conteneurs-citernes et des citernes mobiles ».]</w:t>
      </w:r>
    </w:p>
    <w:p w:rsidR="00FB6D76" w:rsidRPr="00640C9E" w:rsidRDefault="00FB6D76" w:rsidP="00FB6D76">
      <w:pPr>
        <w:pStyle w:val="SingleTxtG"/>
        <w:tabs>
          <w:tab w:val="left" w:pos="2268"/>
        </w:tabs>
        <w:ind w:left="2259" w:hanging="1125"/>
        <w:rPr>
          <w:szCs w:val="24"/>
        </w:rPr>
      </w:pPr>
      <w:r>
        <w:rPr>
          <w:szCs w:val="24"/>
          <w:lang w:val="fr-FR"/>
        </w:rPr>
        <w:t>5.4.1.2.5.1</w:t>
      </w:r>
      <w:r>
        <w:rPr>
          <w:szCs w:val="24"/>
          <w:lang w:val="fr-FR"/>
        </w:rPr>
        <w:tab/>
      </w:r>
      <w:r w:rsidRPr="00640C9E">
        <w:rPr>
          <w:szCs w:val="24"/>
          <w:lang w:val="fr-FR"/>
        </w:rPr>
        <w:t>À l</w:t>
      </w:r>
      <w:r>
        <w:rPr>
          <w:szCs w:val="24"/>
          <w:lang w:val="fr-FR"/>
        </w:rPr>
        <w:t>’</w:t>
      </w:r>
      <w:r w:rsidRPr="00640C9E">
        <w:rPr>
          <w:szCs w:val="24"/>
          <w:lang w:val="fr-FR"/>
        </w:rPr>
        <w:t>alinéa j</w:t>
      </w:r>
      <w:r>
        <w:rPr>
          <w:szCs w:val="24"/>
          <w:lang w:val="fr-FR"/>
        </w:rPr>
        <w:t>)</w:t>
      </w:r>
      <w:r w:rsidRPr="00640C9E">
        <w:rPr>
          <w:szCs w:val="24"/>
          <w:lang w:val="fr-FR"/>
        </w:rPr>
        <w:t xml:space="preserve">, remplacer </w:t>
      </w:r>
      <w:r>
        <w:rPr>
          <w:szCs w:val="24"/>
          <w:lang w:val="fr-FR"/>
        </w:rPr>
        <w:t>« </w:t>
      </w:r>
      <w:r w:rsidRPr="00640C9E">
        <w:rPr>
          <w:szCs w:val="24"/>
          <w:lang w:val="fr-FR"/>
        </w:rPr>
        <w:t>SCO-I et SCO-II</w:t>
      </w:r>
      <w:r>
        <w:rPr>
          <w:szCs w:val="24"/>
          <w:lang w:val="fr-FR"/>
        </w:rPr>
        <w:t> »</w:t>
      </w:r>
      <w:r w:rsidRPr="00640C9E">
        <w:rPr>
          <w:szCs w:val="24"/>
          <w:lang w:val="fr-FR"/>
        </w:rPr>
        <w:t xml:space="preserve"> par </w:t>
      </w:r>
      <w:r>
        <w:rPr>
          <w:szCs w:val="24"/>
          <w:lang w:val="fr-FR"/>
        </w:rPr>
        <w:t>« </w:t>
      </w:r>
      <w:r w:rsidRPr="00640C9E">
        <w:rPr>
          <w:szCs w:val="24"/>
          <w:lang w:val="fr-FR"/>
        </w:rPr>
        <w:t>SCO-I, SCO-II et SCO-III</w:t>
      </w:r>
      <w:r>
        <w:rPr>
          <w:szCs w:val="24"/>
          <w:lang w:val="fr-FR"/>
        </w:rPr>
        <w:t> »</w:t>
      </w:r>
      <w:r w:rsidRPr="00640C9E">
        <w:rPr>
          <w:szCs w:val="24"/>
          <w:lang w:val="fr-FR"/>
        </w:rPr>
        <w:t>.</w:t>
      </w:r>
    </w:p>
    <w:p w:rsidR="00124E6E" w:rsidRDefault="00124E6E" w:rsidP="00FE3F4F">
      <w:pPr>
        <w:pStyle w:val="SingleTxtG"/>
        <w:tabs>
          <w:tab w:val="left" w:pos="2268"/>
        </w:tabs>
        <w:ind w:left="2259" w:hanging="1125"/>
        <w:rPr>
          <w:szCs w:val="24"/>
          <w:lang w:val="fr-FR"/>
        </w:rPr>
      </w:pPr>
      <w:r w:rsidRPr="00640C9E">
        <w:rPr>
          <w:szCs w:val="24"/>
          <w:lang w:val="fr-FR"/>
        </w:rPr>
        <w:t>5.4.2</w:t>
      </w:r>
      <w:r w:rsidRPr="00640C9E">
        <w:rPr>
          <w:szCs w:val="24"/>
          <w:lang w:val="fr-FR"/>
        </w:rPr>
        <w:tab/>
      </w:r>
      <w:r>
        <w:rPr>
          <w:szCs w:val="24"/>
          <w:lang w:val="fr-FR"/>
        </w:rPr>
        <w:t>Dans le deuxième paragraphe, à</w:t>
      </w:r>
      <w:r w:rsidRPr="00640C9E">
        <w:rPr>
          <w:szCs w:val="24"/>
          <w:lang w:val="fr-FR"/>
        </w:rPr>
        <w:t xml:space="preserve"> la fin de la première phrase, supprimer</w:t>
      </w:r>
      <w:r>
        <w:rPr>
          <w:szCs w:val="24"/>
          <w:lang w:val="fr-FR"/>
        </w:rPr>
        <w:t> « </w:t>
      </w:r>
      <w:r w:rsidRPr="00640C9E">
        <w:rPr>
          <w:szCs w:val="24"/>
          <w:lang w:val="fr-FR"/>
        </w:rPr>
        <w:t>les uns aux autres</w:t>
      </w:r>
      <w:r>
        <w:rPr>
          <w:szCs w:val="24"/>
          <w:lang w:val="fr-FR"/>
        </w:rPr>
        <w:t> ».</w:t>
      </w:r>
    </w:p>
    <w:p w:rsidR="00124E6E" w:rsidRPr="00640C9E" w:rsidRDefault="00124E6E" w:rsidP="00124E6E">
      <w:pPr>
        <w:pStyle w:val="SingleTxtG"/>
        <w:tabs>
          <w:tab w:val="left" w:pos="2268"/>
        </w:tabs>
        <w:rPr>
          <w:szCs w:val="24"/>
        </w:rPr>
      </w:pPr>
      <w:r>
        <w:rPr>
          <w:i/>
          <w:iCs/>
        </w:rPr>
        <w:t>Note du secrétariat : Le texte du 5.4.2 du Code IMDG, repris dans la note de bas de page 6, devra être modifié pour prendre en compte les amendements du Code IMDG le cas échéant.</w:t>
      </w:r>
    </w:p>
    <w:p w:rsidR="00124E6E" w:rsidRPr="00063C22" w:rsidRDefault="00124E6E" w:rsidP="00124E6E">
      <w:pPr>
        <w:pStyle w:val="H1G"/>
        <w:rPr>
          <w:lang w:val="fr-FR"/>
        </w:rPr>
      </w:pPr>
      <w:r>
        <w:rPr>
          <w:lang w:val="fr-FR"/>
        </w:rPr>
        <w:tab/>
      </w:r>
      <w:r>
        <w:rPr>
          <w:lang w:val="fr-FR"/>
        </w:rPr>
        <w:tab/>
      </w:r>
      <w:r w:rsidRPr="00063C22">
        <w:rPr>
          <w:lang w:val="fr-FR"/>
        </w:rPr>
        <w:t>Chapitre 5.5</w:t>
      </w:r>
    </w:p>
    <w:p w:rsidR="00124E6E" w:rsidRPr="00063C22" w:rsidRDefault="00124E6E" w:rsidP="00FE3F4F">
      <w:pPr>
        <w:pStyle w:val="SingleTxtG"/>
        <w:tabs>
          <w:tab w:val="left" w:pos="2268"/>
        </w:tabs>
        <w:ind w:left="2259" w:hanging="1125"/>
        <w:rPr>
          <w:lang w:val="fr-FR"/>
        </w:rPr>
      </w:pPr>
      <w:r w:rsidRPr="00063C22">
        <w:rPr>
          <w:lang w:val="fr-FR"/>
        </w:rPr>
        <w:t>5.5.3</w:t>
      </w:r>
      <w:r>
        <w:rPr>
          <w:lang w:val="fr-FR"/>
        </w:rPr>
        <w:t>, titre</w:t>
      </w:r>
      <w:r w:rsidRPr="00063C22">
        <w:rPr>
          <w:lang w:val="fr-FR"/>
        </w:rPr>
        <w:tab/>
        <w:t>À la fin, dans le texte entre parenthèses, après « (No ONU 1951) » ajouter « ou l’azote ».</w:t>
      </w:r>
    </w:p>
    <w:p w:rsidR="00124E6E" w:rsidRPr="00063C22" w:rsidRDefault="00361A7A" w:rsidP="00FE3F4F">
      <w:pPr>
        <w:pStyle w:val="SingleTxtG"/>
        <w:tabs>
          <w:tab w:val="left" w:pos="2268"/>
        </w:tabs>
        <w:ind w:left="2259" w:hanging="1125"/>
      </w:pPr>
      <w:r>
        <w:tab/>
      </w:r>
      <w:r w:rsidR="00124E6E" w:rsidRPr="00063C22">
        <w:t xml:space="preserve">Ajouter le nouveau Nota </w:t>
      </w:r>
      <w:r w:rsidR="00124E6E">
        <w:t>après le titre du 5.5.3</w:t>
      </w:r>
      <w:r w:rsidR="00124E6E" w:rsidRPr="00063C22">
        <w:t> :</w:t>
      </w:r>
    </w:p>
    <w:p w:rsidR="00124E6E" w:rsidRPr="00063C22" w:rsidRDefault="00124E6E" w:rsidP="00361A7A">
      <w:pPr>
        <w:pStyle w:val="SingleTxtG"/>
        <w:ind w:left="2259"/>
      </w:pPr>
      <w:r w:rsidRPr="00063C22">
        <w:t>« </w:t>
      </w:r>
      <w:r>
        <w:rPr>
          <w:b/>
          <w:i/>
        </w:rPr>
        <w:t xml:space="preserve">NOTA </w:t>
      </w:r>
      <w:r w:rsidRPr="00063C22">
        <w:rPr>
          <w:b/>
          <w:i/>
        </w:rPr>
        <w:t>:</w:t>
      </w:r>
      <w:r w:rsidRPr="00063C22">
        <w:rPr>
          <w:i/>
        </w:rPr>
        <w:t xml:space="preserve"> Dans le contexte de la présente section, le terme “conditionnement” peut être utilisé dans un champ plus large et il inclut la protection.</w:t>
      </w:r>
      <w:r w:rsidRPr="00063C22">
        <w:t> ».</w:t>
      </w:r>
    </w:p>
    <w:p w:rsidR="00124E6E" w:rsidRDefault="00124E6E" w:rsidP="00FE3F4F">
      <w:pPr>
        <w:pStyle w:val="SingleTxtG"/>
        <w:tabs>
          <w:tab w:val="left" w:pos="2268"/>
        </w:tabs>
        <w:ind w:left="2259" w:hanging="1125"/>
        <w:rPr>
          <w:w w:val="105"/>
        </w:rPr>
      </w:pPr>
      <w:r>
        <w:t>5.5.3.6.2</w:t>
      </w:r>
      <w:r>
        <w:tab/>
        <w:t>Dans la figure 5.5.3.6.2, modifier le titre sous la figure pour lire « </w:t>
      </w:r>
      <w:r w:rsidRPr="00063C22">
        <w:t xml:space="preserve">Marque de mise en garde </w:t>
      </w:r>
      <w:r>
        <w:t>contre l’asphyxie pour les</w:t>
      </w:r>
      <w:r w:rsidRPr="00063C22">
        <w:t xml:space="preserve"> </w:t>
      </w:r>
      <w:r>
        <w:t>véhicules (RID/ADN </w:t>
      </w:r>
      <w:proofErr w:type="gramStart"/>
      <w:r>
        <w:t>: ,</w:t>
      </w:r>
      <w:proofErr w:type="gramEnd"/>
      <w:r>
        <w:t xml:space="preserve"> wagons) et conteneurs ». Supprimer la référence à la note ** et la note correspondante. Dans la note *, au début, remplacer « de l’agent » par « </w:t>
      </w:r>
      <w:r>
        <w:rPr>
          <w:w w:val="105"/>
        </w:rPr>
        <w:t xml:space="preserve">ou le nom du gaz asphyxiant utilisé en tant qu’agent ». À la fin de la note *, ajouter « Des informations additionnelles comme </w:t>
      </w:r>
      <w:r w:rsidRPr="00E53AD8">
        <w:rPr>
          <w:w w:val="105"/>
        </w:rPr>
        <w:t>la mention "AGENT DE RÉFRIGÉRATION" ou "AGENT DE CONDITIONNEMENT"</w:t>
      </w:r>
      <w:r>
        <w:rPr>
          <w:w w:val="105"/>
        </w:rPr>
        <w:t xml:space="preserve"> peuvent être ajoutées. ». </w:t>
      </w:r>
    </w:p>
    <w:p w:rsidR="00124E6E" w:rsidRPr="00B857E2" w:rsidRDefault="00124E6E" w:rsidP="00FE3F4F">
      <w:pPr>
        <w:pStyle w:val="SingleTxtG"/>
        <w:tabs>
          <w:tab w:val="left" w:pos="2268"/>
        </w:tabs>
        <w:ind w:left="2259" w:hanging="1125"/>
      </w:pPr>
      <w:r w:rsidRPr="00B857E2">
        <w:t>5.5.4</w:t>
      </w:r>
      <w:r w:rsidRPr="00B857E2">
        <w:tab/>
      </w:r>
      <w:r>
        <w:t xml:space="preserve">Ajouter une nouvelle section </w:t>
      </w:r>
      <w:r w:rsidRPr="00B857E2">
        <w:t xml:space="preserve">5.5.4 </w:t>
      </w:r>
      <w:r>
        <w:t xml:space="preserve">pour lire comme suit : </w:t>
      </w:r>
    </w:p>
    <w:p w:rsidR="00124E6E" w:rsidRDefault="00124E6E" w:rsidP="00FE3F4F">
      <w:pPr>
        <w:pStyle w:val="SingleTxtG"/>
        <w:tabs>
          <w:tab w:val="left" w:pos="2268"/>
        </w:tabs>
        <w:ind w:left="2259" w:hanging="1125"/>
        <w:rPr>
          <w:b/>
          <w:bCs/>
        </w:rPr>
      </w:pPr>
      <w:r>
        <w:rPr>
          <w:b/>
          <w:bCs/>
        </w:rPr>
        <w:t>« 5.5.4</w:t>
      </w:r>
      <w:r>
        <w:rPr>
          <w:b/>
          <w:bCs/>
        </w:rPr>
        <w:tab/>
        <w:t>M</w:t>
      </w:r>
      <w:r w:rsidRPr="00F83AD6">
        <w:rPr>
          <w:b/>
          <w:bCs/>
        </w:rPr>
        <w:t>archandises dangereuses contenues dans des équipements</w:t>
      </w:r>
      <w:r>
        <w:rPr>
          <w:b/>
          <w:bCs/>
        </w:rPr>
        <w:t xml:space="preserve"> </w:t>
      </w:r>
      <w:r w:rsidRPr="00505A69">
        <w:rPr>
          <w:b/>
          <w:bCs/>
        </w:rPr>
        <w:t>utilisé</w:t>
      </w:r>
      <w:r>
        <w:rPr>
          <w:b/>
          <w:bCs/>
        </w:rPr>
        <w:t>s</w:t>
      </w:r>
      <w:r w:rsidRPr="00505A69">
        <w:rPr>
          <w:b/>
          <w:bCs/>
        </w:rPr>
        <w:t xml:space="preserve"> ou destiné</w:t>
      </w:r>
      <w:r>
        <w:rPr>
          <w:b/>
          <w:bCs/>
        </w:rPr>
        <w:t>s</w:t>
      </w:r>
      <w:r w:rsidRPr="00505A69">
        <w:rPr>
          <w:b/>
          <w:bCs/>
        </w:rPr>
        <w:t xml:space="preserve"> à être utilisé en cours de transport</w:t>
      </w:r>
      <w:r w:rsidRPr="00F83AD6">
        <w:rPr>
          <w:b/>
          <w:bCs/>
        </w:rPr>
        <w:t xml:space="preserve"> qui sont attachés ou placés dans des colis, des suremballages</w:t>
      </w:r>
      <w:r>
        <w:rPr>
          <w:b/>
          <w:bCs/>
        </w:rPr>
        <w:t xml:space="preserve">, </w:t>
      </w:r>
      <w:r w:rsidRPr="00F83AD6">
        <w:rPr>
          <w:b/>
          <w:bCs/>
        </w:rPr>
        <w:t xml:space="preserve">des conteneurs ou </w:t>
      </w:r>
      <w:r>
        <w:rPr>
          <w:b/>
          <w:bCs/>
        </w:rPr>
        <w:t xml:space="preserve">des </w:t>
      </w:r>
      <w:r w:rsidRPr="00F83AD6">
        <w:rPr>
          <w:b/>
          <w:bCs/>
        </w:rPr>
        <w:t xml:space="preserve">compartiments de charge </w:t>
      </w:r>
    </w:p>
    <w:p w:rsidR="00124E6E" w:rsidRDefault="00124E6E" w:rsidP="00FE3F4F">
      <w:pPr>
        <w:pStyle w:val="SingleTxtG"/>
        <w:tabs>
          <w:tab w:val="left" w:pos="2268"/>
        </w:tabs>
        <w:ind w:left="2259" w:hanging="1125"/>
      </w:pPr>
      <w:r>
        <w:t>5.5.4.1</w:t>
      </w:r>
      <w:r>
        <w:tab/>
        <w:t xml:space="preserve">Les marchandises dangereuses (par exemple les piles au lithium, cartouches pour pile à combustible) contenues dans des équipements tels que les enregistreurs de données et les dispositifs de suivi des cargaisons, qui sont attachés ou placés dans des colis, des suremballages ou des conteneurs ou compartiments de charge, ne font pas l’objet des dispositions du RID/de l’ADR/de l’ADN autres que les dispositions suivantes : </w:t>
      </w:r>
    </w:p>
    <w:p w:rsidR="00124E6E" w:rsidRDefault="00124E6E" w:rsidP="00124E6E">
      <w:pPr>
        <w:pStyle w:val="SingleTxtG"/>
        <w:ind w:left="2552" w:hanging="284"/>
      </w:pPr>
      <w:r>
        <w:t xml:space="preserve">a)   l’équipement doit être </w:t>
      </w:r>
      <w:bookmarkStart w:id="54" w:name="_Hlk11162481"/>
      <w:r>
        <w:t xml:space="preserve">utilisé ou destiné à être utilisé en cours de </w:t>
      </w:r>
      <w:proofErr w:type="gramStart"/>
      <w:r>
        <w:t>transport</w:t>
      </w:r>
      <w:bookmarkEnd w:id="54"/>
      <w:r>
        <w:t>;</w:t>
      </w:r>
      <w:proofErr w:type="gramEnd"/>
      <w:r>
        <w:t xml:space="preserve"> </w:t>
      </w:r>
    </w:p>
    <w:p w:rsidR="00124E6E" w:rsidRDefault="00124E6E" w:rsidP="00124E6E">
      <w:pPr>
        <w:pStyle w:val="SingleTxtG"/>
        <w:ind w:left="2552" w:hanging="284"/>
      </w:pPr>
      <w:r>
        <w:lastRenderedPageBreak/>
        <w:t xml:space="preserve">b)  </w:t>
      </w:r>
      <w:r>
        <w:tab/>
        <w:t>les marchandises dangereuses contenues (par exemple les piles au lithium, cartouches pour pile à combustible) doivent répondre aux exigences de conception et d’épreuves prescrites par le RID/l’ADR/l’ADN ; et</w:t>
      </w:r>
    </w:p>
    <w:p w:rsidR="00124E6E" w:rsidRDefault="00124E6E" w:rsidP="00124E6E">
      <w:pPr>
        <w:pStyle w:val="SingleTxtG"/>
        <w:ind w:left="2552" w:hanging="284"/>
      </w:pPr>
      <w:r>
        <w:t>c)  l’équipement doit être capable de résister aux chocs et aux sollicitations habituelles en cours de transport.</w:t>
      </w:r>
    </w:p>
    <w:p w:rsidR="00124E6E" w:rsidRDefault="00124E6E" w:rsidP="00FE3F4F">
      <w:pPr>
        <w:pStyle w:val="SingleTxtG"/>
        <w:tabs>
          <w:tab w:val="left" w:pos="2268"/>
        </w:tabs>
        <w:ind w:left="2259" w:hanging="1125"/>
      </w:pPr>
      <w:r>
        <w:t>5.5.4.2</w:t>
      </w:r>
      <w:r>
        <w:tab/>
        <w:t>Lorsqu’un tel équipement contenant des marchandises dangereuses est transporté en tant que cargaison, la rubrique appropriée dans le tableau A du chapitre 3.2 doit être utilisée et toutes les dispositions applicables du RID/de l’ADR/de l’ADN</w:t>
      </w:r>
      <w:r w:rsidDel="00F83AD6">
        <w:t xml:space="preserve"> </w:t>
      </w:r>
      <w:proofErr w:type="gramStart"/>
      <w:r>
        <w:t>doivent</w:t>
      </w:r>
      <w:proofErr w:type="gramEnd"/>
      <w:r>
        <w:t xml:space="preserve"> être appliquées. ».</w:t>
      </w:r>
    </w:p>
    <w:p w:rsidR="00124E6E" w:rsidRPr="006B0E45" w:rsidRDefault="00124E6E" w:rsidP="00124E6E">
      <w:pPr>
        <w:pStyle w:val="H1G"/>
        <w:rPr>
          <w:lang w:val="fr-FR"/>
        </w:rPr>
      </w:pPr>
      <w:r>
        <w:rPr>
          <w:bCs/>
          <w:szCs w:val="24"/>
          <w:lang w:val="fr-FR"/>
        </w:rPr>
        <w:tab/>
      </w:r>
      <w:r>
        <w:rPr>
          <w:bCs/>
          <w:szCs w:val="24"/>
          <w:lang w:val="fr-FR"/>
        </w:rPr>
        <w:tab/>
      </w:r>
      <w:r w:rsidRPr="006B0E45">
        <w:rPr>
          <w:lang w:val="fr-FR"/>
        </w:rPr>
        <w:tab/>
        <w:t>Chapitre 6.1</w:t>
      </w:r>
    </w:p>
    <w:p w:rsidR="00124E6E" w:rsidRPr="006B0E45" w:rsidRDefault="00124E6E" w:rsidP="00FE3F4F">
      <w:pPr>
        <w:pStyle w:val="SingleTxtG"/>
        <w:tabs>
          <w:tab w:val="left" w:pos="2268"/>
        </w:tabs>
        <w:ind w:left="2259" w:hanging="1125"/>
        <w:rPr>
          <w:lang w:val="fr-FR"/>
        </w:rPr>
      </w:pPr>
      <w:r w:rsidRPr="006B0E45">
        <w:rPr>
          <w:lang w:val="fr-FR"/>
        </w:rPr>
        <w:t xml:space="preserve">6.1.1.1 </w:t>
      </w:r>
      <w:r>
        <w:rPr>
          <w:lang w:val="fr-FR"/>
        </w:rPr>
        <w:t>b</w:t>
      </w:r>
      <w:r w:rsidRPr="006B0E45">
        <w:rPr>
          <w:lang w:val="fr-FR"/>
        </w:rPr>
        <w:t>)</w:t>
      </w:r>
      <w:r w:rsidRPr="006B0E45">
        <w:rPr>
          <w:lang w:val="fr-FR"/>
        </w:rPr>
        <w:tab/>
      </w:r>
      <w:r>
        <w:rPr>
          <w:lang w:val="fr-FR"/>
        </w:rPr>
        <w:t xml:space="preserve">Après « classe 6.2 », </w:t>
      </w:r>
      <w:r w:rsidRPr="006B0E45">
        <w:rPr>
          <w:lang w:val="fr-FR"/>
        </w:rPr>
        <w:t>ajouter «, excepté pour le No ONU 3549</w:t>
      </w:r>
      <w:r>
        <w:rPr>
          <w:lang w:val="fr-FR"/>
        </w:rPr>
        <w:t>,</w:t>
      </w:r>
      <w:r w:rsidRPr="006B0E45">
        <w:rPr>
          <w:lang w:val="fr-FR"/>
        </w:rPr>
        <w:t> »</w:t>
      </w:r>
    </w:p>
    <w:p w:rsidR="00124E6E" w:rsidRDefault="00124E6E" w:rsidP="00FE3F4F">
      <w:pPr>
        <w:pStyle w:val="SingleTxtG"/>
        <w:tabs>
          <w:tab w:val="left" w:pos="2268"/>
        </w:tabs>
        <w:ind w:left="2259" w:hanging="1125"/>
      </w:pPr>
      <w:r>
        <w:t>6.1.3.1</w:t>
      </w:r>
      <w:r>
        <w:tab/>
        <w:t>Modifier la troisième phrase pour lire comme suit :</w:t>
      </w:r>
    </w:p>
    <w:p w:rsidR="00124E6E" w:rsidRDefault="00361A7A" w:rsidP="00FE3F4F">
      <w:pPr>
        <w:pStyle w:val="SingleTxtG"/>
        <w:tabs>
          <w:tab w:val="left" w:pos="2268"/>
        </w:tabs>
        <w:ind w:left="2259" w:hanging="1125"/>
      </w:pPr>
      <w:r>
        <w:tab/>
      </w:r>
      <w:r w:rsidR="00124E6E">
        <w:t xml:space="preserve">« Les lettres, les chiffres et les symboles doivent avoir au moins 12 mm de hauteur, sauf sur les emballages d’une capacité ne dépassant pas 30 </w:t>
      </w:r>
      <w:r w:rsidR="00124E6E" w:rsidRPr="00182113">
        <w:rPr>
          <w:i/>
          <w:iCs/>
        </w:rPr>
        <w:t>l</w:t>
      </w:r>
      <w:r w:rsidR="00124E6E">
        <w:t xml:space="preserve"> ou d’une masse nette ne dépassant pas 30 kg où leur hauteur doit être d'au moins 6 mm, ainsi que sur les emballages d’une capacité ne dépassant pas 5 </w:t>
      </w:r>
      <w:r w:rsidR="00124E6E" w:rsidRPr="00403FEA">
        <w:rPr>
          <w:i/>
          <w:iCs/>
        </w:rPr>
        <w:t>l</w:t>
      </w:r>
      <w:r w:rsidR="00124E6E">
        <w:t xml:space="preserve"> ou d’une masse nette de dépassant pas 5 kg, où ils doivent avoir des dimensions appropriées. ».</w:t>
      </w:r>
    </w:p>
    <w:p w:rsidR="00124E6E" w:rsidRDefault="00124E6E" w:rsidP="00FE3F4F">
      <w:pPr>
        <w:pStyle w:val="SingleTxtG"/>
        <w:tabs>
          <w:tab w:val="left" w:pos="2268"/>
        </w:tabs>
        <w:ind w:left="2259" w:hanging="1125"/>
      </w:pPr>
      <w:r>
        <w:t>6.1.3.1 e)</w:t>
      </w:r>
      <w:r>
        <w:tab/>
        <w:t xml:space="preserve">Dans le texte du renvoi de l’astérisque, sous le cadran, remplacer la deuxième phrase pour lire comme suit : </w:t>
      </w:r>
    </w:p>
    <w:p w:rsidR="00124E6E" w:rsidRDefault="00361A7A" w:rsidP="00FE3F4F">
      <w:pPr>
        <w:pStyle w:val="SingleTxtG"/>
        <w:tabs>
          <w:tab w:val="left" w:pos="2268"/>
        </w:tabs>
        <w:ind w:left="2259" w:hanging="1125"/>
        <w:rPr>
          <w:iCs/>
          <w:w w:val="105"/>
        </w:rPr>
      </w:pPr>
      <w:r>
        <w:tab/>
      </w:r>
      <w:r w:rsidR="00124E6E">
        <w:t>« Dans ce cas, et quand le cadran est accolé à</w:t>
      </w:r>
      <w:r w:rsidR="00124E6E" w:rsidRPr="00485121">
        <w:t xml:space="preserve"> la marque </w:t>
      </w:r>
      <w:r w:rsidR="00124E6E">
        <w:t>d’homologation de type, l’indication de l’année dans la marque n’est pas obligatoire. Toutefois, si le cadran n’est pas accolé à</w:t>
      </w:r>
      <w:r w:rsidR="00124E6E" w:rsidRPr="00485121">
        <w:t xml:space="preserve"> la marque </w:t>
      </w:r>
      <w:r w:rsidR="00124E6E">
        <w:t>d’homologation de type</w:t>
      </w:r>
      <w:r w:rsidR="00124E6E" w:rsidRPr="00485121" w:rsidDel="00C32229">
        <w:t xml:space="preserve"> </w:t>
      </w:r>
      <w:r w:rsidR="00124E6E">
        <w:t>les deux chiffres indiquant l’année dans la marque et dans le cadran doivent être identiques. ».</w:t>
      </w:r>
    </w:p>
    <w:p w:rsidR="00124E6E" w:rsidRPr="00EE72C3" w:rsidRDefault="00124E6E" w:rsidP="00FE3F4F">
      <w:pPr>
        <w:pStyle w:val="SingleTxtG"/>
        <w:tabs>
          <w:tab w:val="left" w:pos="2268"/>
        </w:tabs>
        <w:ind w:left="2259" w:hanging="1125"/>
        <w:rPr>
          <w:lang w:val="fr-FR"/>
        </w:rPr>
      </w:pPr>
      <w:r w:rsidRPr="00EE72C3">
        <w:rPr>
          <w:lang w:val="fr-FR"/>
        </w:rPr>
        <w:t>Ajouter le nouveau 6.1.3.</w:t>
      </w:r>
      <w:r>
        <w:rPr>
          <w:lang w:val="fr-FR"/>
        </w:rPr>
        <w:t>14</w:t>
      </w:r>
      <w:r w:rsidRPr="00EE72C3">
        <w:rPr>
          <w:lang w:val="fr-FR"/>
        </w:rPr>
        <w:t xml:space="preserve"> </w:t>
      </w:r>
      <w:proofErr w:type="gramStart"/>
      <w:r w:rsidRPr="00EE72C3">
        <w:rPr>
          <w:lang w:val="fr-FR"/>
        </w:rPr>
        <w:t>suivant</w:t>
      </w:r>
      <w:proofErr w:type="gramEnd"/>
      <w:r w:rsidRPr="00EE72C3">
        <w:rPr>
          <w:lang w:val="fr-FR"/>
        </w:rPr>
        <w:t> :</w:t>
      </w:r>
    </w:p>
    <w:p w:rsidR="00124E6E" w:rsidRPr="00EE72C3" w:rsidRDefault="00124E6E" w:rsidP="00FE3F4F">
      <w:pPr>
        <w:pStyle w:val="SingleTxtG"/>
        <w:tabs>
          <w:tab w:val="left" w:pos="2268"/>
        </w:tabs>
        <w:ind w:left="2259" w:hanging="1125"/>
        <w:rPr>
          <w:lang w:val="fr-FR"/>
        </w:rPr>
      </w:pPr>
      <w:r w:rsidRPr="00EE72C3">
        <w:rPr>
          <w:lang w:val="fr-FR"/>
        </w:rPr>
        <w:t>« 6.1.3.</w:t>
      </w:r>
      <w:r>
        <w:rPr>
          <w:lang w:val="fr-FR"/>
        </w:rPr>
        <w:t>14</w:t>
      </w:r>
      <w:r w:rsidRPr="00EE72C3">
        <w:rPr>
          <w:lang w:val="fr-FR"/>
        </w:rPr>
        <w:tab/>
        <w:t xml:space="preserve">Lorsqu'un emballage est conforme </w:t>
      </w:r>
      <w:r>
        <w:t xml:space="preserve">à un ou plusieurs modèles types </w:t>
      </w:r>
      <w:r w:rsidRPr="00EE72C3">
        <w:rPr>
          <w:lang w:val="fr-FR"/>
        </w:rPr>
        <w:t>d’emballage</w:t>
      </w:r>
      <w:r>
        <w:rPr>
          <w:lang w:val="fr-FR"/>
        </w:rPr>
        <w:t>s</w:t>
      </w:r>
      <w:r w:rsidRPr="00EE72C3">
        <w:rPr>
          <w:lang w:val="fr-FR"/>
        </w:rPr>
        <w:t xml:space="preserve"> </w:t>
      </w:r>
      <w:r>
        <w:t>ayant satisfait aux épreuves</w:t>
      </w:r>
      <w:r w:rsidRPr="00EE72C3">
        <w:rPr>
          <w:lang w:val="fr-FR"/>
        </w:rPr>
        <w:t xml:space="preserve">, </w:t>
      </w:r>
      <w:r>
        <w:rPr>
          <w:lang w:val="fr-FR"/>
        </w:rPr>
        <w:t xml:space="preserve">y compris </w:t>
      </w:r>
      <w:r>
        <w:t xml:space="preserve">un ou plusieurs modèles types de GRV ou de grands </w:t>
      </w:r>
      <w:r w:rsidRPr="00EE72C3">
        <w:rPr>
          <w:lang w:val="fr-FR"/>
        </w:rPr>
        <w:t>emballage</w:t>
      </w:r>
      <w:r>
        <w:rPr>
          <w:lang w:val="fr-FR"/>
        </w:rPr>
        <w:t>s,</w:t>
      </w:r>
      <w:r w:rsidRPr="00EE72C3">
        <w:rPr>
          <w:lang w:val="fr-FR"/>
        </w:rPr>
        <w:t xml:space="preserve"> l'emballage peut porter plus d’une marque</w:t>
      </w:r>
      <w:r>
        <w:rPr>
          <w:lang w:val="fr-FR"/>
        </w:rPr>
        <w:t xml:space="preserve"> </w:t>
      </w:r>
      <w:r>
        <w:t>d’homologation de type</w:t>
      </w:r>
      <w:r>
        <w:rPr>
          <w:lang w:val="fr-FR"/>
        </w:rPr>
        <w:t xml:space="preserve"> pour indiquer les exigences d’épreuves de performance applicables qui ont été atteintes</w:t>
      </w:r>
      <w:r w:rsidRPr="00EE72C3">
        <w:rPr>
          <w:lang w:val="fr-FR"/>
        </w:rPr>
        <w:t>. Lorsque plus d'une marque apparaît sur un emballage, les marques doivent apparaître à proximité les unes des autres et chaque marque doit apparaître dans son intégralité.</w:t>
      </w:r>
      <w:r>
        <w:rPr>
          <w:lang w:val="fr-FR"/>
        </w:rPr>
        <w:t> ».</w:t>
      </w:r>
    </w:p>
    <w:p w:rsidR="00124E6E" w:rsidRDefault="00124E6E" w:rsidP="00FE3F4F">
      <w:pPr>
        <w:pStyle w:val="SingleTxtG"/>
        <w:tabs>
          <w:tab w:val="left" w:pos="2268"/>
        </w:tabs>
        <w:ind w:left="2259" w:hanging="1125"/>
        <w:rPr>
          <w:lang w:val="fr-FR"/>
        </w:rPr>
      </w:pPr>
      <w:r>
        <w:rPr>
          <w:lang w:val="fr-FR"/>
        </w:rPr>
        <w:t>Renuméroter le 6.1.3.14 actuel en tant que 6.1.3.15.</w:t>
      </w:r>
    </w:p>
    <w:p w:rsidR="00124E6E" w:rsidRDefault="00124E6E" w:rsidP="00FE3F4F">
      <w:pPr>
        <w:pStyle w:val="SingleTxtG"/>
        <w:tabs>
          <w:tab w:val="left" w:pos="2268"/>
        </w:tabs>
        <w:ind w:left="2259" w:hanging="1125"/>
        <w:rPr>
          <w:lang w:val="fr-FR"/>
        </w:rPr>
      </w:pPr>
      <w:r w:rsidRPr="00EE72C3">
        <w:rPr>
          <w:lang w:val="fr-FR"/>
        </w:rPr>
        <w:t xml:space="preserve">Ajouter le nouveau </w:t>
      </w:r>
      <w:r w:rsidRPr="00E81843">
        <w:rPr>
          <w:bCs/>
          <w:iCs/>
          <w:lang w:val="fr-FR"/>
        </w:rPr>
        <w:t>6.1.4.2.6</w:t>
      </w:r>
      <w:r>
        <w:rPr>
          <w:bCs/>
          <w:i/>
          <w:lang w:val="fr-FR"/>
        </w:rPr>
        <w:t xml:space="preserve"> </w:t>
      </w:r>
      <w:proofErr w:type="gramStart"/>
      <w:r w:rsidRPr="00EE72C3">
        <w:rPr>
          <w:lang w:val="fr-FR"/>
        </w:rPr>
        <w:t>suivant</w:t>
      </w:r>
      <w:proofErr w:type="gramEnd"/>
      <w:r w:rsidRPr="00EE72C3">
        <w:rPr>
          <w:lang w:val="fr-FR"/>
        </w:rPr>
        <w:t> :</w:t>
      </w:r>
    </w:p>
    <w:p w:rsidR="00124E6E" w:rsidRPr="00E81843" w:rsidRDefault="00124E6E" w:rsidP="00FE3F4F">
      <w:pPr>
        <w:pStyle w:val="SingleTxtG"/>
        <w:tabs>
          <w:tab w:val="left" w:pos="2268"/>
        </w:tabs>
        <w:ind w:left="2259" w:hanging="1125"/>
        <w:rPr>
          <w:lang w:val="fr-FR"/>
        </w:rPr>
      </w:pPr>
      <w:r>
        <w:rPr>
          <w:bCs/>
          <w:lang w:val="fr-FR"/>
        </w:rPr>
        <w:t>« 6.1.4.2.6</w:t>
      </w:r>
      <w:r w:rsidRPr="00E81843">
        <w:rPr>
          <w:bCs/>
          <w:lang w:val="fr-FR"/>
        </w:rPr>
        <w:tab/>
      </w:r>
      <w:r w:rsidRPr="00E81843">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 ».</w:t>
      </w:r>
    </w:p>
    <w:p w:rsidR="00124E6E" w:rsidRDefault="00124E6E" w:rsidP="00FE3F4F">
      <w:pPr>
        <w:pStyle w:val="SingleTxtG"/>
        <w:tabs>
          <w:tab w:val="left" w:pos="2268"/>
        </w:tabs>
        <w:ind w:left="2259" w:hanging="1125"/>
      </w:pPr>
      <w:r>
        <w:t>Renuméroter les 6.1.4.2.6 et 6.1.4.2.7 existants en tant que 6.1.4.2.7 et 6.1.4.2.8.</w:t>
      </w:r>
    </w:p>
    <w:p w:rsidR="00124E6E" w:rsidRDefault="00124E6E" w:rsidP="00FE3F4F">
      <w:pPr>
        <w:pStyle w:val="SingleTxtG"/>
        <w:tabs>
          <w:tab w:val="left" w:pos="2268"/>
        </w:tabs>
        <w:ind w:left="2259" w:hanging="1125"/>
        <w:rPr>
          <w:lang w:val="fr-FR"/>
        </w:rPr>
      </w:pPr>
      <w:r w:rsidRPr="00EE72C3">
        <w:rPr>
          <w:lang w:val="fr-FR"/>
        </w:rPr>
        <w:t xml:space="preserve">Ajouter le nouveau </w:t>
      </w:r>
      <w:r w:rsidRPr="00E81843">
        <w:rPr>
          <w:bCs/>
          <w:iCs/>
          <w:lang w:val="fr-FR"/>
        </w:rPr>
        <w:t>6.1.4.</w:t>
      </w:r>
      <w:r>
        <w:rPr>
          <w:bCs/>
          <w:iCs/>
          <w:lang w:val="fr-FR"/>
        </w:rPr>
        <w:t>3</w:t>
      </w:r>
      <w:r w:rsidRPr="00E81843">
        <w:rPr>
          <w:bCs/>
          <w:iCs/>
          <w:lang w:val="fr-FR"/>
        </w:rPr>
        <w:t>.6</w:t>
      </w:r>
      <w:r>
        <w:rPr>
          <w:bCs/>
          <w:i/>
          <w:lang w:val="fr-FR"/>
        </w:rPr>
        <w:t xml:space="preserve"> </w:t>
      </w:r>
      <w:proofErr w:type="gramStart"/>
      <w:r w:rsidRPr="00EE72C3">
        <w:rPr>
          <w:lang w:val="fr-FR"/>
        </w:rPr>
        <w:t>suivant</w:t>
      </w:r>
      <w:proofErr w:type="gramEnd"/>
      <w:r w:rsidRPr="00EE72C3">
        <w:rPr>
          <w:lang w:val="fr-FR"/>
        </w:rPr>
        <w:t> :</w:t>
      </w:r>
    </w:p>
    <w:p w:rsidR="00124E6E" w:rsidRPr="00E81843" w:rsidRDefault="00124E6E" w:rsidP="00FE3F4F">
      <w:pPr>
        <w:pStyle w:val="SingleTxtG"/>
        <w:tabs>
          <w:tab w:val="left" w:pos="2268"/>
        </w:tabs>
        <w:ind w:left="2259" w:hanging="1125"/>
        <w:rPr>
          <w:lang w:val="fr-FR"/>
        </w:rPr>
      </w:pPr>
      <w:r>
        <w:rPr>
          <w:bCs/>
          <w:lang w:val="fr-FR"/>
        </w:rPr>
        <w:t>« 6.1.4.3.6</w:t>
      </w:r>
      <w:r w:rsidRPr="00E81843">
        <w:rPr>
          <w:bCs/>
          <w:lang w:val="fr-FR"/>
        </w:rPr>
        <w:tab/>
      </w:r>
      <w:r w:rsidRPr="00E81843">
        <w:rPr>
          <w:lang w:val="fr-FR"/>
        </w:rPr>
        <w:t>Si les matériaux utilisés pour la virole, les fonds, les fermetures et les accessoires ne sont pas eux-mêmes compatibles avec la matière à transporter, des revêtements ou traitements intérieurs appropriés de protection doivent être appliqués. Ces revêtements ou traitements doivent garder leurs propriétés protectrices dans les conditions normales de transport. ».</w:t>
      </w:r>
    </w:p>
    <w:p w:rsidR="00124E6E" w:rsidRDefault="00124E6E" w:rsidP="00FE3F4F">
      <w:pPr>
        <w:pStyle w:val="SingleTxtG"/>
        <w:tabs>
          <w:tab w:val="left" w:pos="2268"/>
        </w:tabs>
        <w:ind w:left="2259" w:hanging="1125"/>
      </w:pPr>
      <w:r>
        <w:t>Renuméroter les 6.1.4.3.6 et 6.1.4.3.7 existants en tant que 6.1.4.3.7 et 6.1.4.3.8.</w:t>
      </w:r>
    </w:p>
    <w:p w:rsidR="00124E6E" w:rsidRPr="006B0E45" w:rsidRDefault="00124E6E" w:rsidP="00124E6E">
      <w:pPr>
        <w:pStyle w:val="H1G"/>
        <w:rPr>
          <w:lang w:val="fr-FR"/>
        </w:rPr>
      </w:pPr>
      <w:r w:rsidRPr="006B0E45">
        <w:rPr>
          <w:lang w:val="fr-FR"/>
        </w:rPr>
        <w:lastRenderedPageBreak/>
        <w:tab/>
      </w:r>
      <w:r w:rsidRPr="006B0E45">
        <w:rPr>
          <w:lang w:val="fr-FR"/>
        </w:rPr>
        <w:tab/>
        <w:t>Chapitre 6.2</w:t>
      </w:r>
    </w:p>
    <w:p w:rsidR="00124E6E" w:rsidRDefault="00124E6E" w:rsidP="00FE3F4F">
      <w:pPr>
        <w:pStyle w:val="SingleTxtG"/>
        <w:tabs>
          <w:tab w:val="left" w:pos="2268"/>
        </w:tabs>
        <w:ind w:left="2259" w:hanging="1125"/>
        <w:rPr>
          <w:lang w:val="fr-FR"/>
        </w:rPr>
      </w:pPr>
      <w:r>
        <w:rPr>
          <w:lang w:val="fr-FR"/>
        </w:rPr>
        <w:t>6.2.2.1.1</w:t>
      </w:r>
      <w:r>
        <w:rPr>
          <w:lang w:val="fr-FR"/>
        </w:rPr>
        <w:tab/>
        <w:t>Dans le tableau, pour les normes « ISO 11119-</w:t>
      </w:r>
      <w:proofErr w:type="gramStart"/>
      <w:r>
        <w:rPr>
          <w:lang w:val="fr-FR"/>
        </w:rPr>
        <w:t>3:</w:t>
      </w:r>
      <w:proofErr w:type="gramEnd"/>
      <w:r>
        <w:rPr>
          <w:lang w:val="fr-FR"/>
        </w:rPr>
        <w:t>2002 » et « ISO 11119-3:2013 », ajouter le Nota suivant dans la deuxième colonne :</w:t>
      </w:r>
    </w:p>
    <w:p w:rsidR="00124E6E" w:rsidRPr="00270A83" w:rsidRDefault="00361A7A" w:rsidP="00FE3F4F">
      <w:pPr>
        <w:pStyle w:val="SingleTxtG"/>
        <w:tabs>
          <w:tab w:val="left" w:pos="2268"/>
        </w:tabs>
        <w:ind w:left="2259" w:hanging="1125"/>
        <w:rPr>
          <w:bCs/>
          <w:lang w:val="fr-FR"/>
        </w:rPr>
      </w:pPr>
      <w:r>
        <w:rPr>
          <w:bCs/>
          <w:lang w:val="fr-FR"/>
        </w:rPr>
        <w:tab/>
      </w:r>
      <w:r w:rsidR="00124E6E" w:rsidRPr="00270A83">
        <w:rPr>
          <w:bCs/>
          <w:lang w:val="fr-FR"/>
        </w:rPr>
        <w:t>« </w:t>
      </w:r>
      <w:r w:rsidR="00124E6E" w:rsidRPr="0070722E">
        <w:rPr>
          <w:b/>
          <w:i/>
          <w:iCs/>
          <w:lang w:val="fr-FR"/>
        </w:rPr>
        <w:t>NOTA</w:t>
      </w:r>
      <w:r w:rsidR="00124E6E">
        <w:rPr>
          <w:b/>
          <w:i/>
          <w:iCs/>
          <w:lang w:val="fr-FR"/>
        </w:rPr>
        <w:t xml:space="preserve"> </w:t>
      </w:r>
      <w:r w:rsidR="00124E6E" w:rsidRPr="0070722E">
        <w:rPr>
          <w:b/>
          <w:i/>
          <w:iCs/>
          <w:lang w:val="fr-FR"/>
        </w:rPr>
        <w:t>:</w:t>
      </w:r>
      <w:r w:rsidR="00124E6E" w:rsidRPr="00270A83">
        <w:rPr>
          <w:bCs/>
          <w:lang w:val="fr-FR"/>
        </w:rPr>
        <w:t xml:space="preserve"> </w:t>
      </w:r>
      <w:r w:rsidR="00124E6E" w:rsidRPr="00270A83">
        <w:rPr>
          <w:bCs/>
          <w:lang w:val="fr-FR"/>
        </w:rPr>
        <w:tab/>
        <w:t>Cette norme ne doit pas être utilisée pour les bouteilles sans liner constituées de deux pièces assemblées. ».</w:t>
      </w:r>
    </w:p>
    <w:p w:rsidR="00124E6E" w:rsidRDefault="00124E6E" w:rsidP="00FE3F4F">
      <w:pPr>
        <w:pStyle w:val="SingleTxtG"/>
        <w:tabs>
          <w:tab w:val="left" w:pos="2268"/>
        </w:tabs>
        <w:ind w:left="2259" w:hanging="1125"/>
        <w:rPr>
          <w:lang w:val="fr-FR"/>
        </w:rPr>
      </w:pPr>
      <w:r>
        <w:rPr>
          <w:lang w:val="fr-FR"/>
        </w:rPr>
        <w:t>6.2.2.1.1</w:t>
      </w:r>
      <w:r>
        <w:rPr>
          <w:lang w:val="fr-FR"/>
        </w:rPr>
        <w:tab/>
        <w:t>Ajouter la nouvelle ligne suivante dans le tableau (après ISO 11119-</w:t>
      </w:r>
      <w:proofErr w:type="gramStart"/>
      <w:r>
        <w:rPr>
          <w:lang w:val="fr-FR"/>
        </w:rPr>
        <w:t>3:</w:t>
      </w:r>
      <w:proofErr w:type="gramEnd"/>
      <w:r>
        <w:rPr>
          <w:lang w:val="fr-FR"/>
        </w:rPr>
        <w:t>2013)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4498"/>
        <w:gridCol w:w="1275"/>
      </w:tblGrid>
      <w:tr w:rsidR="00124E6E" w:rsidRPr="00AA6F5C" w:rsidTr="00361A7A">
        <w:trPr>
          <w:cantSplit/>
        </w:trPr>
        <w:tc>
          <w:tcPr>
            <w:tcW w:w="1706" w:type="dxa"/>
            <w:shd w:val="clear" w:color="auto" w:fill="auto"/>
          </w:tcPr>
          <w:p w:rsidR="00124E6E" w:rsidRPr="00AA6F5C" w:rsidRDefault="00124E6E" w:rsidP="00124E6E">
            <w:pPr>
              <w:spacing w:before="60" w:after="60"/>
              <w:ind w:left="57" w:right="57"/>
            </w:pPr>
            <w:r>
              <w:rPr>
                <w:lang w:val="fr-FR"/>
              </w:rPr>
              <w:t xml:space="preserve">ISO 11119-4 :2016 </w:t>
            </w:r>
          </w:p>
        </w:tc>
        <w:tc>
          <w:tcPr>
            <w:tcW w:w="4498" w:type="dxa"/>
            <w:shd w:val="clear" w:color="auto" w:fill="auto"/>
          </w:tcPr>
          <w:p w:rsidR="00124E6E" w:rsidRPr="00671137" w:rsidRDefault="00124E6E" w:rsidP="00124E6E">
            <w:pPr>
              <w:spacing w:before="60" w:after="60"/>
              <w:ind w:left="57" w:right="57"/>
            </w:pPr>
            <w:r>
              <w:rPr>
                <w:lang w:val="fr-FR"/>
              </w:rPr>
              <w:t>Bouteilles à gaz − Bouteilles à gaz rechargeables en matériau composite et tubes − Conception, construction et essais − Partie 4 : Bouteilles à gaz composites entièrement bobinées renforcées par des fibres et tubes d’une contenance allant jusqu’à 150 l avec liners métalliques transmettant la charge</w:t>
            </w:r>
          </w:p>
        </w:tc>
        <w:tc>
          <w:tcPr>
            <w:tcW w:w="1275" w:type="dxa"/>
            <w:shd w:val="clear" w:color="auto" w:fill="auto"/>
          </w:tcPr>
          <w:p w:rsidR="00124E6E" w:rsidRPr="00AA6F5C" w:rsidRDefault="00124E6E" w:rsidP="00124E6E">
            <w:pPr>
              <w:spacing w:before="60" w:after="60"/>
              <w:ind w:left="57" w:right="57"/>
            </w:pPr>
            <w:r>
              <w:rPr>
                <w:lang w:val="fr-FR"/>
              </w:rPr>
              <w:t>Jusqu’à nouvel ordre</w:t>
            </w:r>
          </w:p>
        </w:tc>
      </w:tr>
    </w:tbl>
    <w:p w:rsidR="00124E6E" w:rsidRDefault="00124E6E" w:rsidP="00361A7A">
      <w:pPr>
        <w:pStyle w:val="SingleTxtG"/>
        <w:tabs>
          <w:tab w:val="left" w:pos="2268"/>
        </w:tabs>
        <w:spacing w:before="120"/>
        <w:ind w:left="2257" w:hanging="1123"/>
        <w:rPr>
          <w:lang w:val="fr-FR"/>
        </w:rPr>
      </w:pPr>
      <w:r>
        <w:rPr>
          <w:lang w:val="fr-FR"/>
        </w:rPr>
        <w:t>6.2.2.1.2</w:t>
      </w:r>
      <w:r>
        <w:rPr>
          <w:lang w:val="fr-FR"/>
        </w:rPr>
        <w:tab/>
        <w:t>Dans le tableau, pour la norme ISO 11119-</w:t>
      </w:r>
      <w:proofErr w:type="gramStart"/>
      <w:r>
        <w:rPr>
          <w:lang w:val="fr-FR"/>
        </w:rPr>
        <w:t>3:</w:t>
      </w:r>
      <w:proofErr w:type="gramEnd"/>
      <w:r>
        <w:rPr>
          <w:lang w:val="fr-FR"/>
        </w:rPr>
        <w:t>2013, ajouter le Nota suivant dans la deuxième colonne :</w:t>
      </w:r>
    </w:p>
    <w:p w:rsidR="00124E6E" w:rsidRDefault="00361A7A" w:rsidP="00FE3F4F">
      <w:pPr>
        <w:pStyle w:val="SingleTxtG"/>
        <w:tabs>
          <w:tab w:val="left" w:pos="2268"/>
        </w:tabs>
        <w:ind w:left="2259" w:hanging="1125"/>
        <w:rPr>
          <w:lang w:val="fr-FR"/>
        </w:rPr>
      </w:pPr>
      <w:r>
        <w:rPr>
          <w:lang w:val="fr-FR"/>
        </w:rPr>
        <w:tab/>
      </w:r>
      <w:r w:rsidR="00124E6E">
        <w:rPr>
          <w:lang w:val="fr-FR"/>
        </w:rPr>
        <w:t>« </w:t>
      </w:r>
      <w:r w:rsidR="00124E6E" w:rsidRPr="0070722E">
        <w:rPr>
          <w:b/>
          <w:bCs/>
          <w:i/>
          <w:iCs/>
          <w:lang w:val="fr-FR"/>
        </w:rPr>
        <w:t>NOTA</w:t>
      </w:r>
      <w:r w:rsidR="00124E6E">
        <w:rPr>
          <w:b/>
          <w:bCs/>
          <w:i/>
          <w:iCs/>
          <w:lang w:val="fr-FR"/>
        </w:rPr>
        <w:t xml:space="preserve"> </w:t>
      </w:r>
      <w:r w:rsidR="00124E6E" w:rsidRPr="0070722E">
        <w:rPr>
          <w:b/>
          <w:bCs/>
          <w:i/>
          <w:iCs/>
          <w:lang w:val="fr-FR"/>
        </w:rPr>
        <w:t>:</w:t>
      </w:r>
      <w:r w:rsidR="00124E6E" w:rsidRPr="00272AFA">
        <w:rPr>
          <w:lang w:val="fr-FR"/>
        </w:rPr>
        <w:t xml:space="preserve"> </w:t>
      </w:r>
      <w:r w:rsidR="00124E6E" w:rsidRPr="00272AFA">
        <w:rPr>
          <w:lang w:val="fr-FR"/>
        </w:rPr>
        <w:tab/>
        <w:t>Cette norme ne doit pas être utilisée pour les tubes sans liner constitués de deux pièces assemblées.</w:t>
      </w:r>
      <w:r w:rsidR="00124E6E">
        <w:rPr>
          <w:lang w:val="fr-FR"/>
        </w:rPr>
        <w:t> ».</w:t>
      </w:r>
    </w:p>
    <w:p w:rsidR="00124E6E" w:rsidRDefault="00124E6E" w:rsidP="00FE3F4F">
      <w:pPr>
        <w:pStyle w:val="SingleTxtG"/>
        <w:tabs>
          <w:tab w:val="left" w:pos="2268"/>
        </w:tabs>
        <w:ind w:left="2259" w:hanging="1125"/>
        <w:rPr>
          <w:lang w:val="fr-FR"/>
        </w:rPr>
      </w:pPr>
      <w:r>
        <w:rPr>
          <w:lang w:val="fr-FR"/>
        </w:rPr>
        <w:t>6.2.2.1.3</w:t>
      </w:r>
      <w:r>
        <w:rPr>
          <w:lang w:val="fr-FR"/>
        </w:rPr>
        <w:tab/>
        <w:t xml:space="preserve">Dans le tableau sous « Pour </w:t>
      </w:r>
      <w:r w:rsidRPr="00AD7411">
        <w:rPr>
          <w:lang w:val="fr-FR"/>
        </w:rPr>
        <w:t>l'enveloppe des bouteilles</w:t>
      </w:r>
      <w:r>
        <w:rPr>
          <w:lang w:val="fr-FR"/>
        </w:rPr>
        <w:t xml:space="preserve"> </w:t>
      </w:r>
      <w:r w:rsidRPr="00AD7411">
        <w:rPr>
          <w:lang w:val="fr-FR"/>
        </w:rPr>
        <w:t>:</w:t>
      </w:r>
      <w:r>
        <w:rPr>
          <w:lang w:val="fr-FR"/>
        </w:rPr>
        <w:t> », ajouter les deux nouvelles lignes suivantes à la fin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4498"/>
        <w:gridCol w:w="1275"/>
      </w:tblGrid>
      <w:tr w:rsidR="00124E6E" w:rsidRPr="00AA6F5C" w:rsidTr="00124E6E">
        <w:tc>
          <w:tcPr>
            <w:tcW w:w="1706" w:type="dxa"/>
            <w:shd w:val="clear" w:color="auto" w:fill="auto"/>
            <w:tcMar>
              <w:left w:w="0" w:type="dxa"/>
              <w:right w:w="0" w:type="dxa"/>
            </w:tcMar>
          </w:tcPr>
          <w:p w:rsidR="00124E6E" w:rsidRPr="00AA6F5C" w:rsidRDefault="00124E6E" w:rsidP="00124E6E">
            <w:pPr>
              <w:spacing w:before="60" w:after="60"/>
              <w:ind w:left="57" w:right="57"/>
            </w:pPr>
            <w:r>
              <w:t xml:space="preserve">ISO </w:t>
            </w:r>
            <w:proofErr w:type="gramStart"/>
            <w:r>
              <w:t>4706:</w:t>
            </w:r>
            <w:proofErr w:type="gramEnd"/>
            <w:r>
              <w:t>2008</w:t>
            </w:r>
          </w:p>
        </w:tc>
        <w:tc>
          <w:tcPr>
            <w:tcW w:w="4498" w:type="dxa"/>
            <w:shd w:val="clear" w:color="auto" w:fill="auto"/>
            <w:tcMar>
              <w:left w:w="0" w:type="dxa"/>
              <w:right w:w="0" w:type="dxa"/>
            </w:tcMar>
          </w:tcPr>
          <w:p w:rsidR="00124E6E" w:rsidRPr="00671137" w:rsidRDefault="00124E6E" w:rsidP="00124E6E">
            <w:pPr>
              <w:spacing w:before="60" w:after="60"/>
              <w:ind w:left="57" w:right="57"/>
            </w:pPr>
            <w:r w:rsidRPr="00AD7411">
              <w:t xml:space="preserve">Bouteilles à gaz </w:t>
            </w:r>
            <w:r>
              <w:rPr>
                <w:lang w:val="fr-FR"/>
              </w:rPr>
              <w:t>−</w:t>
            </w:r>
            <w:r w:rsidRPr="00AD7411">
              <w:t xml:space="preserve"> Bouteilles en acier soudées rechargeables </w:t>
            </w:r>
            <w:r>
              <w:rPr>
                <w:lang w:val="fr-FR"/>
              </w:rPr>
              <w:t>–</w:t>
            </w:r>
            <w:r w:rsidRPr="00AD7411">
              <w:t xml:space="preserve"> Pression d</w:t>
            </w:r>
            <w:r>
              <w:t>’</w:t>
            </w:r>
            <w:r w:rsidRPr="00AD7411">
              <w:t xml:space="preserve">essai de 60 </w:t>
            </w:r>
            <w:proofErr w:type="gramStart"/>
            <w:r w:rsidRPr="00AD7411">
              <w:t>bar</w:t>
            </w:r>
            <w:proofErr w:type="gramEnd"/>
            <w:r w:rsidRPr="00AD7411">
              <w:t xml:space="preserve"> et moins</w:t>
            </w:r>
          </w:p>
        </w:tc>
        <w:tc>
          <w:tcPr>
            <w:tcW w:w="1275" w:type="dxa"/>
            <w:shd w:val="clear" w:color="auto" w:fill="auto"/>
            <w:tcMar>
              <w:left w:w="0" w:type="dxa"/>
              <w:right w:w="0" w:type="dxa"/>
            </w:tcMar>
          </w:tcPr>
          <w:p w:rsidR="00124E6E" w:rsidRPr="00AA6F5C" w:rsidRDefault="00124E6E" w:rsidP="00124E6E">
            <w:pPr>
              <w:spacing w:before="60" w:after="60"/>
              <w:ind w:left="57" w:right="57"/>
            </w:pPr>
            <w:r>
              <w:rPr>
                <w:lang w:val="fr-FR"/>
              </w:rPr>
              <w:t>Jusqu’à nouvel ordre</w:t>
            </w:r>
          </w:p>
        </w:tc>
      </w:tr>
      <w:tr w:rsidR="00124E6E" w:rsidRPr="00AA6F5C" w:rsidTr="00124E6E">
        <w:tc>
          <w:tcPr>
            <w:tcW w:w="1706" w:type="dxa"/>
            <w:shd w:val="clear" w:color="auto" w:fill="auto"/>
            <w:tcMar>
              <w:left w:w="0" w:type="dxa"/>
              <w:right w:w="0" w:type="dxa"/>
            </w:tcMar>
          </w:tcPr>
          <w:p w:rsidR="00124E6E" w:rsidRDefault="00124E6E" w:rsidP="00124E6E">
            <w:pPr>
              <w:spacing w:before="60" w:after="60"/>
              <w:ind w:left="57" w:right="57"/>
            </w:pPr>
            <w:r w:rsidRPr="00583E4B">
              <w:t xml:space="preserve">ISO </w:t>
            </w:r>
            <w:proofErr w:type="gramStart"/>
            <w:r w:rsidRPr="00583E4B">
              <w:t>7866:</w:t>
            </w:r>
            <w:proofErr w:type="gramEnd"/>
            <w:r w:rsidRPr="00583E4B">
              <w:t>2012 + Cor 1:2014</w:t>
            </w:r>
          </w:p>
        </w:tc>
        <w:tc>
          <w:tcPr>
            <w:tcW w:w="4498" w:type="dxa"/>
            <w:shd w:val="clear" w:color="auto" w:fill="auto"/>
            <w:tcMar>
              <w:left w:w="0" w:type="dxa"/>
              <w:right w:w="0" w:type="dxa"/>
            </w:tcMar>
          </w:tcPr>
          <w:p w:rsidR="00124E6E" w:rsidRDefault="00124E6E" w:rsidP="00124E6E">
            <w:pPr>
              <w:spacing w:before="60" w:after="60"/>
              <w:ind w:left="57" w:right="57"/>
            </w:pPr>
            <w:r w:rsidRPr="00AD7411">
              <w:t xml:space="preserve">Bouteilles à gaz </w:t>
            </w:r>
            <w:r>
              <w:rPr>
                <w:lang w:val="fr-FR"/>
              </w:rPr>
              <w:t>−</w:t>
            </w:r>
            <w:r w:rsidRPr="00AD7411">
              <w:t xml:space="preserve"> Bouteilles à gaz sans soudure en alliage d'aluminium destinées à être rechargées </w:t>
            </w:r>
            <w:r>
              <w:rPr>
                <w:lang w:val="fr-FR"/>
              </w:rPr>
              <w:t>−</w:t>
            </w:r>
            <w:r w:rsidRPr="00AD7411">
              <w:t xml:space="preserve"> Conception, construction et essais</w:t>
            </w:r>
          </w:p>
          <w:p w:rsidR="00124E6E" w:rsidRPr="00455B81" w:rsidRDefault="00124E6E" w:rsidP="00124E6E">
            <w:pPr>
              <w:spacing w:before="60" w:after="60"/>
              <w:ind w:left="57" w:right="57"/>
              <w:rPr>
                <w:i/>
                <w:iCs/>
              </w:rPr>
            </w:pPr>
            <w:r w:rsidRPr="00455B81">
              <w:rPr>
                <w:b/>
                <w:bCs/>
                <w:i/>
                <w:iCs/>
              </w:rPr>
              <w:t>NOTA :</w:t>
            </w:r>
            <w:r w:rsidRPr="00455B81">
              <w:rPr>
                <w:i/>
                <w:iCs/>
              </w:rPr>
              <w:t xml:space="preserve"> L’alliage d’aluminium 6351A</w:t>
            </w:r>
            <w:r>
              <w:rPr>
                <w:i/>
                <w:iCs/>
              </w:rPr>
              <w:t xml:space="preserve"> </w:t>
            </w:r>
            <w:r w:rsidRPr="00455B81">
              <w:rPr>
                <w:i/>
                <w:iCs/>
              </w:rPr>
              <w:t>ou son équivalent ne doit pas être utilisé.</w:t>
            </w:r>
          </w:p>
        </w:tc>
        <w:tc>
          <w:tcPr>
            <w:tcW w:w="1275" w:type="dxa"/>
            <w:shd w:val="clear" w:color="auto" w:fill="auto"/>
            <w:tcMar>
              <w:left w:w="0" w:type="dxa"/>
              <w:right w:w="0" w:type="dxa"/>
            </w:tcMar>
          </w:tcPr>
          <w:p w:rsidR="00124E6E" w:rsidRDefault="00124E6E" w:rsidP="00124E6E">
            <w:pPr>
              <w:spacing w:before="60" w:after="60"/>
              <w:ind w:left="57" w:right="57"/>
              <w:rPr>
                <w:lang w:val="fr-FR"/>
              </w:rPr>
            </w:pPr>
            <w:r>
              <w:rPr>
                <w:lang w:val="fr-FR"/>
              </w:rPr>
              <w:t>Jusqu’à nouvel ordre</w:t>
            </w:r>
          </w:p>
        </w:tc>
      </w:tr>
    </w:tbl>
    <w:p w:rsidR="00124E6E" w:rsidRDefault="00124E6E" w:rsidP="00361A7A">
      <w:pPr>
        <w:pStyle w:val="SingleTxtG"/>
        <w:tabs>
          <w:tab w:val="left" w:pos="2268"/>
        </w:tabs>
        <w:spacing w:before="120"/>
        <w:ind w:left="2257" w:hanging="1123"/>
        <w:rPr>
          <w:lang w:val="fr-FR"/>
        </w:rPr>
      </w:pPr>
      <w:r>
        <w:rPr>
          <w:lang w:val="fr-FR"/>
        </w:rPr>
        <w:t>6.2.2.1.3</w:t>
      </w:r>
      <w:r>
        <w:rPr>
          <w:lang w:val="fr-FR"/>
        </w:rPr>
        <w:tab/>
        <w:t>Modifier le texte avant le deuxième tableau pour lire « Pour les bouteilles d’acétylène, y compris la matière poreuse : ».</w:t>
      </w:r>
    </w:p>
    <w:p w:rsidR="00361A7A" w:rsidRDefault="00124E6E" w:rsidP="00FE3F4F">
      <w:pPr>
        <w:pStyle w:val="SingleTxtG"/>
        <w:tabs>
          <w:tab w:val="left" w:pos="2268"/>
        </w:tabs>
        <w:ind w:left="2259" w:hanging="1125"/>
        <w:rPr>
          <w:lang w:val="fr-FR"/>
        </w:rPr>
      </w:pPr>
      <w:r w:rsidRPr="006B0E45">
        <w:rPr>
          <w:lang w:val="fr-FR"/>
        </w:rPr>
        <w:t>6.2.2.2</w:t>
      </w:r>
      <w:r>
        <w:rPr>
          <w:lang w:val="fr-FR"/>
        </w:rPr>
        <w:t>, 6.2.2.7.4 p)</w:t>
      </w:r>
      <w:r w:rsidR="00361A7A">
        <w:rPr>
          <w:lang w:val="fr-FR"/>
        </w:rPr>
        <w:t xml:space="preserve"> et </w:t>
      </w:r>
      <w:r>
        <w:rPr>
          <w:lang w:val="fr-FR"/>
        </w:rPr>
        <w:t>6.2.2.9.2 j)</w:t>
      </w:r>
    </w:p>
    <w:p w:rsidR="00124E6E" w:rsidRPr="006B0E45" w:rsidRDefault="00124E6E" w:rsidP="00FE3F4F">
      <w:pPr>
        <w:pStyle w:val="SingleTxtG"/>
        <w:tabs>
          <w:tab w:val="left" w:pos="2268"/>
        </w:tabs>
        <w:ind w:left="2259" w:hanging="1125"/>
        <w:rPr>
          <w:lang w:val="fr-FR"/>
        </w:rPr>
      </w:pPr>
      <w:r w:rsidRPr="006B0E45">
        <w:rPr>
          <w:lang w:val="fr-FR"/>
        </w:rPr>
        <w:tab/>
        <w:t>Remplacer « ISO 11114-</w:t>
      </w:r>
      <w:proofErr w:type="gramStart"/>
      <w:r w:rsidRPr="006B0E45">
        <w:rPr>
          <w:lang w:val="fr-FR"/>
        </w:rPr>
        <w:t>1:</w:t>
      </w:r>
      <w:proofErr w:type="gramEnd"/>
      <w:r w:rsidRPr="006B0E45">
        <w:rPr>
          <w:lang w:val="fr-FR"/>
        </w:rPr>
        <w:t xml:space="preserve">2012 » par « ISO 11114-1:2012 + </w:t>
      </w:r>
      <w:r>
        <w:rPr>
          <w:lang w:val="fr-FR"/>
        </w:rPr>
        <w:t>A</w:t>
      </w:r>
      <w:r w:rsidRPr="006B0E45">
        <w:rPr>
          <w:lang w:val="fr-FR"/>
        </w:rPr>
        <w:t>1:2017 ».</w:t>
      </w:r>
    </w:p>
    <w:p w:rsidR="00124E6E" w:rsidRPr="006B0E45" w:rsidRDefault="00124E6E" w:rsidP="00FE3F4F">
      <w:pPr>
        <w:pStyle w:val="SingleTxtG"/>
        <w:tabs>
          <w:tab w:val="left" w:pos="2268"/>
        </w:tabs>
        <w:ind w:left="2259" w:hanging="1125"/>
        <w:rPr>
          <w:lang w:val="fr-FR"/>
        </w:rPr>
      </w:pPr>
      <w:r w:rsidRPr="006B0E45">
        <w:rPr>
          <w:lang w:val="fr-FR"/>
        </w:rPr>
        <w:t>6.2.2.3</w:t>
      </w:r>
      <w:r w:rsidRPr="006B0E45">
        <w:rPr>
          <w:lang w:val="fr-FR"/>
        </w:rPr>
        <w:tab/>
      </w:r>
      <w:r w:rsidRPr="006B0E45">
        <w:rPr>
          <w:lang w:val="fr-FR"/>
        </w:rPr>
        <w:tab/>
        <w:t xml:space="preserve">Dans le premier tableau, pour la norme ISO </w:t>
      </w:r>
      <w:proofErr w:type="gramStart"/>
      <w:r w:rsidRPr="006B0E45">
        <w:rPr>
          <w:lang w:val="fr-FR"/>
        </w:rPr>
        <w:t>10297:</w:t>
      </w:r>
      <w:proofErr w:type="gramEnd"/>
      <w:r w:rsidRPr="006B0E45">
        <w:rPr>
          <w:lang w:val="fr-FR"/>
        </w:rPr>
        <w:t xml:space="preserve">2014, dans la colonne « Applicable à la fabrication », remplacer « Jusqu’à nouvel ordre » par « Jusqu’au 31 décembre 2022 ». Après la norme ISO </w:t>
      </w:r>
      <w:proofErr w:type="gramStart"/>
      <w:r w:rsidRPr="006B0E45">
        <w:rPr>
          <w:lang w:val="fr-FR"/>
        </w:rPr>
        <w:t>10297:</w:t>
      </w:r>
      <w:proofErr w:type="gramEnd"/>
      <w:r w:rsidRPr="006B0E45">
        <w:rPr>
          <w:lang w:val="fr-FR"/>
        </w:rPr>
        <w:t>2014, à la ligne suivante, insérer la nouvelle norme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gridCol w:w="3969"/>
        <w:gridCol w:w="1842"/>
      </w:tblGrid>
      <w:tr w:rsidR="00124E6E" w:rsidRPr="006B0E45" w:rsidTr="00124E6E">
        <w:trPr>
          <w:trHeight w:val="603"/>
        </w:trPr>
        <w:tc>
          <w:tcPr>
            <w:tcW w:w="1668" w:type="dxa"/>
            <w:tcBorders>
              <w:top w:val="single" w:sz="4" w:space="0" w:color="auto"/>
              <w:left w:val="single" w:sz="4" w:space="0" w:color="auto"/>
              <w:bottom w:val="single" w:sz="4" w:space="0" w:color="auto"/>
              <w:right w:val="single" w:sz="4" w:space="0" w:color="auto"/>
            </w:tcBorders>
            <w:hideMark/>
          </w:tcPr>
          <w:p w:rsidR="00124E6E" w:rsidRPr="00831E6F" w:rsidRDefault="00124E6E" w:rsidP="00124E6E">
            <w:pPr>
              <w:spacing w:before="60" w:after="60"/>
              <w:ind w:left="57" w:right="57"/>
            </w:pPr>
            <w:r w:rsidRPr="00831E6F">
              <w:t xml:space="preserve">ISO </w:t>
            </w:r>
            <w:proofErr w:type="gramStart"/>
            <w:r w:rsidRPr="00831E6F">
              <w:t>10297:</w:t>
            </w:r>
            <w:proofErr w:type="gramEnd"/>
            <w:r w:rsidRPr="00831E6F">
              <w:t>2014 + A1:2017</w:t>
            </w:r>
          </w:p>
        </w:tc>
        <w:tc>
          <w:tcPr>
            <w:tcW w:w="3969" w:type="dxa"/>
            <w:tcBorders>
              <w:top w:val="single" w:sz="4" w:space="0" w:color="auto"/>
              <w:left w:val="single" w:sz="4" w:space="0" w:color="auto"/>
              <w:bottom w:val="single" w:sz="4" w:space="0" w:color="auto"/>
              <w:right w:val="single" w:sz="4" w:space="0" w:color="auto"/>
            </w:tcBorders>
            <w:hideMark/>
          </w:tcPr>
          <w:p w:rsidR="00124E6E" w:rsidRPr="00831E6F" w:rsidRDefault="00124E6E" w:rsidP="00124E6E">
            <w:pPr>
              <w:spacing w:before="60" w:after="60"/>
              <w:ind w:left="57" w:right="57"/>
              <w:jc w:val="both"/>
            </w:pPr>
            <w:r w:rsidRPr="00831E6F">
              <w:t>Bouteilles à gaz transportables − Robinets de bouteilles − Spécifications et essais de type</w:t>
            </w:r>
          </w:p>
        </w:tc>
        <w:tc>
          <w:tcPr>
            <w:tcW w:w="1842" w:type="dxa"/>
            <w:tcBorders>
              <w:top w:val="single" w:sz="4" w:space="0" w:color="auto"/>
              <w:left w:val="single" w:sz="4" w:space="0" w:color="auto"/>
              <w:bottom w:val="single" w:sz="4" w:space="0" w:color="auto"/>
              <w:right w:val="single" w:sz="4" w:space="0" w:color="auto"/>
            </w:tcBorders>
            <w:hideMark/>
          </w:tcPr>
          <w:p w:rsidR="00124E6E" w:rsidRPr="00831E6F" w:rsidRDefault="00124E6E" w:rsidP="00124E6E">
            <w:pPr>
              <w:spacing w:before="60" w:after="60"/>
              <w:ind w:left="57" w:right="57"/>
            </w:pPr>
            <w:r w:rsidRPr="00831E6F">
              <w:t>Jusqu’à nouvel ordre</w:t>
            </w:r>
          </w:p>
        </w:tc>
      </w:tr>
    </w:tbl>
    <w:p w:rsidR="00124E6E" w:rsidRDefault="00124E6E" w:rsidP="00361A7A">
      <w:pPr>
        <w:pStyle w:val="SingleTxtG"/>
        <w:tabs>
          <w:tab w:val="left" w:pos="2268"/>
        </w:tabs>
        <w:spacing w:before="120"/>
        <w:ind w:left="2257" w:hanging="1123"/>
        <w:rPr>
          <w:lang w:val="fr-FR"/>
        </w:rPr>
      </w:pPr>
      <w:r>
        <w:rPr>
          <w:lang w:val="fr-FR"/>
        </w:rPr>
        <w:t>6.2.2.3</w:t>
      </w:r>
      <w:r>
        <w:rPr>
          <w:lang w:val="fr-FR"/>
        </w:rPr>
        <w:tab/>
      </w:r>
      <w:r>
        <w:rPr>
          <w:lang w:val="fr-FR"/>
        </w:rPr>
        <w:tab/>
        <w:t xml:space="preserve">Pour ISO </w:t>
      </w:r>
      <w:proofErr w:type="gramStart"/>
      <w:r>
        <w:rPr>
          <w:lang w:val="fr-FR"/>
        </w:rPr>
        <w:t>14246:</w:t>
      </w:r>
      <w:proofErr w:type="gramEnd"/>
      <w:r>
        <w:rPr>
          <w:lang w:val="fr-FR"/>
        </w:rPr>
        <w:t xml:space="preserve">2014, dans la colonne « Applicable à la fabrication », remplacer « Jusqu’à nouvel ordre » par « Jusqu’au 31 décembre 2024 ». Après la ligne pour ISO </w:t>
      </w:r>
      <w:proofErr w:type="gramStart"/>
      <w:r>
        <w:rPr>
          <w:lang w:val="fr-FR"/>
        </w:rPr>
        <w:t>14246:</w:t>
      </w:r>
      <w:proofErr w:type="gramEnd"/>
      <w:r>
        <w:rPr>
          <w:lang w:val="fr-FR"/>
        </w:rPr>
        <w:t>2014,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3905"/>
        <w:gridCol w:w="1868"/>
      </w:tblGrid>
      <w:tr w:rsidR="00124E6E" w:rsidRPr="00AA6F5C" w:rsidTr="00124E6E">
        <w:tc>
          <w:tcPr>
            <w:tcW w:w="1706" w:type="dxa"/>
            <w:shd w:val="clear" w:color="auto" w:fill="auto"/>
            <w:tcMar>
              <w:left w:w="0" w:type="dxa"/>
              <w:right w:w="0" w:type="dxa"/>
            </w:tcMar>
          </w:tcPr>
          <w:p w:rsidR="00124E6E" w:rsidRPr="00AA6F5C" w:rsidRDefault="00124E6E" w:rsidP="00124E6E">
            <w:pPr>
              <w:spacing w:before="60" w:after="60"/>
              <w:ind w:left="57" w:right="57"/>
            </w:pPr>
            <w:r>
              <w:rPr>
                <w:lang w:val="fr-FR"/>
              </w:rPr>
              <w:t xml:space="preserve">ISO </w:t>
            </w:r>
            <w:proofErr w:type="gramStart"/>
            <w:r>
              <w:rPr>
                <w:lang w:val="fr-FR"/>
              </w:rPr>
              <w:t>14246:</w:t>
            </w:r>
            <w:proofErr w:type="gramEnd"/>
            <w:r>
              <w:rPr>
                <w:lang w:val="fr-FR"/>
              </w:rPr>
              <w:t xml:space="preserve">2014 + A1:2017 </w:t>
            </w:r>
          </w:p>
        </w:tc>
        <w:tc>
          <w:tcPr>
            <w:tcW w:w="3905" w:type="dxa"/>
            <w:shd w:val="clear" w:color="auto" w:fill="auto"/>
            <w:tcMar>
              <w:left w:w="0" w:type="dxa"/>
              <w:right w:w="0" w:type="dxa"/>
            </w:tcMar>
          </w:tcPr>
          <w:p w:rsidR="00124E6E" w:rsidRPr="00671137" w:rsidRDefault="00124E6E" w:rsidP="00124E6E">
            <w:pPr>
              <w:spacing w:before="60" w:after="60"/>
              <w:ind w:left="57" w:right="57"/>
            </w:pPr>
            <w:r>
              <w:rPr>
                <w:lang w:val="fr-FR"/>
              </w:rPr>
              <w:t>Bouteilles à gaz − Robinets de bouteilles à gaz − Essais de fabrication et contrôles</w:t>
            </w:r>
          </w:p>
        </w:tc>
        <w:tc>
          <w:tcPr>
            <w:tcW w:w="1868" w:type="dxa"/>
            <w:shd w:val="clear" w:color="auto" w:fill="auto"/>
            <w:tcMar>
              <w:left w:w="0" w:type="dxa"/>
              <w:right w:w="0" w:type="dxa"/>
            </w:tcMar>
          </w:tcPr>
          <w:p w:rsidR="00124E6E" w:rsidRPr="00AA6F5C" w:rsidRDefault="00124E6E" w:rsidP="00124E6E">
            <w:pPr>
              <w:spacing w:before="60" w:after="60"/>
              <w:ind w:left="57" w:right="57"/>
            </w:pPr>
            <w:r>
              <w:rPr>
                <w:lang w:val="fr-FR"/>
              </w:rPr>
              <w:t>Jusqu’à nouvel ordre</w:t>
            </w:r>
          </w:p>
        </w:tc>
      </w:tr>
    </w:tbl>
    <w:p w:rsidR="00124E6E" w:rsidRDefault="00124E6E" w:rsidP="00361A7A">
      <w:pPr>
        <w:pStyle w:val="SingleTxtG"/>
        <w:tabs>
          <w:tab w:val="left" w:pos="2268"/>
        </w:tabs>
        <w:spacing w:before="120"/>
        <w:ind w:left="2257" w:hanging="1123"/>
      </w:pPr>
      <w:r>
        <w:t>6.2.2.3</w:t>
      </w:r>
      <w:r>
        <w:tab/>
      </w:r>
      <w:r>
        <w:tab/>
        <w:t>Dans le premier tableau, ajouter la nouvelle ligne suivante à la fin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649"/>
        <w:gridCol w:w="1275"/>
      </w:tblGrid>
      <w:tr w:rsidR="00124E6E" w:rsidTr="00124E6E">
        <w:tc>
          <w:tcPr>
            <w:tcW w:w="15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4E6E" w:rsidRDefault="00124E6E" w:rsidP="00124E6E">
            <w:pPr>
              <w:spacing w:before="60" w:after="60"/>
              <w:ind w:left="57" w:right="57"/>
            </w:pPr>
            <w:r>
              <w:rPr>
                <w:lang w:val="fr-FR"/>
              </w:rPr>
              <w:t xml:space="preserve">ISO </w:t>
            </w:r>
            <w:proofErr w:type="gramStart"/>
            <w:r>
              <w:rPr>
                <w:lang w:val="fr-FR"/>
              </w:rPr>
              <w:t>17879:</w:t>
            </w:r>
            <w:proofErr w:type="gramEnd"/>
            <w:r>
              <w:rPr>
                <w:lang w:val="fr-FR"/>
              </w:rPr>
              <w:t>2017</w:t>
            </w:r>
          </w:p>
        </w:tc>
        <w:tc>
          <w:tcPr>
            <w:tcW w:w="464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4E6E" w:rsidRDefault="00124E6E" w:rsidP="00124E6E">
            <w:pPr>
              <w:spacing w:before="60" w:after="60"/>
              <w:ind w:left="57" w:right="57"/>
              <w:rPr>
                <w:lang w:val="fr-FR"/>
              </w:rPr>
            </w:pPr>
            <w:r>
              <w:rPr>
                <w:lang w:val="fr-FR"/>
              </w:rPr>
              <w:t>Bouteilles à gaz − Robinets de bouteilles équipés de clapets auto-obturants − Spécifications et essais de type</w:t>
            </w:r>
          </w:p>
          <w:p w:rsidR="00124E6E" w:rsidRDefault="00124E6E" w:rsidP="00124E6E">
            <w:pPr>
              <w:spacing w:before="60" w:after="60"/>
              <w:ind w:left="57" w:right="57"/>
            </w:pPr>
            <w:proofErr w:type="gramStart"/>
            <w:r w:rsidRPr="00AC687F">
              <w:rPr>
                <w:b/>
                <w:bCs/>
                <w:i/>
                <w:iCs/>
                <w:lang w:val="fr-FR"/>
              </w:rPr>
              <w:t>NOTA:</w:t>
            </w:r>
            <w:proofErr w:type="gramEnd"/>
            <w:r w:rsidRPr="00AC687F">
              <w:rPr>
                <w:i/>
                <w:iCs/>
                <w:lang w:val="fr-FR"/>
              </w:rPr>
              <w:t xml:space="preserve"> Cette norme ne doit pas être utilisée pour </w:t>
            </w:r>
            <w:r>
              <w:rPr>
                <w:i/>
                <w:iCs/>
                <w:lang w:val="fr-FR"/>
              </w:rPr>
              <w:t>les r</w:t>
            </w:r>
            <w:r w:rsidRPr="00F11D23">
              <w:rPr>
                <w:i/>
                <w:iCs/>
                <w:lang w:val="fr-FR"/>
              </w:rPr>
              <w:t>obinets équipés de clapets auto-obturants d</w:t>
            </w:r>
            <w:r w:rsidRPr="00AC687F">
              <w:rPr>
                <w:i/>
                <w:iCs/>
                <w:lang w:val="fr-FR"/>
              </w:rPr>
              <w:t>es bouteilles d'acétylène.</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124E6E" w:rsidRDefault="00124E6E" w:rsidP="00124E6E">
            <w:pPr>
              <w:spacing w:before="60" w:after="60"/>
              <w:ind w:left="57" w:right="57"/>
            </w:pPr>
            <w:r>
              <w:rPr>
                <w:lang w:val="fr-FR"/>
              </w:rPr>
              <w:t>Jusqu’à nouvel ordre</w:t>
            </w:r>
          </w:p>
        </w:tc>
      </w:tr>
    </w:tbl>
    <w:p w:rsidR="00124E6E" w:rsidRDefault="00124E6E" w:rsidP="00361A7A">
      <w:pPr>
        <w:pStyle w:val="SingleTxtG"/>
        <w:tabs>
          <w:tab w:val="left" w:pos="2268"/>
        </w:tabs>
        <w:spacing w:before="120"/>
        <w:ind w:left="2257" w:hanging="1123"/>
        <w:rPr>
          <w:lang w:val="fr-FR"/>
        </w:rPr>
      </w:pPr>
      <w:r>
        <w:rPr>
          <w:lang w:val="fr-FR"/>
        </w:rPr>
        <w:lastRenderedPageBreak/>
        <w:t>6.2.2.4</w:t>
      </w:r>
      <w:r>
        <w:rPr>
          <w:lang w:val="fr-FR"/>
        </w:rPr>
        <w:tab/>
      </w:r>
      <w:r>
        <w:rPr>
          <w:lang w:val="fr-FR"/>
        </w:rPr>
        <w:tab/>
        <w:t>Supprimer la ligne pour ISO 10462 : 2005.</w:t>
      </w:r>
    </w:p>
    <w:p w:rsidR="00124E6E" w:rsidRDefault="00124E6E" w:rsidP="00FE3F4F">
      <w:pPr>
        <w:pStyle w:val="SingleTxtG"/>
        <w:tabs>
          <w:tab w:val="left" w:pos="2268"/>
        </w:tabs>
        <w:ind w:left="2259" w:hanging="1125"/>
        <w:rPr>
          <w:lang w:val="fr-FR"/>
        </w:rPr>
      </w:pPr>
      <w:r>
        <w:rPr>
          <w:lang w:val="fr-FR"/>
        </w:rPr>
        <w:tab/>
        <w:t xml:space="preserve">Ajouter la nouvelle ligne suivante dans le tableau après la ligne pour ISO </w:t>
      </w:r>
      <w:proofErr w:type="gramStart"/>
      <w:r>
        <w:rPr>
          <w:lang w:val="fr-FR"/>
        </w:rPr>
        <w:t>22434:</w:t>
      </w:r>
      <w:proofErr w:type="gramEnd"/>
      <w:r>
        <w:rPr>
          <w:lang w:val="fr-FR"/>
        </w:rPr>
        <w:t>2006 pour lire comme suit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4290"/>
        <w:gridCol w:w="1275"/>
      </w:tblGrid>
      <w:tr w:rsidR="00124E6E" w:rsidRPr="00AA6F5C" w:rsidTr="00124E6E">
        <w:tc>
          <w:tcPr>
            <w:tcW w:w="1914" w:type="dxa"/>
            <w:shd w:val="clear" w:color="auto" w:fill="auto"/>
            <w:tcMar>
              <w:left w:w="0" w:type="dxa"/>
              <w:right w:w="0" w:type="dxa"/>
            </w:tcMar>
          </w:tcPr>
          <w:p w:rsidR="00124E6E" w:rsidRPr="00AA6F5C" w:rsidRDefault="00124E6E" w:rsidP="00124E6E">
            <w:pPr>
              <w:spacing w:before="60" w:after="60"/>
              <w:ind w:left="57" w:right="57"/>
            </w:pPr>
            <w:r>
              <w:rPr>
                <w:lang w:val="fr-FR"/>
              </w:rPr>
              <w:t xml:space="preserve">ISO </w:t>
            </w:r>
            <w:proofErr w:type="gramStart"/>
            <w:r>
              <w:rPr>
                <w:lang w:val="fr-FR"/>
              </w:rPr>
              <w:t>20475:</w:t>
            </w:r>
            <w:proofErr w:type="gramEnd"/>
            <w:r>
              <w:rPr>
                <w:lang w:val="fr-FR"/>
              </w:rPr>
              <w:t>2018</w:t>
            </w:r>
          </w:p>
        </w:tc>
        <w:tc>
          <w:tcPr>
            <w:tcW w:w="4290" w:type="dxa"/>
            <w:shd w:val="clear" w:color="auto" w:fill="auto"/>
            <w:tcMar>
              <w:left w:w="0" w:type="dxa"/>
              <w:right w:w="0" w:type="dxa"/>
            </w:tcMar>
          </w:tcPr>
          <w:p w:rsidR="00124E6E" w:rsidRPr="00671137" w:rsidRDefault="00124E6E" w:rsidP="00124E6E">
            <w:pPr>
              <w:spacing w:before="60" w:after="60"/>
              <w:ind w:left="57" w:right="57"/>
            </w:pPr>
            <w:r>
              <w:rPr>
                <w:lang w:val="fr-FR"/>
              </w:rPr>
              <w:t>Bouteilles à gaz − Cadres de bouteilles − Contrôles et essais périodiques</w:t>
            </w:r>
          </w:p>
        </w:tc>
        <w:tc>
          <w:tcPr>
            <w:tcW w:w="1275" w:type="dxa"/>
            <w:shd w:val="clear" w:color="auto" w:fill="auto"/>
            <w:tcMar>
              <w:left w:w="0" w:type="dxa"/>
              <w:right w:w="0" w:type="dxa"/>
            </w:tcMar>
          </w:tcPr>
          <w:p w:rsidR="00124E6E" w:rsidRPr="00AA6F5C" w:rsidRDefault="00124E6E" w:rsidP="00124E6E">
            <w:pPr>
              <w:spacing w:before="60" w:after="60"/>
              <w:ind w:left="57" w:right="57"/>
            </w:pPr>
            <w:r>
              <w:rPr>
                <w:lang w:val="fr-FR"/>
              </w:rPr>
              <w:t>Jusqu’à nouvel ordre</w:t>
            </w:r>
          </w:p>
        </w:tc>
      </w:tr>
    </w:tbl>
    <w:p w:rsidR="00124E6E" w:rsidRDefault="00124E6E" w:rsidP="00361A7A">
      <w:pPr>
        <w:pStyle w:val="SingleTxtG"/>
        <w:tabs>
          <w:tab w:val="left" w:pos="2268"/>
        </w:tabs>
        <w:spacing w:before="120"/>
        <w:ind w:left="2257" w:hanging="1123"/>
        <w:rPr>
          <w:lang w:val="fr-FR"/>
        </w:rPr>
      </w:pPr>
      <w:r>
        <w:rPr>
          <w:lang w:val="fr-FR"/>
        </w:rPr>
        <w:t>6.2.2.7.2 c)</w:t>
      </w:r>
      <w:r>
        <w:rPr>
          <w:lang w:val="fr-FR"/>
        </w:rPr>
        <w:tab/>
        <w:t>Modifier le Nota pour lire comme suit :</w:t>
      </w:r>
    </w:p>
    <w:p w:rsidR="00124E6E" w:rsidRPr="00272AFA" w:rsidRDefault="00361A7A" w:rsidP="00FE3F4F">
      <w:pPr>
        <w:pStyle w:val="SingleTxtG"/>
        <w:tabs>
          <w:tab w:val="left" w:pos="2268"/>
        </w:tabs>
        <w:ind w:left="2259" w:hanging="1125"/>
        <w:rPr>
          <w:lang w:val="fr-FR"/>
        </w:rPr>
      </w:pPr>
      <w:r>
        <w:rPr>
          <w:lang w:val="fr-FR"/>
        </w:rPr>
        <w:tab/>
      </w:r>
      <w:r w:rsidR="00124E6E" w:rsidRPr="00272AFA">
        <w:rPr>
          <w:lang w:val="fr-FR"/>
        </w:rPr>
        <w:t>« </w:t>
      </w:r>
      <w:proofErr w:type="gramStart"/>
      <w:r w:rsidR="00124E6E" w:rsidRPr="00583E4B">
        <w:rPr>
          <w:b/>
          <w:bCs/>
          <w:i/>
          <w:iCs/>
          <w:lang w:val="fr-FR"/>
        </w:rPr>
        <w:t>NOTA:</w:t>
      </w:r>
      <w:proofErr w:type="gramEnd"/>
      <w:r w:rsidR="00124E6E" w:rsidRPr="00272AFA">
        <w:rPr>
          <w:lang w:val="fr-FR"/>
        </w:rPr>
        <w:t xml:space="preserve"> </w:t>
      </w:r>
      <w:r w:rsidR="00124E6E" w:rsidRPr="00272AFA">
        <w:rPr>
          <w:lang w:val="fr-FR"/>
        </w:rPr>
        <w:tab/>
        <w:t>Aux fins de cette marque, on entend par « pays d’agrément » le pays de l’autorité compétente qui a autorisé le contrôle et l’épreuve initiaux du récipient individuel au moment de la fabrication. ».</w:t>
      </w:r>
    </w:p>
    <w:p w:rsidR="00124E6E" w:rsidRDefault="00124E6E" w:rsidP="00FE3F4F">
      <w:pPr>
        <w:pStyle w:val="SingleTxtG"/>
        <w:tabs>
          <w:tab w:val="left" w:pos="2268"/>
        </w:tabs>
        <w:ind w:left="2259" w:hanging="1125"/>
        <w:rPr>
          <w:lang w:val="fr-FR"/>
        </w:rPr>
      </w:pPr>
      <w:r>
        <w:rPr>
          <w:lang w:val="fr-FR"/>
        </w:rPr>
        <w:t>6.2.2.9.2 c)</w:t>
      </w:r>
      <w:r>
        <w:rPr>
          <w:lang w:val="fr-FR"/>
        </w:rPr>
        <w:tab/>
        <w:t>Modifier le Nota pour lire comme suit :</w:t>
      </w:r>
    </w:p>
    <w:p w:rsidR="00124E6E" w:rsidRPr="00D024FA" w:rsidRDefault="00361A7A" w:rsidP="00FE3F4F">
      <w:pPr>
        <w:pStyle w:val="SingleTxtG"/>
        <w:tabs>
          <w:tab w:val="left" w:pos="2268"/>
        </w:tabs>
        <w:ind w:left="2259" w:hanging="1125"/>
      </w:pPr>
      <w:r>
        <w:tab/>
      </w:r>
      <w:r w:rsidR="00124E6E" w:rsidRPr="00D024FA">
        <w:t>« </w:t>
      </w:r>
      <w:r w:rsidR="00124E6E" w:rsidRPr="00583E4B">
        <w:rPr>
          <w:b/>
          <w:bCs/>
          <w:i/>
          <w:iCs/>
        </w:rPr>
        <w:t>NOTA</w:t>
      </w:r>
      <w:r w:rsidR="00124E6E">
        <w:rPr>
          <w:b/>
          <w:bCs/>
          <w:i/>
          <w:iCs/>
        </w:rPr>
        <w:t xml:space="preserve"> </w:t>
      </w:r>
      <w:r w:rsidR="00124E6E" w:rsidRPr="00583E4B">
        <w:rPr>
          <w:b/>
          <w:bCs/>
          <w:i/>
          <w:iCs/>
        </w:rPr>
        <w:t>:</w:t>
      </w:r>
      <w:r w:rsidR="00124E6E" w:rsidRPr="00D024FA">
        <w:t xml:space="preserve"> </w:t>
      </w:r>
      <w:r w:rsidR="00124E6E" w:rsidRPr="00D024FA">
        <w:tab/>
        <w:t>Aux fins de cette marque, on entend par « pays d’agrément » le pays de l’autorité compétente qui a autorisé le contrôle et l’épreuve initiaux du dispositif individuel au moment de la fabrication. ».</w:t>
      </w:r>
    </w:p>
    <w:p w:rsidR="00124E6E" w:rsidRPr="006B0E45" w:rsidRDefault="00124E6E" w:rsidP="00124E6E">
      <w:pPr>
        <w:pStyle w:val="H1G"/>
        <w:rPr>
          <w:lang w:val="fr-FR"/>
        </w:rPr>
      </w:pPr>
      <w:r w:rsidRPr="006B0E45">
        <w:rPr>
          <w:lang w:val="fr-FR"/>
        </w:rPr>
        <w:tab/>
      </w:r>
      <w:r w:rsidRPr="006B0E45">
        <w:rPr>
          <w:lang w:val="fr-FR"/>
        </w:rPr>
        <w:tab/>
        <w:t>Chapitre 6.3</w:t>
      </w:r>
    </w:p>
    <w:p w:rsidR="00124E6E" w:rsidRPr="006B0E45" w:rsidRDefault="00124E6E" w:rsidP="00FE3F4F">
      <w:pPr>
        <w:pStyle w:val="SingleTxtG"/>
        <w:tabs>
          <w:tab w:val="left" w:pos="2268"/>
        </w:tabs>
        <w:ind w:left="2259" w:hanging="1125"/>
        <w:rPr>
          <w:lang w:val="fr-FR"/>
        </w:rPr>
      </w:pPr>
      <w:r w:rsidRPr="006B0E45">
        <w:rPr>
          <w:lang w:val="fr-FR"/>
        </w:rPr>
        <w:t>Dans le titre du chapitre 6.3, ajouter « (</w:t>
      </w:r>
      <w:r>
        <w:rPr>
          <w:lang w:val="fr-FR"/>
        </w:rPr>
        <w:t xml:space="preserve">Nos </w:t>
      </w:r>
      <w:r w:rsidRPr="006B0E45">
        <w:rPr>
          <w:lang w:val="fr-FR"/>
        </w:rPr>
        <w:t>ONU 2814 et 2900) » après « de la division 6.2 ».</w:t>
      </w:r>
    </w:p>
    <w:p w:rsidR="00124E6E" w:rsidRPr="006B0E45" w:rsidRDefault="00124E6E" w:rsidP="00FE3F4F">
      <w:pPr>
        <w:pStyle w:val="SingleTxtG"/>
        <w:tabs>
          <w:tab w:val="left" w:pos="2268"/>
        </w:tabs>
        <w:ind w:left="2259" w:hanging="1125"/>
        <w:rPr>
          <w:lang w:val="fr-FR"/>
        </w:rPr>
      </w:pPr>
      <w:r w:rsidRPr="006B0E45">
        <w:rPr>
          <w:lang w:val="fr-FR"/>
        </w:rPr>
        <w:t>6.3.1.1</w:t>
      </w:r>
      <w:r w:rsidRPr="006B0E45">
        <w:rPr>
          <w:lang w:val="fr-FR"/>
        </w:rPr>
        <w:tab/>
        <w:t xml:space="preserve">À la fin, ajouter </w:t>
      </w:r>
      <w:proofErr w:type="gramStart"/>
      <w:r w:rsidRPr="006B0E45">
        <w:rPr>
          <w:lang w:val="fr-FR"/>
        </w:rPr>
        <w:t>« ,</w:t>
      </w:r>
      <w:proofErr w:type="gramEnd"/>
      <w:r w:rsidRPr="006B0E45">
        <w:rPr>
          <w:lang w:val="fr-FR"/>
        </w:rPr>
        <w:t xml:space="preserve"> Nos ONU 2814 et 2900 ».</w:t>
      </w:r>
    </w:p>
    <w:p w:rsidR="00124E6E" w:rsidRDefault="00124E6E" w:rsidP="00FE3F4F">
      <w:pPr>
        <w:pStyle w:val="SingleTxtG"/>
        <w:tabs>
          <w:tab w:val="left" w:pos="2268"/>
        </w:tabs>
        <w:ind w:left="2259" w:hanging="1125"/>
      </w:pPr>
      <w:r>
        <w:t>6.3.4.1</w:t>
      </w:r>
      <w:r>
        <w:tab/>
      </w:r>
      <w:r>
        <w:tab/>
        <w:t>Modifier la troisième phrase pour lire comme suit :</w:t>
      </w:r>
    </w:p>
    <w:p w:rsidR="00124E6E" w:rsidRDefault="00361A7A" w:rsidP="00FE3F4F">
      <w:pPr>
        <w:pStyle w:val="SingleTxtG"/>
        <w:tabs>
          <w:tab w:val="left" w:pos="2268"/>
        </w:tabs>
        <w:ind w:left="2259" w:hanging="1125"/>
      </w:pPr>
      <w:r>
        <w:tab/>
      </w:r>
      <w:r w:rsidR="00124E6E">
        <w:t xml:space="preserve">« Les lettres, les chiffres et les symboles doivent avoir au moins 12 mm de hauteur, sauf sur les emballages d’une capacité ne dépassant pas 30 </w:t>
      </w:r>
      <w:r w:rsidR="00124E6E" w:rsidRPr="00182113">
        <w:rPr>
          <w:i/>
          <w:iCs/>
        </w:rPr>
        <w:t>l</w:t>
      </w:r>
      <w:r w:rsidR="00124E6E">
        <w:t xml:space="preserve"> ou d’une masse nette ne dépassant pas 30 kg où leur hauteur doit être d'au moins 6 mm, ainsi que sur les emballages d’une capacité ne dépassant pas 5 </w:t>
      </w:r>
      <w:r w:rsidR="00124E6E" w:rsidRPr="00403FEA">
        <w:rPr>
          <w:i/>
          <w:iCs/>
        </w:rPr>
        <w:t>l</w:t>
      </w:r>
      <w:r w:rsidR="00124E6E">
        <w:t xml:space="preserve"> ou d’une masse nette de dépassant pas 5 kg, où ils doivent avoir des dimensions appropriées. ».</w:t>
      </w:r>
    </w:p>
    <w:p w:rsidR="00124E6E" w:rsidRDefault="00124E6E" w:rsidP="00FE3F4F">
      <w:pPr>
        <w:pStyle w:val="SingleTxtG"/>
        <w:tabs>
          <w:tab w:val="left" w:pos="2268"/>
        </w:tabs>
        <w:ind w:left="2259" w:hanging="1125"/>
        <w:rPr>
          <w:iCs/>
          <w:w w:val="105"/>
        </w:rPr>
      </w:pPr>
      <w:r>
        <w:t>6.3.5.2.2</w:t>
      </w:r>
      <w:r>
        <w:tab/>
        <w:t>Dans les « </w:t>
      </w:r>
      <w:r>
        <w:rPr>
          <w:i/>
          <w:w w:val="105"/>
        </w:rPr>
        <w:t>Explications concernant l’utilisation du tableau</w:t>
      </w:r>
      <w:r>
        <w:rPr>
          <w:iCs/>
          <w:w w:val="105"/>
        </w:rPr>
        <w:t> », à la fin du premier paragraphe, remplacer « </w:t>
      </w:r>
      <w:r w:rsidRPr="00A5095B">
        <w:rPr>
          <w:iCs/>
          <w:w w:val="105"/>
        </w:rPr>
        <w:t>cinq essais de chute après conditionnement</w:t>
      </w:r>
      <w:r>
        <w:rPr>
          <w:iCs/>
          <w:w w:val="105"/>
        </w:rPr>
        <w:t> » par « un essai de chute ».</w:t>
      </w:r>
    </w:p>
    <w:p w:rsidR="00124E6E" w:rsidRDefault="00124E6E" w:rsidP="00FE3F4F">
      <w:pPr>
        <w:pStyle w:val="SingleTxtG"/>
        <w:tabs>
          <w:tab w:val="left" w:pos="2268"/>
        </w:tabs>
        <w:ind w:left="2259" w:hanging="1125"/>
        <w:rPr>
          <w:iCs/>
          <w:w w:val="105"/>
        </w:rPr>
      </w:pPr>
      <w:r>
        <w:t>6.3.5.3.1</w:t>
      </w:r>
      <w:r>
        <w:tab/>
      </w:r>
      <w:r>
        <w:tab/>
        <w:t>Ajouter le titre suivant à ce paragraphe « Hauteur de chute et cible ».</w:t>
      </w:r>
    </w:p>
    <w:p w:rsidR="00124E6E" w:rsidRDefault="00124E6E" w:rsidP="00FE3F4F">
      <w:pPr>
        <w:pStyle w:val="SingleTxtG"/>
        <w:tabs>
          <w:tab w:val="left" w:pos="2268"/>
        </w:tabs>
        <w:ind w:left="2259" w:hanging="1125"/>
      </w:pPr>
      <w:r>
        <w:t>6.3.5.3.2</w:t>
      </w:r>
      <w:r>
        <w:tab/>
      </w:r>
      <w:r>
        <w:tab/>
        <w:t xml:space="preserve">Ajouter le titre suivant à ce paragraphe « Nombre d’échantillons et orientations de chute ». Numéroter le texte sous ce titre en tant que 6.3.5.3.2.1. </w:t>
      </w:r>
    </w:p>
    <w:p w:rsidR="00124E6E" w:rsidRPr="00915837" w:rsidRDefault="00124E6E" w:rsidP="00FE3F4F">
      <w:pPr>
        <w:pStyle w:val="SingleTxtG"/>
        <w:tabs>
          <w:tab w:val="left" w:pos="2268"/>
        </w:tabs>
        <w:ind w:left="2259" w:hanging="1125"/>
      </w:pPr>
      <w:r>
        <w:t>6.3.5.3.3</w:t>
      </w:r>
      <w:r>
        <w:tab/>
        <w:t>Renuméroter en tant que 6.3.5.3.2.2.</w:t>
      </w:r>
    </w:p>
    <w:p w:rsidR="00124E6E" w:rsidRDefault="00361A7A" w:rsidP="00FE3F4F">
      <w:pPr>
        <w:pStyle w:val="SingleTxtG"/>
        <w:tabs>
          <w:tab w:val="left" w:pos="2268"/>
        </w:tabs>
        <w:ind w:left="2259" w:hanging="1125"/>
      </w:pPr>
      <w:r>
        <w:tab/>
      </w:r>
      <w:r w:rsidR="00124E6E">
        <w:t>R</w:t>
      </w:r>
      <w:r w:rsidR="00124E6E" w:rsidRPr="00544F76">
        <w:t>enuméroter les paragraphes 6.3.5.3.4, 6.3.5.3.5, 6.3.5.3.6, 6.3.5.3.6.1, 6.3.5.3.6.2 et 6.3.5.3.6.3 en tant que 6.3.5.3.3, 6.3.5.3.4, 6.3.5.3.5, 6.3.5.3.5.1, 6.3.5.3.5.2 et 6.3.5.3.5.3</w:t>
      </w:r>
      <w:r w:rsidR="00124E6E">
        <w:t>, respectivement</w:t>
      </w:r>
      <w:r w:rsidR="00124E6E" w:rsidRPr="00544F76">
        <w:t xml:space="preserve">. </w:t>
      </w:r>
      <w:r w:rsidR="00124E6E">
        <w:t>Adapter les références croisées en conséquence comme suit :</w:t>
      </w:r>
    </w:p>
    <w:p w:rsidR="00124E6E" w:rsidRDefault="00361A7A" w:rsidP="00FE3F4F">
      <w:pPr>
        <w:pStyle w:val="SingleTxtG"/>
        <w:tabs>
          <w:tab w:val="left" w:pos="2268"/>
        </w:tabs>
        <w:ind w:left="2259" w:hanging="1125"/>
      </w:pPr>
      <w:r>
        <w:tab/>
      </w:r>
      <w:r w:rsidR="00124E6E">
        <w:t>Au 6.3.5.2.2, dans le tableau et dans les « </w:t>
      </w:r>
      <w:r w:rsidR="00124E6E">
        <w:rPr>
          <w:i/>
          <w:w w:val="105"/>
        </w:rPr>
        <w:t>Explications concernant l’utilisation du tableau</w:t>
      </w:r>
      <w:r w:rsidR="00124E6E">
        <w:rPr>
          <w:iCs/>
          <w:w w:val="105"/>
        </w:rPr>
        <w:t> », remplacer « </w:t>
      </w:r>
      <w:r w:rsidR="00124E6E" w:rsidRPr="00544F76">
        <w:t>6.3.5.3.6.1</w:t>
      </w:r>
      <w:r w:rsidR="00124E6E">
        <w:t> »</w:t>
      </w:r>
      <w:r w:rsidR="00124E6E" w:rsidRPr="00544F76">
        <w:t xml:space="preserve">, </w:t>
      </w:r>
      <w:r w:rsidR="00124E6E">
        <w:t>« </w:t>
      </w:r>
      <w:r w:rsidR="00124E6E" w:rsidRPr="00544F76">
        <w:t>6.3.5.3.6.2</w:t>
      </w:r>
      <w:r w:rsidR="00124E6E">
        <w:t> »</w:t>
      </w:r>
      <w:r w:rsidR="00124E6E" w:rsidRPr="00544F76">
        <w:t xml:space="preserve"> et </w:t>
      </w:r>
      <w:r w:rsidR="00124E6E">
        <w:t>« </w:t>
      </w:r>
      <w:r w:rsidR="00124E6E" w:rsidRPr="00544F76">
        <w:t>6.3.5.3.6.3</w:t>
      </w:r>
      <w:r w:rsidR="00124E6E">
        <w:t xml:space="preserve"> » par </w:t>
      </w:r>
      <w:r w:rsidR="00124E6E">
        <w:rPr>
          <w:iCs/>
          <w:w w:val="105"/>
        </w:rPr>
        <w:t>« </w:t>
      </w:r>
      <w:r w:rsidR="00124E6E" w:rsidRPr="00544F76">
        <w:t>6.3.5.3.</w:t>
      </w:r>
      <w:r w:rsidR="00124E6E">
        <w:t>5</w:t>
      </w:r>
      <w:r w:rsidR="00124E6E" w:rsidRPr="00544F76">
        <w:t>.1</w:t>
      </w:r>
      <w:r w:rsidR="00124E6E">
        <w:t> »</w:t>
      </w:r>
      <w:r w:rsidR="00124E6E" w:rsidRPr="00544F76">
        <w:t xml:space="preserve">, </w:t>
      </w:r>
      <w:r w:rsidR="00124E6E">
        <w:t>« </w:t>
      </w:r>
      <w:r w:rsidR="00124E6E" w:rsidRPr="00544F76">
        <w:t>6.3.5.3.</w:t>
      </w:r>
      <w:r w:rsidR="00124E6E">
        <w:t>5</w:t>
      </w:r>
      <w:r w:rsidR="00124E6E" w:rsidRPr="00544F76">
        <w:t>.2</w:t>
      </w:r>
      <w:r w:rsidR="00124E6E">
        <w:t> »</w:t>
      </w:r>
      <w:r w:rsidR="00124E6E" w:rsidRPr="00544F76">
        <w:t xml:space="preserve"> et </w:t>
      </w:r>
      <w:r w:rsidR="00124E6E">
        <w:t>« </w:t>
      </w:r>
      <w:r w:rsidR="00124E6E" w:rsidRPr="00544F76">
        <w:t>6.3.5.3.</w:t>
      </w:r>
      <w:r w:rsidR="00124E6E">
        <w:t>5</w:t>
      </w:r>
      <w:r w:rsidR="00124E6E" w:rsidRPr="00544F76">
        <w:t>.3</w:t>
      </w:r>
      <w:r w:rsidR="00124E6E">
        <w:t> », respectivement.</w:t>
      </w:r>
    </w:p>
    <w:p w:rsidR="00124E6E" w:rsidRDefault="00361A7A" w:rsidP="00FE3F4F">
      <w:pPr>
        <w:pStyle w:val="SingleTxtG"/>
        <w:tabs>
          <w:tab w:val="left" w:pos="2268"/>
        </w:tabs>
        <w:ind w:left="2259" w:hanging="1125"/>
      </w:pPr>
      <w:r>
        <w:tab/>
      </w:r>
      <w:r w:rsidR="00124E6E">
        <w:t xml:space="preserve">Au 6.3.5.3.6.3, renuméroté 6.3.5.3.5.3, remplacer </w:t>
      </w:r>
      <w:r w:rsidR="00124E6E">
        <w:rPr>
          <w:iCs/>
          <w:w w:val="105"/>
        </w:rPr>
        <w:t>« </w:t>
      </w:r>
      <w:r w:rsidR="00124E6E" w:rsidRPr="00544F76">
        <w:t>6.3.5.3.6.1</w:t>
      </w:r>
      <w:r w:rsidR="00124E6E">
        <w:t> » et</w:t>
      </w:r>
      <w:r w:rsidR="00124E6E" w:rsidRPr="00544F76">
        <w:t xml:space="preserve"> </w:t>
      </w:r>
      <w:r w:rsidR="00124E6E">
        <w:t>« </w:t>
      </w:r>
      <w:r w:rsidR="00124E6E" w:rsidRPr="00544F76">
        <w:t>6.3.5.3.6.2</w:t>
      </w:r>
      <w:r w:rsidR="00124E6E">
        <w:t xml:space="preserve"> » par </w:t>
      </w:r>
      <w:r w:rsidR="00124E6E">
        <w:rPr>
          <w:iCs/>
          <w:w w:val="105"/>
        </w:rPr>
        <w:t>« </w:t>
      </w:r>
      <w:r w:rsidR="00124E6E" w:rsidRPr="00544F76">
        <w:t>6.3.5.3.</w:t>
      </w:r>
      <w:r w:rsidR="00124E6E">
        <w:t>5</w:t>
      </w:r>
      <w:r w:rsidR="00124E6E" w:rsidRPr="00544F76">
        <w:t>.1</w:t>
      </w:r>
      <w:r w:rsidR="00124E6E">
        <w:t> » et</w:t>
      </w:r>
      <w:r w:rsidR="00124E6E" w:rsidRPr="00544F76">
        <w:t xml:space="preserve"> </w:t>
      </w:r>
      <w:r w:rsidR="00124E6E">
        <w:t>« </w:t>
      </w:r>
      <w:r w:rsidR="00124E6E" w:rsidRPr="00544F76">
        <w:t>6.3.5.3.</w:t>
      </w:r>
      <w:r w:rsidR="00124E6E">
        <w:t>5</w:t>
      </w:r>
      <w:r w:rsidR="00124E6E" w:rsidRPr="00544F76">
        <w:t>.2</w:t>
      </w:r>
      <w:r w:rsidR="00124E6E">
        <w:t> », respectivement. À la fin, remplacer « au 6.3.5.3.2 » par « au 6.3.5.3.2.1 ou au 6.3.5.3.2.2, selon le cas, ».</w:t>
      </w:r>
    </w:p>
    <w:p w:rsidR="00124E6E" w:rsidRPr="00640C9E" w:rsidRDefault="00124E6E" w:rsidP="00124E6E">
      <w:pPr>
        <w:pStyle w:val="H1G"/>
        <w:rPr>
          <w:szCs w:val="24"/>
        </w:rPr>
      </w:pPr>
      <w:r>
        <w:rPr>
          <w:bCs/>
          <w:szCs w:val="24"/>
          <w:lang w:val="fr-FR"/>
        </w:rPr>
        <w:tab/>
      </w:r>
      <w:r>
        <w:rPr>
          <w:bCs/>
          <w:szCs w:val="24"/>
          <w:lang w:val="fr-FR"/>
        </w:rPr>
        <w:tab/>
      </w:r>
      <w:r w:rsidRPr="00640C9E">
        <w:rPr>
          <w:bCs/>
          <w:szCs w:val="24"/>
          <w:lang w:val="fr-FR"/>
        </w:rPr>
        <w:t>Chapitre 6.4</w:t>
      </w:r>
    </w:p>
    <w:p w:rsidR="00124E6E" w:rsidRPr="00640C9E" w:rsidRDefault="00124E6E" w:rsidP="00FE3F4F">
      <w:pPr>
        <w:pStyle w:val="SingleTxtG"/>
        <w:tabs>
          <w:tab w:val="left" w:pos="2268"/>
        </w:tabs>
        <w:ind w:left="2259" w:hanging="1125"/>
        <w:rPr>
          <w:szCs w:val="24"/>
        </w:rPr>
      </w:pPr>
      <w:r w:rsidRPr="00640C9E">
        <w:rPr>
          <w:szCs w:val="24"/>
          <w:lang w:val="fr-FR"/>
        </w:rPr>
        <w:t>6.4.2.4</w:t>
      </w:r>
      <w:r w:rsidRPr="00640C9E">
        <w:rPr>
          <w:szCs w:val="24"/>
          <w:lang w:val="fr-FR"/>
        </w:rPr>
        <w:tab/>
      </w:r>
      <w:r w:rsidRPr="00640C9E">
        <w:rPr>
          <w:szCs w:val="24"/>
          <w:lang w:val="fr-FR"/>
        </w:rPr>
        <w:tab/>
        <w:t xml:space="preserve">Supprimer </w:t>
      </w:r>
      <w:r>
        <w:rPr>
          <w:szCs w:val="24"/>
          <w:lang w:val="fr-FR"/>
        </w:rPr>
        <w:t>« </w:t>
      </w:r>
      <w:r w:rsidRPr="00640C9E">
        <w:rPr>
          <w:szCs w:val="24"/>
          <w:lang w:val="fr-FR"/>
        </w:rPr>
        <w:t>et fini</w:t>
      </w:r>
      <w:r>
        <w:rPr>
          <w:szCs w:val="24"/>
          <w:lang w:val="fr-FR"/>
        </w:rPr>
        <w:t> »</w:t>
      </w:r>
      <w:r w:rsidRPr="00640C9E">
        <w:rPr>
          <w:szCs w:val="24"/>
          <w:lang w:val="fr-FR"/>
        </w:rPr>
        <w:t>.</w:t>
      </w:r>
    </w:p>
    <w:p w:rsidR="00124E6E" w:rsidRPr="00640C9E" w:rsidRDefault="00124E6E" w:rsidP="00FE3F4F">
      <w:pPr>
        <w:pStyle w:val="SingleTxtG"/>
        <w:tabs>
          <w:tab w:val="left" w:pos="2268"/>
        </w:tabs>
        <w:ind w:left="2259" w:hanging="1125"/>
        <w:rPr>
          <w:szCs w:val="24"/>
        </w:rPr>
      </w:pPr>
      <w:r>
        <w:rPr>
          <w:szCs w:val="24"/>
          <w:lang w:val="fr-FR"/>
        </w:rPr>
        <w:t>6.4.2.8</w:t>
      </w:r>
      <w:r>
        <w:rPr>
          <w:szCs w:val="24"/>
          <w:lang w:val="fr-FR"/>
        </w:rPr>
        <w:tab/>
      </w:r>
      <w:r w:rsidRPr="00640C9E">
        <w:rPr>
          <w:szCs w:val="24"/>
          <w:lang w:val="fr-FR"/>
        </w:rPr>
        <w:t>Insérer un nouveau paragraphe libellé comme suit</w:t>
      </w:r>
      <w:r>
        <w:rPr>
          <w:szCs w:val="24"/>
          <w:lang w:val="fr-FR"/>
        </w:rPr>
        <w:t> :</w:t>
      </w:r>
    </w:p>
    <w:p w:rsidR="00124E6E" w:rsidRPr="00640C9E" w:rsidRDefault="00124E6E" w:rsidP="00FE3F4F">
      <w:pPr>
        <w:pStyle w:val="SingleTxtG"/>
        <w:tabs>
          <w:tab w:val="left" w:pos="2268"/>
        </w:tabs>
        <w:ind w:left="2259" w:hanging="1125"/>
        <w:rPr>
          <w:szCs w:val="24"/>
        </w:rPr>
      </w:pPr>
      <w:r>
        <w:rPr>
          <w:szCs w:val="24"/>
          <w:lang w:val="fr-FR"/>
        </w:rPr>
        <w:lastRenderedPageBreak/>
        <w:t>« </w:t>
      </w:r>
      <w:r w:rsidRPr="00640C9E">
        <w:rPr>
          <w:szCs w:val="24"/>
          <w:lang w:val="fr-FR"/>
        </w:rPr>
        <w:t>6.4.2.8</w:t>
      </w:r>
      <w:r w:rsidRPr="00640C9E">
        <w:rPr>
          <w:szCs w:val="24"/>
          <w:lang w:val="fr-FR"/>
        </w:rPr>
        <w:tab/>
        <w:t>Dans la conception du colis, il faut prendre en compte les mécanismes de vieillissement.</w:t>
      </w:r>
      <w:r>
        <w:rPr>
          <w:szCs w:val="24"/>
          <w:lang w:val="fr-FR"/>
        </w:rPr>
        <w:t> »</w:t>
      </w:r>
      <w:r w:rsidRPr="00640C9E">
        <w:rPr>
          <w:szCs w:val="24"/>
          <w:lang w:val="fr-FR"/>
        </w:rPr>
        <w:t>.</w:t>
      </w:r>
    </w:p>
    <w:p w:rsidR="00124E6E" w:rsidRPr="00640C9E" w:rsidRDefault="00124E6E" w:rsidP="00FE3F4F">
      <w:pPr>
        <w:pStyle w:val="SingleTxtG"/>
        <w:tabs>
          <w:tab w:val="left" w:pos="2268"/>
        </w:tabs>
        <w:ind w:left="2259" w:hanging="1125"/>
        <w:rPr>
          <w:szCs w:val="24"/>
        </w:rPr>
      </w:pPr>
      <w:r w:rsidRPr="00640C9E">
        <w:rPr>
          <w:szCs w:val="24"/>
          <w:lang w:val="fr-FR"/>
        </w:rPr>
        <w:t>Renuméroter en conséquence les paragraphes suivants du 6.4.2.</w:t>
      </w:r>
    </w:p>
    <w:p w:rsidR="0026097A" w:rsidRDefault="0026097A" w:rsidP="00FE3F4F">
      <w:pPr>
        <w:pStyle w:val="SingleTxtG"/>
        <w:tabs>
          <w:tab w:val="left" w:pos="2268"/>
        </w:tabs>
        <w:ind w:left="2259" w:hanging="1125"/>
        <w:rPr>
          <w:szCs w:val="24"/>
          <w:lang w:val="fr-FR"/>
        </w:rPr>
      </w:pPr>
      <w:bookmarkStart w:id="55" w:name="_GoBack"/>
      <w:r>
        <w:rPr>
          <w:szCs w:val="24"/>
          <w:lang w:val="fr-FR"/>
        </w:rPr>
        <w:t>6.4.2.11 (renuméroté 6.4.2.12)</w:t>
      </w:r>
    </w:p>
    <w:p w:rsidR="0026097A" w:rsidRDefault="0026097A" w:rsidP="00FE3F4F">
      <w:pPr>
        <w:pStyle w:val="SingleTxtG"/>
        <w:tabs>
          <w:tab w:val="left" w:pos="2268"/>
        </w:tabs>
        <w:ind w:left="2259" w:hanging="1125"/>
        <w:rPr>
          <w:szCs w:val="24"/>
          <w:lang w:val="fr-FR"/>
        </w:rPr>
      </w:pPr>
      <w:r>
        <w:rPr>
          <w:szCs w:val="24"/>
          <w:lang w:val="fr-FR"/>
        </w:rPr>
        <w:tab/>
      </w:r>
      <w:r>
        <w:rPr>
          <w:szCs w:val="24"/>
        </w:rPr>
        <w:t>Remplacer</w:t>
      </w:r>
      <w:r>
        <w:rPr>
          <w:szCs w:val="24"/>
          <w:lang w:val="fr-FR"/>
        </w:rPr>
        <w:t xml:space="preserve"> « l’</w:t>
      </w:r>
      <w:r w:rsidRPr="00640C9E">
        <w:rPr>
          <w:szCs w:val="24"/>
          <w:lang w:val="fr-FR"/>
        </w:rPr>
        <w:t xml:space="preserve">intensité </w:t>
      </w:r>
      <w:r w:rsidR="005D6614">
        <w:rPr>
          <w:szCs w:val="24"/>
          <w:lang w:val="fr-FR"/>
        </w:rPr>
        <w:t>du</w:t>
      </w:r>
      <w:r w:rsidRPr="00640C9E">
        <w:rPr>
          <w:szCs w:val="24"/>
          <w:lang w:val="fr-FR"/>
        </w:rPr>
        <w:t xml:space="preserve"> rayonnement</w:t>
      </w:r>
      <w:r>
        <w:rPr>
          <w:szCs w:val="24"/>
          <w:lang w:val="fr-FR"/>
        </w:rPr>
        <w:t> »</w:t>
      </w:r>
      <w:r w:rsidRPr="00640C9E">
        <w:rPr>
          <w:szCs w:val="24"/>
          <w:lang w:val="fr-FR"/>
        </w:rPr>
        <w:t xml:space="preserve"> par </w:t>
      </w:r>
      <w:r>
        <w:rPr>
          <w:szCs w:val="24"/>
          <w:lang w:val="fr-FR"/>
        </w:rPr>
        <w:t>« </w:t>
      </w:r>
      <w:r w:rsidR="005D6614">
        <w:rPr>
          <w:szCs w:val="24"/>
          <w:lang w:val="fr-FR"/>
        </w:rPr>
        <w:t>le</w:t>
      </w:r>
      <w:r>
        <w:rPr>
          <w:szCs w:val="24"/>
          <w:lang w:val="fr-FR"/>
        </w:rPr>
        <w:t xml:space="preserve"> </w:t>
      </w:r>
      <w:r w:rsidRPr="00640C9E">
        <w:rPr>
          <w:szCs w:val="24"/>
          <w:lang w:val="fr-FR"/>
        </w:rPr>
        <w:t>débit de dose</w:t>
      </w:r>
      <w:r w:rsidR="005D6614">
        <w:rPr>
          <w:szCs w:val="24"/>
          <w:lang w:val="fr-FR"/>
        </w:rPr>
        <w:t> </w:t>
      </w:r>
      <w:r>
        <w:rPr>
          <w:szCs w:val="24"/>
          <w:lang w:val="fr-FR"/>
        </w:rPr>
        <w:t>».</w:t>
      </w:r>
    </w:p>
    <w:bookmarkEnd w:id="55"/>
    <w:p w:rsidR="00124E6E" w:rsidRPr="00640C9E" w:rsidRDefault="00124E6E" w:rsidP="00FE3F4F">
      <w:pPr>
        <w:pStyle w:val="SingleTxtG"/>
        <w:tabs>
          <w:tab w:val="left" w:pos="2268"/>
        </w:tabs>
        <w:ind w:left="2259" w:hanging="1125"/>
        <w:rPr>
          <w:szCs w:val="24"/>
        </w:rPr>
      </w:pPr>
      <w:r w:rsidRPr="00640C9E">
        <w:rPr>
          <w:szCs w:val="24"/>
          <w:lang w:val="fr-FR"/>
        </w:rPr>
        <w:t>6.4.4</w:t>
      </w:r>
      <w:r w:rsidRPr="00640C9E">
        <w:rPr>
          <w:szCs w:val="24"/>
          <w:lang w:val="fr-FR"/>
        </w:rPr>
        <w:tab/>
        <w:t xml:space="preserve">Modifier </w:t>
      </w:r>
      <w:r>
        <w:rPr>
          <w:szCs w:val="24"/>
          <w:lang w:val="fr-FR"/>
        </w:rPr>
        <w:t xml:space="preserve">la phrase après le titre </w:t>
      </w:r>
      <w:r w:rsidRPr="00640C9E">
        <w:rPr>
          <w:szCs w:val="24"/>
          <w:lang w:val="fr-FR"/>
        </w:rPr>
        <w:t>pour lire comme suit</w:t>
      </w:r>
      <w:r>
        <w:rPr>
          <w:szCs w:val="24"/>
          <w:lang w:val="fr-FR"/>
        </w:rPr>
        <w:t> :</w:t>
      </w:r>
    </w:p>
    <w:p w:rsidR="00124E6E" w:rsidRPr="00640C9E" w:rsidRDefault="00361A7A" w:rsidP="00FE3F4F">
      <w:pPr>
        <w:pStyle w:val="SingleTxtG"/>
        <w:tabs>
          <w:tab w:val="left" w:pos="2268"/>
        </w:tabs>
        <w:ind w:left="2259" w:hanging="1125"/>
        <w:rPr>
          <w:szCs w:val="24"/>
        </w:rPr>
      </w:pPr>
      <w:r>
        <w:rPr>
          <w:szCs w:val="24"/>
          <w:lang w:val="fr-FR"/>
        </w:rPr>
        <w:tab/>
      </w:r>
      <w:r w:rsidR="00124E6E">
        <w:rPr>
          <w:szCs w:val="24"/>
          <w:lang w:val="fr-FR"/>
        </w:rPr>
        <w:t>« </w:t>
      </w:r>
      <w:r w:rsidR="00124E6E" w:rsidRPr="00640C9E">
        <w:rPr>
          <w:szCs w:val="24"/>
          <w:lang w:val="fr-FR"/>
        </w:rPr>
        <w:t>Les colis exceptés doivent être conçus pour satisfaire aux prescriptions énoncées aux 6.4.2.1 à 6.4.2.</w:t>
      </w:r>
      <w:r w:rsidR="00124E6E">
        <w:rPr>
          <w:szCs w:val="24"/>
          <w:lang w:val="fr-FR"/>
        </w:rPr>
        <w:t>13</w:t>
      </w:r>
      <w:r w:rsidR="00124E6E" w:rsidRPr="00640C9E">
        <w:rPr>
          <w:szCs w:val="24"/>
          <w:lang w:val="fr-FR"/>
        </w:rPr>
        <w:t xml:space="preserve"> et, en outre, à celles énoncées au 6.4.7.2 s</w:t>
      </w:r>
      <w:r w:rsidR="00124E6E">
        <w:rPr>
          <w:szCs w:val="24"/>
          <w:lang w:val="fr-FR"/>
        </w:rPr>
        <w:t>’</w:t>
      </w:r>
      <w:r w:rsidR="00124E6E" w:rsidRPr="00640C9E">
        <w:rPr>
          <w:szCs w:val="24"/>
          <w:lang w:val="fr-FR"/>
        </w:rPr>
        <w:t>ils contiennent des matières fissiles autorisées en vertu de l</w:t>
      </w:r>
      <w:r w:rsidR="00124E6E">
        <w:rPr>
          <w:szCs w:val="24"/>
          <w:lang w:val="fr-FR"/>
        </w:rPr>
        <w:t>’</w:t>
      </w:r>
      <w:r w:rsidR="00124E6E" w:rsidRPr="00640C9E">
        <w:rPr>
          <w:szCs w:val="24"/>
          <w:lang w:val="fr-FR"/>
        </w:rPr>
        <w:t xml:space="preserve">une des dispositions </w:t>
      </w:r>
      <w:r w:rsidR="00124E6E">
        <w:rPr>
          <w:szCs w:val="24"/>
          <w:lang w:val="fr-FR"/>
        </w:rPr>
        <w:t>du 2.2.7.2.3.5</w:t>
      </w:r>
      <w:r w:rsidR="00124E6E" w:rsidRPr="00640C9E">
        <w:rPr>
          <w:szCs w:val="24"/>
          <w:lang w:val="fr-FR"/>
        </w:rPr>
        <w:t xml:space="preserve"> </w:t>
      </w:r>
      <w:r w:rsidR="00124E6E">
        <w:rPr>
          <w:szCs w:val="24"/>
          <w:lang w:val="fr-FR"/>
        </w:rPr>
        <w:t>a) à f)</w:t>
      </w:r>
      <w:r w:rsidR="00124E6E" w:rsidRPr="00640C9E">
        <w:rPr>
          <w:szCs w:val="24"/>
          <w:lang w:val="fr-FR"/>
        </w:rPr>
        <w:t>.</w:t>
      </w:r>
      <w:r w:rsidR="00124E6E">
        <w:rPr>
          <w:szCs w:val="24"/>
          <w:lang w:val="fr-FR"/>
        </w:rPr>
        <w:t> »</w:t>
      </w:r>
      <w:r w:rsidR="00124E6E" w:rsidRPr="00640C9E">
        <w:rPr>
          <w:szCs w:val="24"/>
          <w:lang w:val="fr-FR"/>
        </w:rPr>
        <w:t>.</w:t>
      </w:r>
    </w:p>
    <w:p w:rsidR="00124E6E" w:rsidRDefault="00124E6E" w:rsidP="00FE3F4F">
      <w:pPr>
        <w:pStyle w:val="SingleTxtG"/>
        <w:tabs>
          <w:tab w:val="left" w:pos="2268"/>
        </w:tabs>
        <w:ind w:left="2259" w:hanging="1125"/>
        <w:rPr>
          <w:szCs w:val="24"/>
          <w:lang w:val="fr-FR"/>
        </w:rPr>
      </w:pPr>
      <w:r>
        <w:rPr>
          <w:szCs w:val="24"/>
          <w:lang w:val="fr-FR"/>
        </w:rPr>
        <w:t>6.4.5.2 b)</w:t>
      </w:r>
      <w:r>
        <w:rPr>
          <w:szCs w:val="24"/>
        </w:rPr>
        <w:tab/>
        <w:t>Remplacer</w:t>
      </w:r>
      <w:r>
        <w:rPr>
          <w:szCs w:val="24"/>
          <w:lang w:val="fr-FR"/>
        </w:rPr>
        <w:t xml:space="preserve"> « de l’</w:t>
      </w:r>
      <w:r w:rsidRPr="00640C9E">
        <w:rPr>
          <w:szCs w:val="24"/>
          <w:lang w:val="fr-FR"/>
        </w:rPr>
        <w:t xml:space="preserve">intensité </w:t>
      </w:r>
      <w:r>
        <w:rPr>
          <w:szCs w:val="24"/>
          <w:lang w:val="fr-FR"/>
        </w:rPr>
        <w:t xml:space="preserve">maximale </w:t>
      </w:r>
      <w:r w:rsidRPr="00640C9E">
        <w:rPr>
          <w:szCs w:val="24"/>
          <w:lang w:val="fr-FR"/>
        </w:rPr>
        <w:t>de rayonnement</w:t>
      </w:r>
      <w:r>
        <w:rPr>
          <w:szCs w:val="24"/>
          <w:lang w:val="fr-FR"/>
        </w:rPr>
        <w:t> »</w:t>
      </w:r>
      <w:r w:rsidRPr="00640C9E">
        <w:rPr>
          <w:szCs w:val="24"/>
          <w:lang w:val="fr-FR"/>
        </w:rPr>
        <w:t xml:space="preserve"> par </w:t>
      </w:r>
      <w:r>
        <w:rPr>
          <w:szCs w:val="24"/>
          <w:lang w:val="fr-FR"/>
        </w:rPr>
        <w:t xml:space="preserve">« du </w:t>
      </w:r>
      <w:r w:rsidRPr="00640C9E">
        <w:rPr>
          <w:szCs w:val="24"/>
          <w:lang w:val="fr-FR"/>
        </w:rPr>
        <w:t>débit de dose</w:t>
      </w:r>
      <w:r>
        <w:rPr>
          <w:szCs w:val="24"/>
          <w:lang w:val="fr-FR"/>
        </w:rPr>
        <w:t xml:space="preserve"> maximal ».</w:t>
      </w:r>
    </w:p>
    <w:p w:rsidR="00361A7A" w:rsidRDefault="00124E6E" w:rsidP="00FE3F4F">
      <w:pPr>
        <w:pStyle w:val="SingleTxtG"/>
        <w:tabs>
          <w:tab w:val="left" w:pos="2268"/>
        </w:tabs>
        <w:ind w:left="2259" w:hanging="1125"/>
        <w:rPr>
          <w:szCs w:val="24"/>
          <w:lang w:val="fr-FR"/>
        </w:rPr>
      </w:pPr>
      <w:r>
        <w:rPr>
          <w:szCs w:val="24"/>
          <w:lang w:val="fr-FR"/>
        </w:rPr>
        <w:t>6.4.5.4.1 c) ii)</w:t>
      </w:r>
      <w:r>
        <w:rPr>
          <w:szCs w:val="24"/>
          <w:lang w:val="fr-FR"/>
        </w:rPr>
        <w:tab/>
      </w:r>
      <w:r>
        <w:rPr>
          <w:szCs w:val="24"/>
          <w:lang w:val="fr-FR"/>
        </w:rPr>
        <w:tab/>
      </w:r>
    </w:p>
    <w:p w:rsidR="00124E6E" w:rsidRDefault="00124E6E" w:rsidP="00FE3F4F">
      <w:pPr>
        <w:pStyle w:val="SingleTxtG"/>
        <w:tabs>
          <w:tab w:val="left" w:pos="2268"/>
        </w:tabs>
        <w:ind w:left="2259" w:hanging="1125"/>
        <w:rPr>
          <w:szCs w:val="24"/>
          <w:lang w:val="fr-FR"/>
        </w:rPr>
      </w:pPr>
      <w:r>
        <w:rPr>
          <w:szCs w:val="24"/>
        </w:rPr>
        <w:tab/>
        <w:t>Remplacer</w:t>
      </w:r>
      <w:r>
        <w:rPr>
          <w:szCs w:val="24"/>
          <w:lang w:val="fr-FR"/>
        </w:rPr>
        <w:t xml:space="preserve"> « de l’</w:t>
      </w:r>
      <w:r w:rsidRPr="00640C9E">
        <w:rPr>
          <w:szCs w:val="24"/>
          <w:lang w:val="fr-FR"/>
        </w:rPr>
        <w:t xml:space="preserve">intensité </w:t>
      </w:r>
      <w:r>
        <w:rPr>
          <w:szCs w:val="24"/>
          <w:lang w:val="fr-FR"/>
        </w:rPr>
        <w:t xml:space="preserve">maximale </w:t>
      </w:r>
      <w:r w:rsidRPr="00640C9E">
        <w:rPr>
          <w:szCs w:val="24"/>
          <w:lang w:val="fr-FR"/>
        </w:rPr>
        <w:t>de rayonnement</w:t>
      </w:r>
      <w:r>
        <w:rPr>
          <w:szCs w:val="24"/>
          <w:lang w:val="fr-FR"/>
        </w:rPr>
        <w:t> »</w:t>
      </w:r>
      <w:r w:rsidRPr="00640C9E">
        <w:rPr>
          <w:szCs w:val="24"/>
          <w:lang w:val="fr-FR"/>
        </w:rPr>
        <w:t xml:space="preserve"> par </w:t>
      </w:r>
      <w:r>
        <w:rPr>
          <w:szCs w:val="24"/>
          <w:lang w:val="fr-FR"/>
        </w:rPr>
        <w:t xml:space="preserve">« du </w:t>
      </w:r>
      <w:r w:rsidRPr="00640C9E">
        <w:rPr>
          <w:szCs w:val="24"/>
          <w:lang w:val="fr-FR"/>
        </w:rPr>
        <w:t>débit de dose</w:t>
      </w:r>
      <w:r>
        <w:rPr>
          <w:szCs w:val="24"/>
          <w:lang w:val="fr-FR"/>
        </w:rPr>
        <w:t xml:space="preserve"> maximal ».</w:t>
      </w:r>
    </w:p>
    <w:p w:rsidR="00124E6E" w:rsidRDefault="00124E6E" w:rsidP="00FE3F4F">
      <w:pPr>
        <w:pStyle w:val="SingleTxtG"/>
        <w:tabs>
          <w:tab w:val="left" w:pos="2268"/>
        </w:tabs>
        <w:ind w:left="2259" w:hanging="1125"/>
        <w:rPr>
          <w:szCs w:val="24"/>
          <w:lang w:val="fr-FR"/>
        </w:rPr>
      </w:pPr>
      <w:r>
        <w:rPr>
          <w:szCs w:val="24"/>
          <w:lang w:val="fr-FR"/>
        </w:rPr>
        <w:t>6.4.5.4.2 c)</w:t>
      </w:r>
      <w:r>
        <w:rPr>
          <w:szCs w:val="24"/>
          <w:lang w:val="fr-FR"/>
        </w:rPr>
        <w:tab/>
      </w:r>
      <w:r>
        <w:rPr>
          <w:szCs w:val="24"/>
        </w:rPr>
        <w:tab/>
        <w:t>Remplacer</w:t>
      </w:r>
      <w:r>
        <w:rPr>
          <w:szCs w:val="24"/>
          <w:lang w:val="fr-FR"/>
        </w:rPr>
        <w:t xml:space="preserve"> « de l’</w:t>
      </w:r>
      <w:r w:rsidRPr="00640C9E">
        <w:rPr>
          <w:szCs w:val="24"/>
          <w:lang w:val="fr-FR"/>
        </w:rPr>
        <w:t xml:space="preserve">intensité </w:t>
      </w:r>
      <w:r>
        <w:rPr>
          <w:szCs w:val="24"/>
          <w:lang w:val="fr-FR"/>
        </w:rPr>
        <w:t xml:space="preserve">maximale </w:t>
      </w:r>
      <w:r w:rsidRPr="00640C9E">
        <w:rPr>
          <w:szCs w:val="24"/>
          <w:lang w:val="fr-FR"/>
        </w:rPr>
        <w:t>de rayonnement</w:t>
      </w:r>
      <w:r>
        <w:rPr>
          <w:szCs w:val="24"/>
          <w:lang w:val="fr-FR"/>
        </w:rPr>
        <w:t> »</w:t>
      </w:r>
      <w:r w:rsidRPr="00640C9E">
        <w:rPr>
          <w:szCs w:val="24"/>
          <w:lang w:val="fr-FR"/>
        </w:rPr>
        <w:t xml:space="preserve"> par </w:t>
      </w:r>
      <w:r>
        <w:rPr>
          <w:szCs w:val="24"/>
          <w:lang w:val="fr-FR"/>
        </w:rPr>
        <w:t xml:space="preserve">« du </w:t>
      </w:r>
      <w:r w:rsidRPr="00640C9E">
        <w:rPr>
          <w:szCs w:val="24"/>
          <w:lang w:val="fr-FR"/>
        </w:rPr>
        <w:t>débit de dose</w:t>
      </w:r>
      <w:r>
        <w:rPr>
          <w:szCs w:val="24"/>
          <w:lang w:val="fr-FR"/>
        </w:rPr>
        <w:t xml:space="preserve"> maximal ».</w:t>
      </w:r>
    </w:p>
    <w:p w:rsidR="00124E6E" w:rsidRPr="00640C9E" w:rsidRDefault="00124E6E" w:rsidP="00FE3F4F">
      <w:pPr>
        <w:pStyle w:val="SingleTxtG"/>
        <w:tabs>
          <w:tab w:val="left" w:pos="2268"/>
        </w:tabs>
        <w:ind w:left="2259" w:hanging="1125"/>
        <w:rPr>
          <w:szCs w:val="24"/>
        </w:rPr>
      </w:pPr>
      <w:r w:rsidRPr="00640C9E">
        <w:rPr>
          <w:szCs w:val="24"/>
          <w:lang w:val="fr-FR"/>
        </w:rPr>
        <w:t>6.4.5.4.3</w:t>
      </w:r>
      <w:r w:rsidRPr="00640C9E">
        <w:rPr>
          <w:szCs w:val="24"/>
          <w:lang w:val="fr-FR"/>
        </w:rPr>
        <w:tab/>
        <w:t xml:space="preserve">Dans la première phrase, supprimer </w:t>
      </w:r>
      <w:r>
        <w:rPr>
          <w:szCs w:val="24"/>
          <w:lang w:val="fr-FR"/>
        </w:rPr>
        <w:t>« </w:t>
      </w:r>
      <w:r w:rsidRPr="00640C9E">
        <w:rPr>
          <w:szCs w:val="24"/>
          <w:lang w:val="fr-FR"/>
        </w:rPr>
        <w:t>sous forme liquide et gazeuse</w:t>
      </w:r>
      <w:r>
        <w:rPr>
          <w:szCs w:val="24"/>
          <w:lang w:val="fr-FR"/>
        </w:rPr>
        <w:t> »</w:t>
      </w:r>
      <w:r w:rsidRPr="00640C9E">
        <w:rPr>
          <w:szCs w:val="24"/>
          <w:lang w:val="fr-FR"/>
        </w:rPr>
        <w:t>.</w:t>
      </w:r>
    </w:p>
    <w:p w:rsidR="00124E6E" w:rsidRPr="00455982" w:rsidRDefault="00124E6E" w:rsidP="00FE3F4F">
      <w:pPr>
        <w:pStyle w:val="SingleTxtG"/>
        <w:tabs>
          <w:tab w:val="left" w:pos="2268"/>
        </w:tabs>
        <w:ind w:left="2259" w:hanging="1125"/>
        <w:rPr>
          <w:lang w:val="fr-FR"/>
        </w:rPr>
      </w:pPr>
      <w:r>
        <w:t>6.4.5.4.3 c)</w:t>
      </w:r>
      <w:r>
        <w:tab/>
      </w:r>
      <w:r>
        <w:rPr>
          <w:szCs w:val="24"/>
        </w:rPr>
        <w:tab/>
        <w:t>Remplacer</w:t>
      </w:r>
      <w:r>
        <w:rPr>
          <w:szCs w:val="24"/>
          <w:lang w:val="fr-FR"/>
        </w:rPr>
        <w:t xml:space="preserve"> « de l’</w:t>
      </w:r>
      <w:r w:rsidRPr="00640C9E">
        <w:rPr>
          <w:szCs w:val="24"/>
          <w:lang w:val="fr-FR"/>
        </w:rPr>
        <w:t xml:space="preserve">intensité </w:t>
      </w:r>
      <w:r>
        <w:rPr>
          <w:szCs w:val="24"/>
          <w:lang w:val="fr-FR"/>
        </w:rPr>
        <w:t xml:space="preserve">maximale </w:t>
      </w:r>
      <w:r w:rsidRPr="00640C9E">
        <w:rPr>
          <w:szCs w:val="24"/>
          <w:lang w:val="fr-FR"/>
        </w:rPr>
        <w:t>de rayonnement</w:t>
      </w:r>
      <w:r>
        <w:rPr>
          <w:szCs w:val="24"/>
          <w:lang w:val="fr-FR"/>
        </w:rPr>
        <w:t> »</w:t>
      </w:r>
      <w:r w:rsidRPr="00640C9E">
        <w:rPr>
          <w:szCs w:val="24"/>
          <w:lang w:val="fr-FR"/>
        </w:rPr>
        <w:t xml:space="preserve"> par </w:t>
      </w:r>
      <w:r>
        <w:rPr>
          <w:szCs w:val="24"/>
          <w:lang w:val="fr-FR"/>
        </w:rPr>
        <w:t xml:space="preserve">« du </w:t>
      </w:r>
      <w:r w:rsidRPr="00640C9E">
        <w:rPr>
          <w:szCs w:val="24"/>
          <w:lang w:val="fr-FR"/>
        </w:rPr>
        <w:t>débit de dose</w:t>
      </w:r>
      <w:r>
        <w:rPr>
          <w:szCs w:val="24"/>
          <w:lang w:val="fr-FR"/>
        </w:rPr>
        <w:t xml:space="preserve"> maximal ».</w:t>
      </w:r>
    </w:p>
    <w:p w:rsidR="00361A7A" w:rsidRDefault="00124E6E" w:rsidP="00124E6E">
      <w:pPr>
        <w:pStyle w:val="SingleTxtG"/>
        <w:ind w:left="2268" w:hanging="1134"/>
      </w:pPr>
      <w:r>
        <w:t>6.4.5.4.4 c) ii)</w:t>
      </w:r>
      <w:r>
        <w:tab/>
      </w:r>
      <w:r>
        <w:tab/>
      </w:r>
    </w:p>
    <w:p w:rsidR="00124E6E" w:rsidRDefault="00124E6E" w:rsidP="00124E6E">
      <w:pPr>
        <w:pStyle w:val="SingleTxtG"/>
        <w:ind w:left="2268" w:hanging="1134"/>
      </w:pPr>
      <w:r>
        <w:tab/>
      </w:r>
      <w:r>
        <w:rPr>
          <w:szCs w:val="24"/>
        </w:rPr>
        <w:t>Remplacer</w:t>
      </w:r>
      <w:r>
        <w:rPr>
          <w:szCs w:val="24"/>
          <w:lang w:val="fr-FR"/>
        </w:rPr>
        <w:t xml:space="preserve"> « de l’</w:t>
      </w:r>
      <w:r w:rsidRPr="00640C9E">
        <w:rPr>
          <w:szCs w:val="24"/>
          <w:lang w:val="fr-FR"/>
        </w:rPr>
        <w:t xml:space="preserve">intensité </w:t>
      </w:r>
      <w:r>
        <w:rPr>
          <w:szCs w:val="24"/>
          <w:lang w:val="fr-FR"/>
        </w:rPr>
        <w:t xml:space="preserve">maximale </w:t>
      </w:r>
      <w:r w:rsidRPr="00640C9E">
        <w:rPr>
          <w:szCs w:val="24"/>
          <w:lang w:val="fr-FR"/>
        </w:rPr>
        <w:t>de rayonnement</w:t>
      </w:r>
      <w:r>
        <w:rPr>
          <w:szCs w:val="24"/>
          <w:lang w:val="fr-FR"/>
        </w:rPr>
        <w:t> »</w:t>
      </w:r>
      <w:r w:rsidRPr="00640C9E">
        <w:rPr>
          <w:szCs w:val="24"/>
          <w:lang w:val="fr-FR"/>
        </w:rPr>
        <w:t xml:space="preserve"> par </w:t>
      </w:r>
      <w:r>
        <w:rPr>
          <w:szCs w:val="24"/>
          <w:lang w:val="fr-FR"/>
        </w:rPr>
        <w:t xml:space="preserve">« du </w:t>
      </w:r>
      <w:r w:rsidRPr="00640C9E">
        <w:rPr>
          <w:szCs w:val="24"/>
          <w:lang w:val="fr-FR"/>
        </w:rPr>
        <w:t>débit de dose</w:t>
      </w:r>
      <w:r>
        <w:rPr>
          <w:szCs w:val="24"/>
          <w:lang w:val="fr-FR"/>
        </w:rPr>
        <w:t xml:space="preserve"> maximal ».</w:t>
      </w:r>
    </w:p>
    <w:p w:rsidR="00361A7A" w:rsidRDefault="00124E6E" w:rsidP="00FE3F4F">
      <w:pPr>
        <w:pStyle w:val="SingleTxtG"/>
        <w:tabs>
          <w:tab w:val="left" w:pos="2268"/>
        </w:tabs>
        <w:ind w:left="2259" w:hanging="1125"/>
      </w:pPr>
      <w:r>
        <w:t>6.4.5.4.5 b) ii)</w:t>
      </w:r>
    </w:p>
    <w:p w:rsidR="00124E6E" w:rsidRDefault="00124E6E" w:rsidP="00FE3F4F">
      <w:pPr>
        <w:pStyle w:val="SingleTxtG"/>
        <w:tabs>
          <w:tab w:val="left" w:pos="2268"/>
        </w:tabs>
        <w:ind w:left="2259" w:hanging="1125"/>
      </w:pPr>
      <w:r>
        <w:tab/>
      </w:r>
      <w:r>
        <w:rPr>
          <w:szCs w:val="24"/>
        </w:rPr>
        <w:t>Remplacer</w:t>
      </w:r>
      <w:r>
        <w:rPr>
          <w:szCs w:val="24"/>
          <w:lang w:val="fr-FR"/>
        </w:rPr>
        <w:t xml:space="preserve"> « de l’</w:t>
      </w:r>
      <w:r w:rsidRPr="00640C9E">
        <w:rPr>
          <w:szCs w:val="24"/>
          <w:lang w:val="fr-FR"/>
        </w:rPr>
        <w:t xml:space="preserve">intensité </w:t>
      </w:r>
      <w:r>
        <w:rPr>
          <w:szCs w:val="24"/>
          <w:lang w:val="fr-FR"/>
        </w:rPr>
        <w:t xml:space="preserve">maximale </w:t>
      </w:r>
      <w:r w:rsidRPr="00640C9E">
        <w:rPr>
          <w:szCs w:val="24"/>
          <w:lang w:val="fr-FR"/>
        </w:rPr>
        <w:t>de rayonnement</w:t>
      </w:r>
      <w:r>
        <w:rPr>
          <w:szCs w:val="24"/>
          <w:lang w:val="fr-FR"/>
        </w:rPr>
        <w:t> »</w:t>
      </w:r>
      <w:r w:rsidRPr="00640C9E">
        <w:rPr>
          <w:szCs w:val="24"/>
          <w:lang w:val="fr-FR"/>
        </w:rPr>
        <w:t xml:space="preserve"> par </w:t>
      </w:r>
      <w:r>
        <w:rPr>
          <w:szCs w:val="24"/>
          <w:lang w:val="fr-FR"/>
        </w:rPr>
        <w:t xml:space="preserve">« du </w:t>
      </w:r>
      <w:r w:rsidRPr="00640C9E">
        <w:rPr>
          <w:szCs w:val="24"/>
          <w:lang w:val="fr-FR"/>
        </w:rPr>
        <w:t>débit de dose</w:t>
      </w:r>
      <w:r>
        <w:rPr>
          <w:szCs w:val="24"/>
          <w:lang w:val="fr-FR"/>
        </w:rPr>
        <w:t xml:space="preserve"> maximal ».</w:t>
      </w:r>
    </w:p>
    <w:p w:rsidR="00124E6E" w:rsidRPr="00640C9E" w:rsidRDefault="00124E6E" w:rsidP="00FE3F4F">
      <w:pPr>
        <w:pStyle w:val="SingleTxtG"/>
        <w:tabs>
          <w:tab w:val="left" w:pos="2268"/>
        </w:tabs>
        <w:ind w:left="2259" w:hanging="1125"/>
        <w:rPr>
          <w:szCs w:val="24"/>
        </w:rPr>
      </w:pPr>
      <w:r w:rsidRPr="00640C9E">
        <w:rPr>
          <w:szCs w:val="24"/>
          <w:lang w:val="fr-FR"/>
        </w:rPr>
        <w:t>6.4.6.2</w:t>
      </w:r>
      <w:r w:rsidRPr="00640C9E">
        <w:rPr>
          <w:szCs w:val="24"/>
          <w:lang w:val="fr-FR"/>
        </w:rPr>
        <w:tab/>
      </w:r>
      <w:r w:rsidRPr="00640C9E">
        <w:rPr>
          <w:szCs w:val="24"/>
          <w:lang w:val="fr-FR"/>
        </w:rPr>
        <w:tab/>
      </w:r>
      <w:r>
        <w:rPr>
          <w:szCs w:val="24"/>
          <w:lang w:val="fr-FR"/>
        </w:rPr>
        <w:t>L’amendement à la version anglaise est sans objet en français</w:t>
      </w:r>
      <w:r w:rsidRPr="00640C9E">
        <w:rPr>
          <w:szCs w:val="24"/>
          <w:lang w:val="fr-FR"/>
        </w:rPr>
        <w:t xml:space="preserve">. </w:t>
      </w:r>
    </w:p>
    <w:p w:rsidR="00124E6E" w:rsidRPr="00640C9E" w:rsidRDefault="00124E6E" w:rsidP="00FE3F4F">
      <w:pPr>
        <w:pStyle w:val="SingleTxtG"/>
        <w:tabs>
          <w:tab w:val="left" w:pos="2268"/>
        </w:tabs>
        <w:ind w:left="2259" w:hanging="1125"/>
        <w:rPr>
          <w:szCs w:val="24"/>
        </w:rPr>
      </w:pPr>
      <w:r w:rsidRPr="00640C9E">
        <w:rPr>
          <w:szCs w:val="24"/>
          <w:lang w:val="fr-FR"/>
        </w:rPr>
        <w:t>6.4.7.9</w:t>
      </w:r>
      <w:r w:rsidRPr="00640C9E">
        <w:rPr>
          <w:szCs w:val="24"/>
          <w:lang w:val="fr-FR"/>
        </w:rPr>
        <w:tab/>
      </w:r>
      <w:r w:rsidRPr="00640C9E">
        <w:rPr>
          <w:szCs w:val="24"/>
          <w:lang w:val="fr-FR"/>
        </w:rPr>
        <w:tab/>
      </w:r>
      <w:r>
        <w:rPr>
          <w:szCs w:val="24"/>
          <w:lang w:val="fr-FR"/>
        </w:rPr>
        <w:t>L’amendement à la version anglaise est sans objet en français</w:t>
      </w:r>
      <w:r w:rsidRPr="00640C9E">
        <w:rPr>
          <w:szCs w:val="24"/>
          <w:lang w:val="fr-FR"/>
        </w:rPr>
        <w:t>.</w:t>
      </w:r>
    </w:p>
    <w:p w:rsidR="00124E6E" w:rsidRDefault="00124E6E" w:rsidP="00FE3F4F">
      <w:pPr>
        <w:pStyle w:val="SingleTxtG"/>
        <w:tabs>
          <w:tab w:val="left" w:pos="2268"/>
        </w:tabs>
        <w:ind w:left="2259" w:hanging="1125"/>
      </w:pPr>
      <w:r>
        <w:t>6.4.7.14 b)</w:t>
      </w:r>
      <w:r>
        <w:tab/>
      </w:r>
      <w:r>
        <w:rPr>
          <w:szCs w:val="24"/>
        </w:rPr>
        <w:t>Remplacer</w:t>
      </w:r>
      <w:r>
        <w:rPr>
          <w:szCs w:val="24"/>
          <w:lang w:val="fr-FR"/>
        </w:rPr>
        <w:t xml:space="preserve"> « de l’</w:t>
      </w:r>
      <w:r w:rsidRPr="00640C9E">
        <w:rPr>
          <w:szCs w:val="24"/>
          <w:lang w:val="fr-FR"/>
        </w:rPr>
        <w:t xml:space="preserve">intensité </w:t>
      </w:r>
      <w:r>
        <w:rPr>
          <w:szCs w:val="24"/>
          <w:lang w:val="fr-FR"/>
        </w:rPr>
        <w:t xml:space="preserve">maximale </w:t>
      </w:r>
      <w:r w:rsidRPr="00640C9E">
        <w:rPr>
          <w:szCs w:val="24"/>
          <w:lang w:val="fr-FR"/>
        </w:rPr>
        <w:t>de rayonnement</w:t>
      </w:r>
      <w:r>
        <w:rPr>
          <w:szCs w:val="24"/>
          <w:lang w:val="fr-FR"/>
        </w:rPr>
        <w:t> »</w:t>
      </w:r>
      <w:r w:rsidRPr="00640C9E">
        <w:rPr>
          <w:szCs w:val="24"/>
          <w:lang w:val="fr-FR"/>
        </w:rPr>
        <w:t xml:space="preserve"> par </w:t>
      </w:r>
      <w:r>
        <w:rPr>
          <w:szCs w:val="24"/>
          <w:lang w:val="fr-FR"/>
        </w:rPr>
        <w:t xml:space="preserve">« du </w:t>
      </w:r>
      <w:r w:rsidRPr="00640C9E">
        <w:rPr>
          <w:szCs w:val="24"/>
          <w:lang w:val="fr-FR"/>
        </w:rPr>
        <w:t>débit de dose</w:t>
      </w:r>
      <w:r>
        <w:rPr>
          <w:szCs w:val="24"/>
          <w:lang w:val="fr-FR"/>
        </w:rPr>
        <w:t xml:space="preserve"> maximal ».</w:t>
      </w:r>
    </w:p>
    <w:p w:rsidR="00124E6E" w:rsidRPr="00640C9E" w:rsidRDefault="00124E6E" w:rsidP="00FE3F4F">
      <w:pPr>
        <w:pStyle w:val="SingleTxtG"/>
        <w:tabs>
          <w:tab w:val="left" w:pos="2268"/>
        </w:tabs>
        <w:ind w:left="2259" w:hanging="1125"/>
        <w:rPr>
          <w:szCs w:val="24"/>
        </w:rPr>
      </w:pPr>
      <w:r w:rsidRPr="00640C9E">
        <w:rPr>
          <w:szCs w:val="24"/>
          <w:lang w:val="fr-FR"/>
        </w:rPr>
        <w:t>6.4.7.17</w:t>
      </w:r>
      <w:r w:rsidRPr="00640C9E">
        <w:rPr>
          <w:szCs w:val="24"/>
          <w:lang w:val="fr-FR"/>
        </w:rPr>
        <w:tab/>
        <w:t>Modifier pour lire comme suit</w:t>
      </w:r>
      <w:r>
        <w:rPr>
          <w:szCs w:val="24"/>
          <w:lang w:val="fr-FR"/>
        </w:rPr>
        <w:t> :</w:t>
      </w:r>
    </w:p>
    <w:p w:rsidR="00124E6E" w:rsidRPr="00640C9E" w:rsidRDefault="00124E6E" w:rsidP="00FE3F4F">
      <w:pPr>
        <w:pStyle w:val="SingleTxtG"/>
        <w:tabs>
          <w:tab w:val="left" w:pos="2268"/>
        </w:tabs>
        <w:ind w:left="2259" w:hanging="1125"/>
        <w:rPr>
          <w:szCs w:val="24"/>
        </w:rPr>
      </w:pPr>
      <w:r>
        <w:rPr>
          <w:szCs w:val="24"/>
          <w:lang w:val="fr-FR"/>
        </w:rPr>
        <w:t>« 6.4.7.17</w:t>
      </w:r>
      <w:r>
        <w:rPr>
          <w:szCs w:val="24"/>
          <w:lang w:val="fr-FR"/>
        </w:rPr>
        <w:tab/>
      </w:r>
      <w:r w:rsidRPr="00640C9E">
        <w:rPr>
          <w:szCs w:val="24"/>
          <w:lang w:val="fr-FR"/>
        </w:rPr>
        <w:t>Un</w:t>
      </w:r>
      <w:r>
        <w:rPr>
          <w:szCs w:val="24"/>
          <w:lang w:val="fr-FR"/>
        </w:rPr>
        <w:t xml:space="preserve"> </w:t>
      </w:r>
      <w:r w:rsidRPr="00640C9E">
        <w:rPr>
          <w:szCs w:val="24"/>
          <w:lang w:val="fr-FR"/>
        </w:rPr>
        <w:t>colis</w:t>
      </w:r>
      <w:r>
        <w:rPr>
          <w:szCs w:val="24"/>
          <w:lang w:val="fr-FR"/>
        </w:rPr>
        <w:t xml:space="preserve"> </w:t>
      </w:r>
      <w:r w:rsidRPr="00640C9E">
        <w:rPr>
          <w:szCs w:val="24"/>
          <w:lang w:val="fr-FR"/>
        </w:rPr>
        <w:t>du type A conçu</w:t>
      </w:r>
      <w:r>
        <w:rPr>
          <w:szCs w:val="24"/>
          <w:lang w:val="fr-FR"/>
        </w:rPr>
        <w:t xml:space="preserve"> </w:t>
      </w:r>
      <w:r w:rsidRPr="00640C9E">
        <w:rPr>
          <w:szCs w:val="24"/>
          <w:lang w:val="fr-FR"/>
        </w:rPr>
        <w:t>pour le</w:t>
      </w:r>
      <w:r>
        <w:rPr>
          <w:szCs w:val="24"/>
          <w:lang w:val="fr-FR"/>
        </w:rPr>
        <w:t xml:space="preserve"> </w:t>
      </w:r>
      <w:r w:rsidRPr="00640C9E">
        <w:rPr>
          <w:szCs w:val="24"/>
          <w:lang w:val="fr-FR"/>
        </w:rPr>
        <w:t>transport</w:t>
      </w:r>
      <w:r>
        <w:rPr>
          <w:szCs w:val="24"/>
          <w:lang w:val="fr-FR"/>
        </w:rPr>
        <w:t xml:space="preserve"> </w:t>
      </w:r>
      <w:r w:rsidRPr="00640C9E">
        <w:rPr>
          <w:szCs w:val="24"/>
          <w:lang w:val="fr-FR"/>
        </w:rPr>
        <w:t>de</w:t>
      </w:r>
      <w:r>
        <w:rPr>
          <w:szCs w:val="24"/>
          <w:lang w:val="fr-FR"/>
        </w:rPr>
        <w:t xml:space="preserve"> </w:t>
      </w:r>
      <w:r w:rsidRPr="00640C9E">
        <w:rPr>
          <w:szCs w:val="24"/>
          <w:lang w:val="fr-FR"/>
        </w:rPr>
        <w:t>gaz</w:t>
      </w:r>
      <w:r>
        <w:rPr>
          <w:szCs w:val="24"/>
          <w:lang w:val="fr-FR"/>
        </w:rPr>
        <w:t xml:space="preserve"> </w:t>
      </w:r>
      <w:r w:rsidRPr="00640C9E">
        <w:rPr>
          <w:szCs w:val="24"/>
          <w:lang w:val="fr-FR"/>
        </w:rPr>
        <w:t>doit</w:t>
      </w:r>
      <w:r>
        <w:rPr>
          <w:szCs w:val="24"/>
          <w:lang w:val="fr-FR"/>
        </w:rPr>
        <w:t xml:space="preserve"> </w:t>
      </w:r>
      <w:r w:rsidRPr="00640C9E">
        <w:rPr>
          <w:szCs w:val="24"/>
          <w:lang w:val="fr-FR"/>
        </w:rPr>
        <w:t>empêcher la</w:t>
      </w:r>
      <w:r>
        <w:rPr>
          <w:szCs w:val="24"/>
          <w:lang w:val="fr-FR"/>
        </w:rPr>
        <w:t xml:space="preserve"> </w:t>
      </w:r>
      <w:r w:rsidRPr="00640C9E">
        <w:rPr>
          <w:szCs w:val="24"/>
          <w:lang w:val="fr-FR"/>
        </w:rPr>
        <w:t>perte</w:t>
      </w:r>
      <w:r>
        <w:rPr>
          <w:szCs w:val="24"/>
          <w:lang w:val="fr-FR"/>
        </w:rPr>
        <w:t xml:space="preserve"> </w:t>
      </w:r>
      <w:r w:rsidRPr="00640C9E">
        <w:rPr>
          <w:szCs w:val="24"/>
          <w:lang w:val="fr-FR"/>
        </w:rPr>
        <w:t>ou la</w:t>
      </w:r>
      <w:r>
        <w:rPr>
          <w:szCs w:val="24"/>
          <w:lang w:val="fr-FR"/>
        </w:rPr>
        <w:t xml:space="preserve"> </w:t>
      </w:r>
      <w:r w:rsidRPr="00640C9E">
        <w:rPr>
          <w:szCs w:val="24"/>
          <w:lang w:val="fr-FR"/>
        </w:rPr>
        <w:t>dispersion</w:t>
      </w:r>
      <w:r>
        <w:rPr>
          <w:szCs w:val="24"/>
          <w:lang w:val="fr-FR"/>
        </w:rPr>
        <w:t xml:space="preserve"> </w:t>
      </w:r>
      <w:r w:rsidRPr="00640C9E">
        <w:rPr>
          <w:szCs w:val="24"/>
          <w:lang w:val="fr-FR"/>
        </w:rPr>
        <w:t>du</w:t>
      </w:r>
      <w:r>
        <w:rPr>
          <w:szCs w:val="24"/>
          <w:lang w:val="fr-FR"/>
        </w:rPr>
        <w:t xml:space="preserve"> </w:t>
      </w:r>
      <w:r w:rsidRPr="00640C9E">
        <w:rPr>
          <w:szCs w:val="24"/>
          <w:lang w:val="fr-FR"/>
        </w:rPr>
        <w:t>contenu radioactif</w:t>
      </w:r>
      <w:r>
        <w:rPr>
          <w:szCs w:val="24"/>
          <w:lang w:val="fr-FR"/>
        </w:rPr>
        <w:t xml:space="preserve"> </w:t>
      </w:r>
      <w:r w:rsidRPr="00640C9E">
        <w:rPr>
          <w:szCs w:val="24"/>
          <w:lang w:val="fr-FR"/>
        </w:rPr>
        <w:t>s</w:t>
      </w:r>
      <w:r>
        <w:rPr>
          <w:szCs w:val="24"/>
          <w:lang w:val="fr-FR"/>
        </w:rPr>
        <w:t>’</w:t>
      </w:r>
      <w:r w:rsidRPr="00640C9E">
        <w:rPr>
          <w:szCs w:val="24"/>
          <w:lang w:val="fr-FR"/>
        </w:rPr>
        <w:t>il</w:t>
      </w:r>
      <w:r>
        <w:rPr>
          <w:szCs w:val="24"/>
          <w:lang w:val="fr-FR"/>
        </w:rPr>
        <w:t xml:space="preserve"> </w:t>
      </w:r>
      <w:r w:rsidRPr="00640C9E">
        <w:rPr>
          <w:szCs w:val="24"/>
          <w:lang w:val="fr-FR"/>
        </w:rPr>
        <w:t>est</w:t>
      </w:r>
      <w:r>
        <w:rPr>
          <w:szCs w:val="24"/>
          <w:lang w:val="fr-FR"/>
        </w:rPr>
        <w:t xml:space="preserve"> </w:t>
      </w:r>
      <w:r w:rsidRPr="00640C9E">
        <w:rPr>
          <w:szCs w:val="24"/>
          <w:lang w:val="fr-FR"/>
        </w:rPr>
        <w:t>soumis</w:t>
      </w:r>
      <w:r>
        <w:rPr>
          <w:szCs w:val="24"/>
          <w:lang w:val="fr-FR"/>
        </w:rPr>
        <w:t xml:space="preserve"> </w:t>
      </w:r>
      <w:r w:rsidRPr="00640C9E">
        <w:rPr>
          <w:szCs w:val="24"/>
          <w:lang w:val="fr-FR"/>
        </w:rPr>
        <w:t>aux</w:t>
      </w:r>
      <w:r>
        <w:rPr>
          <w:szCs w:val="24"/>
          <w:lang w:val="fr-FR"/>
        </w:rPr>
        <w:t xml:space="preserve"> </w:t>
      </w:r>
      <w:r w:rsidRPr="00640C9E">
        <w:rPr>
          <w:szCs w:val="24"/>
          <w:lang w:val="fr-FR"/>
        </w:rPr>
        <w:t>épreuves</w:t>
      </w:r>
      <w:r>
        <w:rPr>
          <w:szCs w:val="24"/>
          <w:lang w:val="fr-FR"/>
        </w:rPr>
        <w:t xml:space="preserve"> </w:t>
      </w:r>
      <w:r w:rsidRPr="00640C9E">
        <w:rPr>
          <w:szCs w:val="24"/>
          <w:lang w:val="fr-FR"/>
        </w:rPr>
        <w:t>spécifiées</w:t>
      </w:r>
      <w:r>
        <w:rPr>
          <w:szCs w:val="24"/>
          <w:lang w:val="fr-FR"/>
        </w:rPr>
        <w:t xml:space="preserve"> </w:t>
      </w:r>
      <w:r w:rsidRPr="00640C9E">
        <w:rPr>
          <w:szCs w:val="24"/>
          <w:lang w:val="fr-FR"/>
        </w:rPr>
        <w:t>au 6.4.16</w:t>
      </w:r>
      <w:r>
        <w:rPr>
          <w:szCs w:val="24"/>
          <w:lang w:val="fr-FR"/>
        </w:rPr>
        <w:t xml:space="preserve">, à l’exception d’un </w:t>
      </w:r>
      <w:r w:rsidRPr="00640C9E">
        <w:rPr>
          <w:szCs w:val="24"/>
          <w:lang w:val="fr-FR"/>
        </w:rPr>
        <w:t>colis</w:t>
      </w:r>
      <w:r>
        <w:rPr>
          <w:szCs w:val="24"/>
          <w:lang w:val="fr-FR"/>
        </w:rPr>
        <w:t xml:space="preserve"> </w:t>
      </w:r>
      <w:r w:rsidRPr="00640C9E">
        <w:rPr>
          <w:szCs w:val="24"/>
          <w:lang w:val="fr-FR"/>
        </w:rPr>
        <w:t>du</w:t>
      </w:r>
      <w:r>
        <w:rPr>
          <w:szCs w:val="24"/>
          <w:lang w:val="fr-FR"/>
        </w:rPr>
        <w:t xml:space="preserve"> </w:t>
      </w:r>
      <w:r w:rsidRPr="00640C9E">
        <w:rPr>
          <w:szCs w:val="24"/>
          <w:lang w:val="fr-FR"/>
        </w:rPr>
        <w:t>type</w:t>
      </w:r>
      <w:r>
        <w:rPr>
          <w:szCs w:val="24"/>
          <w:lang w:val="fr-FR"/>
        </w:rPr>
        <w:t xml:space="preserve"> </w:t>
      </w:r>
      <w:r w:rsidRPr="00640C9E">
        <w:rPr>
          <w:szCs w:val="24"/>
          <w:lang w:val="fr-FR"/>
        </w:rPr>
        <w:t>A</w:t>
      </w:r>
      <w:r>
        <w:rPr>
          <w:szCs w:val="24"/>
          <w:lang w:val="fr-FR"/>
        </w:rPr>
        <w:t xml:space="preserve"> </w:t>
      </w:r>
      <w:r w:rsidRPr="00640C9E">
        <w:rPr>
          <w:szCs w:val="24"/>
          <w:lang w:val="fr-FR"/>
        </w:rPr>
        <w:t>conçu</w:t>
      </w:r>
      <w:r>
        <w:rPr>
          <w:szCs w:val="24"/>
          <w:lang w:val="fr-FR"/>
        </w:rPr>
        <w:t xml:space="preserve"> </w:t>
      </w:r>
      <w:r w:rsidRPr="00640C9E">
        <w:rPr>
          <w:szCs w:val="24"/>
          <w:lang w:val="fr-FR"/>
        </w:rPr>
        <w:t>pour</w:t>
      </w:r>
      <w:r>
        <w:rPr>
          <w:szCs w:val="24"/>
          <w:lang w:val="fr-FR"/>
        </w:rPr>
        <w:t xml:space="preserve"> contenir du</w:t>
      </w:r>
      <w:r w:rsidRPr="00640C9E">
        <w:rPr>
          <w:szCs w:val="24"/>
          <w:lang w:val="fr-FR"/>
        </w:rPr>
        <w:t xml:space="preserve"> tritium ou de gaz rares.</w:t>
      </w:r>
      <w:r>
        <w:rPr>
          <w:szCs w:val="24"/>
          <w:lang w:val="fr-FR"/>
        </w:rPr>
        <w:t> ».</w:t>
      </w:r>
    </w:p>
    <w:p w:rsidR="00124E6E" w:rsidRPr="00640C9E" w:rsidRDefault="00124E6E" w:rsidP="00FE3F4F">
      <w:pPr>
        <w:pStyle w:val="SingleTxtG"/>
        <w:tabs>
          <w:tab w:val="left" w:pos="2268"/>
        </w:tabs>
        <w:ind w:left="2259" w:hanging="1125"/>
        <w:rPr>
          <w:szCs w:val="24"/>
        </w:rPr>
      </w:pPr>
      <w:r w:rsidRPr="00640C9E">
        <w:rPr>
          <w:szCs w:val="24"/>
          <w:lang w:val="fr-FR"/>
        </w:rPr>
        <w:t>6.4.8.2</w:t>
      </w:r>
      <w:r w:rsidRPr="00640C9E">
        <w:rPr>
          <w:szCs w:val="24"/>
          <w:lang w:val="fr-FR"/>
        </w:rPr>
        <w:tab/>
      </w:r>
      <w:r w:rsidRPr="00640C9E">
        <w:rPr>
          <w:szCs w:val="24"/>
          <w:lang w:val="fr-FR"/>
        </w:rPr>
        <w:tab/>
      </w:r>
      <w:r>
        <w:rPr>
          <w:szCs w:val="24"/>
          <w:lang w:val="fr-FR"/>
        </w:rPr>
        <w:t>L’amendement à la version anglaise est sans objet en français</w:t>
      </w:r>
      <w:r w:rsidRPr="00640C9E">
        <w:rPr>
          <w:szCs w:val="24"/>
          <w:lang w:val="fr-FR"/>
        </w:rPr>
        <w:t xml:space="preserve">. </w:t>
      </w:r>
    </w:p>
    <w:p w:rsidR="00124E6E" w:rsidRPr="00640C9E" w:rsidRDefault="00124E6E" w:rsidP="00FE3F4F">
      <w:pPr>
        <w:pStyle w:val="SingleTxtG"/>
        <w:tabs>
          <w:tab w:val="left" w:pos="2268"/>
        </w:tabs>
        <w:ind w:left="2259" w:hanging="1125"/>
        <w:rPr>
          <w:szCs w:val="24"/>
        </w:rPr>
      </w:pPr>
      <w:r w:rsidRPr="00640C9E">
        <w:rPr>
          <w:szCs w:val="24"/>
          <w:lang w:val="fr-FR"/>
        </w:rPr>
        <w:t>6.4.8.8</w:t>
      </w:r>
      <w:r w:rsidRPr="00640C9E">
        <w:rPr>
          <w:szCs w:val="24"/>
          <w:lang w:val="fr-FR"/>
        </w:rPr>
        <w:tab/>
      </w:r>
      <w:r w:rsidRPr="00640C9E">
        <w:rPr>
          <w:szCs w:val="24"/>
          <w:lang w:val="fr-FR"/>
        </w:rPr>
        <w:tab/>
        <w:t xml:space="preserve">Au premier tiret suivant les alinéas, remplacer </w:t>
      </w:r>
      <w:r>
        <w:rPr>
          <w:szCs w:val="24"/>
          <w:lang w:val="fr-FR"/>
        </w:rPr>
        <w:t>« 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w:t>
      </w:r>
      <w:r w:rsidRPr="00640C9E">
        <w:rPr>
          <w:szCs w:val="24"/>
          <w:lang w:val="fr-FR"/>
        </w:rPr>
        <w:t xml:space="preserve"> </w:t>
      </w:r>
      <w:r>
        <w:rPr>
          <w:szCs w:val="24"/>
          <w:lang w:val="fr-FR"/>
        </w:rPr>
        <w:t>Au dernier paragraphe</w:t>
      </w:r>
      <w:r w:rsidRPr="00640C9E">
        <w:rPr>
          <w:szCs w:val="24"/>
          <w:lang w:val="fr-FR"/>
        </w:rPr>
        <w:t xml:space="preserve">, remplacer </w:t>
      </w:r>
      <w:r>
        <w:rPr>
          <w:szCs w:val="24"/>
          <w:lang w:val="fr-FR"/>
        </w:rPr>
        <w:t>« </w:t>
      </w:r>
      <w:r w:rsidRPr="00640C9E">
        <w:rPr>
          <w:szCs w:val="24"/>
          <w:lang w:val="fr-FR"/>
        </w:rPr>
        <w:t>limitations de la contamination externe</w:t>
      </w:r>
      <w:r>
        <w:rPr>
          <w:szCs w:val="24"/>
          <w:lang w:val="fr-FR"/>
        </w:rPr>
        <w:t> »</w:t>
      </w:r>
      <w:r w:rsidRPr="00640C9E">
        <w:rPr>
          <w:szCs w:val="24"/>
          <w:lang w:val="fr-FR"/>
        </w:rPr>
        <w:t xml:space="preserve"> par </w:t>
      </w:r>
      <w:r>
        <w:rPr>
          <w:szCs w:val="24"/>
          <w:lang w:val="fr-FR"/>
        </w:rPr>
        <w:t>« </w:t>
      </w:r>
      <w:r w:rsidRPr="00640C9E">
        <w:rPr>
          <w:szCs w:val="24"/>
          <w:lang w:val="fr-FR"/>
        </w:rPr>
        <w:t>limitations de la contamination non fixée externe</w:t>
      </w:r>
      <w:r>
        <w:rPr>
          <w:szCs w:val="24"/>
          <w:lang w:val="fr-FR"/>
        </w:rPr>
        <w:t> »</w:t>
      </w:r>
      <w:r w:rsidRPr="00640C9E">
        <w:rPr>
          <w:szCs w:val="24"/>
          <w:lang w:val="fr-FR"/>
        </w:rPr>
        <w:t>.</w:t>
      </w:r>
    </w:p>
    <w:p w:rsidR="00124E6E" w:rsidRPr="00640C9E" w:rsidRDefault="00124E6E" w:rsidP="00FE3F4F">
      <w:pPr>
        <w:pStyle w:val="SingleTxtG"/>
        <w:tabs>
          <w:tab w:val="left" w:pos="2268"/>
        </w:tabs>
        <w:ind w:left="2259" w:hanging="1125"/>
        <w:rPr>
          <w:szCs w:val="24"/>
        </w:rPr>
      </w:pPr>
      <w:r w:rsidRPr="00640C9E">
        <w:rPr>
          <w:szCs w:val="24"/>
          <w:lang w:val="fr-FR"/>
        </w:rPr>
        <w:t>6.4.9.1</w:t>
      </w:r>
      <w:r w:rsidRPr="00640C9E">
        <w:rPr>
          <w:szCs w:val="24"/>
          <w:lang w:val="fr-FR"/>
        </w:rPr>
        <w:tab/>
        <w:t xml:space="preserve">À la fin de la deuxième phrase, supprimer </w:t>
      </w:r>
      <w:r>
        <w:rPr>
          <w:szCs w:val="24"/>
          <w:lang w:val="fr-FR"/>
        </w:rPr>
        <w:t>« </w:t>
      </w:r>
      <w:r w:rsidRPr="00640C9E">
        <w:rPr>
          <w:szCs w:val="24"/>
          <w:lang w:val="fr-FR"/>
        </w:rPr>
        <w:t>néanmoins</w:t>
      </w:r>
      <w:r>
        <w:rPr>
          <w:szCs w:val="24"/>
          <w:lang w:val="fr-FR"/>
        </w:rPr>
        <w:t> »</w:t>
      </w:r>
      <w:r w:rsidRPr="00640C9E">
        <w:rPr>
          <w:szCs w:val="24"/>
          <w:lang w:val="fr-FR"/>
        </w:rPr>
        <w:t>.</w:t>
      </w:r>
    </w:p>
    <w:p w:rsidR="00124E6E" w:rsidRDefault="00124E6E" w:rsidP="00FE3F4F">
      <w:pPr>
        <w:pStyle w:val="SingleTxtG"/>
        <w:tabs>
          <w:tab w:val="left" w:pos="2268"/>
        </w:tabs>
        <w:ind w:left="2259" w:hanging="1125"/>
      </w:pPr>
      <w:r>
        <w:t>6.4.10.3 b) i)</w:t>
      </w:r>
      <w:r>
        <w:tab/>
      </w:r>
      <w:r>
        <w:rPr>
          <w:szCs w:val="24"/>
        </w:rPr>
        <w:t>Remplacer</w:t>
      </w:r>
      <w:r>
        <w:rPr>
          <w:szCs w:val="24"/>
          <w:lang w:val="fr-FR"/>
        </w:rPr>
        <w:t xml:space="preserve"> « l’</w:t>
      </w:r>
      <w:r w:rsidRPr="00640C9E">
        <w:rPr>
          <w:szCs w:val="24"/>
          <w:lang w:val="fr-FR"/>
        </w:rPr>
        <w:t>intensité de rayonnement</w:t>
      </w:r>
      <w:r>
        <w:rPr>
          <w:szCs w:val="24"/>
          <w:lang w:val="fr-FR"/>
        </w:rPr>
        <w:t>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w:t>
      </w:r>
    </w:p>
    <w:p w:rsidR="00124E6E" w:rsidRPr="00640C9E" w:rsidRDefault="00124E6E" w:rsidP="00FE3F4F">
      <w:pPr>
        <w:pStyle w:val="SingleTxtG"/>
        <w:tabs>
          <w:tab w:val="left" w:pos="2268"/>
        </w:tabs>
        <w:ind w:left="2259" w:hanging="1125"/>
        <w:rPr>
          <w:szCs w:val="24"/>
        </w:rPr>
      </w:pPr>
      <w:r w:rsidRPr="00640C9E">
        <w:rPr>
          <w:szCs w:val="24"/>
          <w:lang w:val="fr-FR"/>
        </w:rPr>
        <w:t>6.4.11.2</w:t>
      </w:r>
      <w:r>
        <w:rPr>
          <w:szCs w:val="24"/>
          <w:lang w:val="fr-FR"/>
        </w:rPr>
        <w:t xml:space="preserve"> </w:t>
      </w:r>
      <w:r>
        <w:rPr>
          <w:szCs w:val="24"/>
          <w:lang w:val="fr-FR"/>
        </w:rPr>
        <w:tab/>
        <w:t>À l’alinéa c) iv), r</w:t>
      </w:r>
      <w:r w:rsidRPr="00640C9E">
        <w:rPr>
          <w:szCs w:val="24"/>
          <w:lang w:val="fr-FR"/>
        </w:rPr>
        <w:t xml:space="preserve">emplacer </w:t>
      </w:r>
      <w:r>
        <w:rPr>
          <w:szCs w:val="24"/>
          <w:lang w:val="fr-FR"/>
        </w:rPr>
        <w:t>« </w:t>
      </w:r>
      <w:r w:rsidRPr="00640C9E">
        <w:rPr>
          <w:szCs w:val="24"/>
          <w:lang w:val="fr-FR"/>
        </w:rPr>
        <w:t>masse maximum</w:t>
      </w:r>
      <w:r>
        <w:rPr>
          <w:szCs w:val="24"/>
          <w:lang w:val="fr-FR"/>
        </w:rPr>
        <w:t> »</w:t>
      </w:r>
      <w:r w:rsidRPr="00640C9E">
        <w:rPr>
          <w:szCs w:val="24"/>
          <w:lang w:val="fr-FR"/>
        </w:rPr>
        <w:t xml:space="preserve"> par </w:t>
      </w:r>
      <w:r>
        <w:rPr>
          <w:szCs w:val="24"/>
          <w:lang w:val="fr-FR"/>
        </w:rPr>
        <w:t>« </w:t>
      </w:r>
      <w:r w:rsidRPr="00640C9E">
        <w:rPr>
          <w:szCs w:val="24"/>
          <w:lang w:val="fr-FR"/>
        </w:rPr>
        <w:t>masse totale</w:t>
      </w:r>
      <w:r>
        <w:rPr>
          <w:szCs w:val="24"/>
          <w:lang w:val="fr-FR"/>
        </w:rPr>
        <w:t> »</w:t>
      </w:r>
      <w:r w:rsidRPr="00640C9E">
        <w:rPr>
          <w:szCs w:val="24"/>
          <w:lang w:val="fr-FR"/>
        </w:rPr>
        <w:t>.</w:t>
      </w:r>
    </w:p>
    <w:p w:rsidR="00124E6E" w:rsidRPr="00640C9E" w:rsidRDefault="00361A7A" w:rsidP="00FE3F4F">
      <w:pPr>
        <w:pStyle w:val="SingleTxtG"/>
        <w:tabs>
          <w:tab w:val="left" w:pos="2268"/>
        </w:tabs>
        <w:ind w:left="2259" w:hanging="1125"/>
        <w:rPr>
          <w:szCs w:val="24"/>
        </w:rPr>
      </w:pPr>
      <w:r>
        <w:rPr>
          <w:szCs w:val="24"/>
          <w:lang w:val="fr-FR"/>
        </w:rPr>
        <w:tab/>
      </w:r>
      <w:r w:rsidR="00124E6E" w:rsidRPr="00640C9E">
        <w:rPr>
          <w:szCs w:val="24"/>
          <w:lang w:val="fr-FR"/>
        </w:rPr>
        <w:t>À l</w:t>
      </w:r>
      <w:r w:rsidR="00124E6E">
        <w:rPr>
          <w:szCs w:val="24"/>
          <w:lang w:val="fr-FR"/>
        </w:rPr>
        <w:t>’</w:t>
      </w:r>
      <w:r w:rsidR="00124E6E" w:rsidRPr="00640C9E">
        <w:rPr>
          <w:szCs w:val="24"/>
          <w:lang w:val="fr-FR"/>
        </w:rPr>
        <w:t xml:space="preserve">alinéa d) </w:t>
      </w:r>
      <w:r w:rsidR="00124E6E">
        <w:rPr>
          <w:szCs w:val="24"/>
          <w:lang w:val="fr-FR"/>
        </w:rPr>
        <w:t>R</w:t>
      </w:r>
      <w:r w:rsidR="00124E6E" w:rsidRPr="00640C9E">
        <w:rPr>
          <w:szCs w:val="24"/>
          <w:lang w:val="fr-FR"/>
        </w:rPr>
        <w:t xml:space="preserve">emplacer </w:t>
      </w:r>
      <w:r w:rsidR="00124E6E">
        <w:rPr>
          <w:szCs w:val="24"/>
          <w:lang w:val="fr-FR"/>
        </w:rPr>
        <w:t>« </w:t>
      </w:r>
      <w:r w:rsidR="00124E6E" w:rsidRPr="00640C9E">
        <w:rPr>
          <w:szCs w:val="24"/>
          <w:lang w:val="fr-FR"/>
        </w:rPr>
        <w:t>leur concentration totale</w:t>
      </w:r>
      <w:r w:rsidR="00124E6E">
        <w:rPr>
          <w:szCs w:val="24"/>
          <w:lang w:val="fr-FR"/>
        </w:rPr>
        <w:t> »</w:t>
      </w:r>
      <w:r w:rsidR="00124E6E" w:rsidRPr="00640C9E">
        <w:rPr>
          <w:szCs w:val="24"/>
          <w:lang w:val="fr-FR"/>
        </w:rPr>
        <w:t xml:space="preserve"> par </w:t>
      </w:r>
      <w:r w:rsidR="00124E6E">
        <w:rPr>
          <w:szCs w:val="24"/>
          <w:lang w:val="fr-FR"/>
        </w:rPr>
        <w:t>« </w:t>
      </w:r>
      <w:r w:rsidR="00124E6E" w:rsidRPr="00640C9E">
        <w:rPr>
          <w:szCs w:val="24"/>
          <w:lang w:val="fr-FR"/>
        </w:rPr>
        <w:t>la concentration totale de ces matières</w:t>
      </w:r>
      <w:r w:rsidR="00124E6E">
        <w:rPr>
          <w:szCs w:val="24"/>
          <w:lang w:val="fr-FR"/>
        </w:rPr>
        <w:t> »</w:t>
      </w:r>
      <w:r w:rsidR="00124E6E" w:rsidRPr="00640C9E">
        <w:rPr>
          <w:szCs w:val="24"/>
          <w:lang w:val="fr-FR"/>
        </w:rPr>
        <w:t>.</w:t>
      </w:r>
    </w:p>
    <w:p w:rsidR="00124E6E" w:rsidRPr="00640C9E" w:rsidRDefault="00124E6E" w:rsidP="00FE3F4F">
      <w:pPr>
        <w:pStyle w:val="SingleTxtG"/>
        <w:tabs>
          <w:tab w:val="left" w:pos="2268"/>
        </w:tabs>
        <w:ind w:left="2259" w:hanging="1125"/>
        <w:rPr>
          <w:szCs w:val="24"/>
        </w:rPr>
      </w:pPr>
      <w:r w:rsidRPr="00640C9E">
        <w:rPr>
          <w:szCs w:val="24"/>
          <w:lang w:val="fr-FR"/>
        </w:rPr>
        <w:lastRenderedPageBreak/>
        <w:t>6.4.11.8</w:t>
      </w:r>
      <w:r>
        <w:rPr>
          <w:szCs w:val="24"/>
          <w:lang w:val="fr-FR"/>
        </w:rPr>
        <w:t xml:space="preserve"> b) i)</w:t>
      </w:r>
      <w:r w:rsidRPr="00640C9E">
        <w:rPr>
          <w:szCs w:val="24"/>
          <w:lang w:val="fr-FR"/>
        </w:rPr>
        <w:tab/>
        <w:t xml:space="preserve">Ajouter </w:t>
      </w:r>
      <w:r>
        <w:rPr>
          <w:szCs w:val="24"/>
          <w:lang w:val="fr-FR"/>
        </w:rPr>
        <w:t>« </w:t>
      </w:r>
      <w:r w:rsidRPr="00640C9E">
        <w:rPr>
          <w:szCs w:val="24"/>
          <w:lang w:val="fr-FR"/>
        </w:rPr>
        <w:t>ou le bouchon</w:t>
      </w:r>
      <w:r>
        <w:rPr>
          <w:szCs w:val="24"/>
          <w:lang w:val="fr-FR"/>
        </w:rPr>
        <w:t> »</w:t>
      </w:r>
      <w:r w:rsidRPr="00640C9E">
        <w:rPr>
          <w:szCs w:val="24"/>
          <w:lang w:val="fr-FR"/>
        </w:rPr>
        <w:t xml:space="preserve"> après </w:t>
      </w:r>
      <w:r>
        <w:rPr>
          <w:szCs w:val="24"/>
          <w:lang w:val="fr-FR"/>
        </w:rPr>
        <w:t>« </w:t>
      </w:r>
      <w:r w:rsidRPr="00640C9E">
        <w:rPr>
          <w:szCs w:val="24"/>
          <w:lang w:val="fr-FR"/>
        </w:rPr>
        <w:t>entre la valve</w:t>
      </w:r>
      <w:r>
        <w:rPr>
          <w:szCs w:val="24"/>
          <w:lang w:val="fr-FR"/>
        </w:rPr>
        <w:t> »</w:t>
      </w:r>
      <w:r w:rsidRPr="00640C9E">
        <w:rPr>
          <w:szCs w:val="24"/>
          <w:lang w:val="fr-FR"/>
        </w:rPr>
        <w:t xml:space="preserve"> et, à la fin, après </w:t>
      </w:r>
      <w:r>
        <w:rPr>
          <w:szCs w:val="24"/>
          <w:lang w:val="fr-FR"/>
        </w:rPr>
        <w:t>« </w:t>
      </w:r>
      <w:r w:rsidRPr="00640C9E">
        <w:rPr>
          <w:szCs w:val="24"/>
          <w:lang w:val="fr-FR"/>
        </w:rPr>
        <w:t>les valves</w:t>
      </w:r>
      <w:r>
        <w:rPr>
          <w:szCs w:val="24"/>
          <w:lang w:val="fr-FR"/>
        </w:rPr>
        <w:t> »</w:t>
      </w:r>
      <w:r w:rsidRPr="00640C9E">
        <w:rPr>
          <w:szCs w:val="24"/>
          <w:lang w:val="fr-FR"/>
        </w:rPr>
        <w:t xml:space="preserve">, ajouter </w:t>
      </w:r>
      <w:r>
        <w:rPr>
          <w:szCs w:val="24"/>
          <w:lang w:val="fr-FR"/>
        </w:rPr>
        <w:t>« </w:t>
      </w:r>
      <w:r w:rsidRPr="00640C9E">
        <w:rPr>
          <w:szCs w:val="24"/>
          <w:lang w:val="fr-FR"/>
        </w:rPr>
        <w:t>et le bouchon</w:t>
      </w:r>
      <w:r>
        <w:rPr>
          <w:szCs w:val="24"/>
          <w:lang w:val="fr-FR"/>
        </w:rPr>
        <w:t> ».</w:t>
      </w:r>
    </w:p>
    <w:p w:rsidR="00124E6E" w:rsidRPr="00640C9E" w:rsidRDefault="00124E6E" w:rsidP="00FE3F4F">
      <w:pPr>
        <w:pStyle w:val="SingleTxtG"/>
        <w:tabs>
          <w:tab w:val="left" w:pos="2268"/>
        </w:tabs>
        <w:ind w:left="2259" w:hanging="1125"/>
        <w:rPr>
          <w:szCs w:val="24"/>
        </w:rPr>
      </w:pPr>
      <w:r w:rsidRPr="00640C9E">
        <w:rPr>
          <w:szCs w:val="24"/>
          <w:lang w:val="fr-FR"/>
        </w:rPr>
        <w:t>6.4.12.1</w:t>
      </w:r>
      <w:r>
        <w:rPr>
          <w:szCs w:val="24"/>
          <w:lang w:val="fr-FR"/>
        </w:rPr>
        <w:t xml:space="preserve"> a)</w:t>
      </w:r>
      <w:r w:rsidRPr="00640C9E">
        <w:rPr>
          <w:szCs w:val="24"/>
          <w:lang w:val="fr-FR"/>
        </w:rPr>
        <w:tab/>
        <w:t xml:space="preserve">Au début, supprimer </w:t>
      </w:r>
      <w:r>
        <w:rPr>
          <w:szCs w:val="24"/>
          <w:lang w:val="fr-FR"/>
        </w:rPr>
        <w:t>« des matières LSA-III, »</w:t>
      </w:r>
      <w:r w:rsidRPr="00640C9E">
        <w:rPr>
          <w:szCs w:val="24"/>
          <w:lang w:val="fr-FR"/>
        </w:rPr>
        <w:t>.</w:t>
      </w:r>
    </w:p>
    <w:p w:rsidR="00124E6E" w:rsidRPr="00640C9E" w:rsidRDefault="00124E6E" w:rsidP="00FE3F4F">
      <w:pPr>
        <w:pStyle w:val="SingleTxtG"/>
        <w:tabs>
          <w:tab w:val="left" w:pos="2268"/>
        </w:tabs>
        <w:ind w:left="2259" w:hanging="1125"/>
        <w:rPr>
          <w:szCs w:val="24"/>
        </w:rPr>
      </w:pPr>
      <w:r w:rsidRPr="00640C9E">
        <w:rPr>
          <w:szCs w:val="24"/>
          <w:lang w:val="fr-FR"/>
        </w:rPr>
        <w:t>6.4.13</w:t>
      </w:r>
      <w:r w:rsidRPr="00640C9E">
        <w:rPr>
          <w:szCs w:val="24"/>
          <w:lang w:val="fr-FR"/>
        </w:rPr>
        <w:tab/>
      </w:r>
      <w:r w:rsidRPr="00640C9E">
        <w:rPr>
          <w:szCs w:val="24"/>
          <w:lang w:val="fr-FR"/>
        </w:rPr>
        <w:tab/>
        <w:t>Modifier la phrase introductive pour lire comme suit</w:t>
      </w:r>
      <w:r>
        <w:rPr>
          <w:szCs w:val="24"/>
          <w:lang w:val="fr-FR"/>
        </w:rPr>
        <w:t> :</w:t>
      </w:r>
    </w:p>
    <w:p w:rsidR="00124E6E" w:rsidRPr="00640C9E" w:rsidRDefault="00361A7A" w:rsidP="00FE3F4F">
      <w:pPr>
        <w:pStyle w:val="SingleTxtG"/>
        <w:tabs>
          <w:tab w:val="left" w:pos="2268"/>
        </w:tabs>
        <w:ind w:left="2259" w:hanging="1125"/>
        <w:rPr>
          <w:szCs w:val="24"/>
        </w:rPr>
      </w:pPr>
      <w:r>
        <w:rPr>
          <w:szCs w:val="24"/>
          <w:lang w:val="fr-FR"/>
        </w:rPr>
        <w:tab/>
      </w:r>
      <w:r w:rsidR="00124E6E">
        <w:rPr>
          <w:szCs w:val="24"/>
          <w:lang w:val="fr-FR"/>
        </w:rPr>
        <w:t>« </w:t>
      </w:r>
      <w:r w:rsidR="00124E6E" w:rsidRPr="00640C9E">
        <w:rPr>
          <w:szCs w:val="24"/>
          <w:lang w:val="fr-FR"/>
        </w:rPr>
        <w:t xml:space="preserve">Après </w:t>
      </w:r>
      <w:r w:rsidR="00124E6E">
        <w:rPr>
          <w:szCs w:val="24"/>
          <w:lang w:val="fr-FR"/>
        </w:rPr>
        <w:t xml:space="preserve">chacune des épreuves applicables, </w:t>
      </w:r>
      <w:r w:rsidR="00124E6E" w:rsidRPr="00640C9E">
        <w:rPr>
          <w:szCs w:val="24"/>
          <w:lang w:val="fr-FR"/>
        </w:rPr>
        <w:t>chaque groupe ou chaque séquence d</w:t>
      </w:r>
      <w:r w:rsidR="00124E6E">
        <w:rPr>
          <w:szCs w:val="24"/>
          <w:lang w:val="fr-FR"/>
        </w:rPr>
        <w:t>’</w:t>
      </w:r>
      <w:r w:rsidR="00124E6E" w:rsidRPr="00640C9E">
        <w:rPr>
          <w:szCs w:val="24"/>
          <w:lang w:val="fr-FR"/>
        </w:rPr>
        <w:t xml:space="preserve">épreuves </w:t>
      </w:r>
      <w:r w:rsidR="00124E6E">
        <w:rPr>
          <w:szCs w:val="24"/>
          <w:lang w:val="fr-FR"/>
        </w:rPr>
        <w:t>applicables</w:t>
      </w:r>
      <w:r w:rsidR="00124E6E" w:rsidRPr="00640C9E">
        <w:rPr>
          <w:szCs w:val="24"/>
          <w:lang w:val="fr-FR"/>
        </w:rPr>
        <w:t>, selon le cas, spécifié aux 6.4.15 à 6.4.21</w:t>
      </w:r>
      <w:r w:rsidR="00124E6E">
        <w:rPr>
          <w:szCs w:val="24"/>
          <w:lang w:val="fr-FR"/>
        </w:rPr>
        <w:t> : ».</w:t>
      </w:r>
    </w:p>
    <w:p w:rsidR="00124E6E" w:rsidRPr="00640C9E" w:rsidRDefault="00124E6E" w:rsidP="00FE3F4F">
      <w:pPr>
        <w:pStyle w:val="SingleTxtG"/>
        <w:tabs>
          <w:tab w:val="left" w:pos="2268"/>
        </w:tabs>
        <w:ind w:left="2259" w:hanging="1125"/>
        <w:rPr>
          <w:szCs w:val="24"/>
        </w:rPr>
      </w:pPr>
      <w:r w:rsidRPr="00640C9E">
        <w:rPr>
          <w:szCs w:val="24"/>
          <w:lang w:val="fr-FR"/>
        </w:rPr>
        <w:t>6.4.15.4</w:t>
      </w:r>
      <w:r>
        <w:rPr>
          <w:szCs w:val="24"/>
          <w:lang w:val="fr-FR"/>
        </w:rPr>
        <w:t xml:space="preserve"> a)</w:t>
      </w:r>
      <w:r w:rsidRPr="00640C9E">
        <w:rPr>
          <w:szCs w:val="24"/>
          <w:lang w:val="fr-FR"/>
        </w:rPr>
        <w:tab/>
      </w:r>
      <w:r>
        <w:rPr>
          <w:szCs w:val="24"/>
          <w:lang w:val="fr-FR"/>
        </w:rPr>
        <w:t>R</w:t>
      </w:r>
      <w:r w:rsidRPr="00640C9E">
        <w:rPr>
          <w:szCs w:val="24"/>
          <w:lang w:val="fr-FR"/>
        </w:rPr>
        <w:t xml:space="preserve">emplacer </w:t>
      </w:r>
      <w:r>
        <w:rPr>
          <w:szCs w:val="24"/>
          <w:lang w:val="fr-FR"/>
        </w:rPr>
        <w:t>« </w:t>
      </w:r>
      <w:r w:rsidRPr="00640C9E">
        <w:rPr>
          <w:szCs w:val="24"/>
          <w:lang w:val="fr-FR"/>
        </w:rPr>
        <w:t>de chute</w:t>
      </w:r>
      <w:r>
        <w:rPr>
          <w:szCs w:val="24"/>
          <w:lang w:val="fr-FR"/>
        </w:rPr>
        <w:t> »</w:t>
      </w:r>
      <w:r w:rsidRPr="00640C9E">
        <w:rPr>
          <w:szCs w:val="24"/>
          <w:lang w:val="fr-FR"/>
        </w:rPr>
        <w:t xml:space="preserve"> par </w:t>
      </w:r>
      <w:r>
        <w:rPr>
          <w:szCs w:val="24"/>
          <w:lang w:val="fr-FR"/>
        </w:rPr>
        <w:t>« </w:t>
      </w:r>
      <w:r w:rsidRPr="00640C9E">
        <w:rPr>
          <w:szCs w:val="24"/>
          <w:lang w:val="fr-FR"/>
        </w:rPr>
        <w:t>de la chute</w:t>
      </w:r>
      <w:r>
        <w:rPr>
          <w:szCs w:val="24"/>
          <w:lang w:val="fr-FR"/>
        </w:rPr>
        <w:t> ». L</w:t>
      </w:r>
      <w:r w:rsidRPr="00640C9E">
        <w:rPr>
          <w:szCs w:val="24"/>
          <w:lang w:val="fr-FR"/>
        </w:rPr>
        <w:t xml:space="preserve">a deuxième modification </w:t>
      </w:r>
      <w:r>
        <w:rPr>
          <w:szCs w:val="24"/>
          <w:lang w:val="fr-FR"/>
        </w:rPr>
        <w:t xml:space="preserve">au texte anglais </w:t>
      </w:r>
      <w:r w:rsidRPr="00640C9E">
        <w:rPr>
          <w:szCs w:val="24"/>
          <w:lang w:val="fr-FR"/>
        </w:rPr>
        <w:t>est sans objet en français.</w:t>
      </w:r>
    </w:p>
    <w:p w:rsidR="00124E6E" w:rsidRPr="00640C9E" w:rsidRDefault="00124E6E" w:rsidP="00FE3F4F">
      <w:pPr>
        <w:pStyle w:val="SingleTxtG"/>
        <w:tabs>
          <w:tab w:val="left" w:pos="2268"/>
        </w:tabs>
        <w:ind w:left="2259" w:hanging="1125"/>
        <w:rPr>
          <w:szCs w:val="24"/>
        </w:rPr>
      </w:pPr>
      <w:r w:rsidRPr="00640C9E">
        <w:rPr>
          <w:szCs w:val="24"/>
          <w:lang w:val="fr-FR"/>
        </w:rPr>
        <w:t>6.4.15.6</w:t>
      </w:r>
      <w:r>
        <w:rPr>
          <w:szCs w:val="24"/>
          <w:lang w:val="fr-FR"/>
        </w:rPr>
        <w:t xml:space="preserve"> b)</w:t>
      </w:r>
      <w:r w:rsidRPr="00640C9E">
        <w:rPr>
          <w:szCs w:val="24"/>
          <w:lang w:val="fr-FR"/>
        </w:rPr>
        <w:tab/>
      </w:r>
      <w:r>
        <w:rPr>
          <w:szCs w:val="24"/>
          <w:lang w:val="fr-FR"/>
        </w:rPr>
        <w:t>A</w:t>
      </w:r>
      <w:r w:rsidRPr="00640C9E">
        <w:rPr>
          <w:szCs w:val="24"/>
          <w:lang w:val="fr-FR"/>
        </w:rPr>
        <w:t xml:space="preserve">jouter une virgule avant </w:t>
      </w:r>
      <w:r>
        <w:rPr>
          <w:szCs w:val="24"/>
          <w:lang w:val="fr-FR"/>
        </w:rPr>
        <w:t>« </w:t>
      </w:r>
      <w:r w:rsidRPr="00640C9E">
        <w:rPr>
          <w:szCs w:val="24"/>
          <w:lang w:val="fr-FR"/>
        </w:rPr>
        <w:t>mesurée</w:t>
      </w:r>
      <w:r>
        <w:rPr>
          <w:szCs w:val="24"/>
          <w:lang w:val="fr-FR"/>
        </w:rPr>
        <w:t> »</w:t>
      </w:r>
      <w:r w:rsidRPr="00640C9E">
        <w:rPr>
          <w:szCs w:val="24"/>
          <w:lang w:val="fr-FR"/>
        </w:rPr>
        <w:t xml:space="preserve"> et après </w:t>
      </w:r>
      <w:r>
        <w:rPr>
          <w:szCs w:val="24"/>
          <w:lang w:val="fr-FR"/>
        </w:rPr>
        <w:t>« </w:t>
      </w:r>
      <w:r w:rsidRPr="00640C9E">
        <w:rPr>
          <w:szCs w:val="24"/>
          <w:lang w:val="fr-FR"/>
        </w:rPr>
        <w:t>du spécimen</w:t>
      </w:r>
      <w:r>
        <w:rPr>
          <w:szCs w:val="24"/>
          <w:lang w:val="fr-FR"/>
        </w:rPr>
        <w:t xml:space="preserve"> ». La </w:t>
      </w:r>
      <w:r w:rsidRPr="00640C9E">
        <w:rPr>
          <w:szCs w:val="24"/>
          <w:lang w:val="fr-FR"/>
        </w:rPr>
        <w:t xml:space="preserve">première modification </w:t>
      </w:r>
      <w:r>
        <w:rPr>
          <w:szCs w:val="24"/>
          <w:lang w:val="fr-FR"/>
        </w:rPr>
        <w:t>au texte anglais est sans objet en français.</w:t>
      </w:r>
    </w:p>
    <w:p w:rsidR="00124E6E" w:rsidRPr="00640C9E" w:rsidRDefault="00124E6E" w:rsidP="00FE3F4F">
      <w:pPr>
        <w:pStyle w:val="SingleTxtG"/>
        <w:tabs>
          <w:tab w:val="left" w:pos="2268"/>
        </w:tabs>
        <w:ind w:left="2259" w:hanging="1125"/>
        <w:rPr>
          <w:szCs w:val="24"/>
        </w:rPr>
      </w:pPr>
      <w:r w:rsidRPr="00640C9E">
        <w:rPr>
          <w:szCs w:val="24"/>
          <w:lang w:val="fr-FR"/>
        </w:rPr>
        <w:t>6.4.17.2</w:t>
      </w:r>
      <w:r>
        <w:rPr>
          <w:szCs w:val="24"/>
          <w:lang w:val="fr-FR"/>
        </w:rPr>
        <w:t xml:space="preserve"> b)</w:t>
      </w:r>
      <w:r w:rsidRPr="00640C9E">
        <w:rPr>
          <w:szCs w:val="24"/>
          <w:lang w:val="fr-FR"/>
        </w:rPr>
        <w:tab/>
      </w:r>
      <w:r w:rsidRPr="00640C9E">
        <w:rPr>
          <w:szCs w:val="24"/>
          <w:lang w:val="fr-FR"/>
        </w:rPr>
        <w:tab/>
      </w:r>
      <w:r>
        <w:rPr>
          <w:szCs w:val="24"/>
          <w:lang w:val="fr-FR"/>
        </w:rPr>
        <w:t>L’amendement à la version anglaise est sans objet en français</w:t>
      </w:r>
      <w:r w:rsidRPr="00640C9E">
        <w:rPr>
          <w:szCs w:val="24"/>
          <w:lang w:val="fr-FR"/>
        </w:rPr>
        <w:t>.</w:t>
      </w:r>
    </w:p>
    <w:p w:rsidR="00124E6E" w:rsidRPr="00640C9E" w:rsidRDefault="00124E6E" w:rsidP="00FE3F4F">
      <w:pPr>
        <w:pStyle w:val="SingleTxtG"/>
        <w:tabs>
          <w:tab w:val="left" w:pos="2268"/>
        </w:tabs>
        <w:ind w:left="2259" w:hanging="1125"/>
        <w:rPr>
          <w:szCs w:val="24"/>
        </w:rPr>
      </w:pPr>
      <w:r w:rsidRPr="00640C9E">
        <w:rPr>
          <w:szCs w:val="24"/>
          <w:lang w:val="fr-FR"/>
        </w:rPr>
        <w:t>6.4.17.3</w:t>
      </w:r>
      <w:r>
        <w:rPr>
          <w:szCs w:val="24"/>
          <w:lang w:val="fr-FR"/>
        </w:rPr>
        <w:t xml:space="preserve"> b)</w:t>
      </w:r>
      <w:r w:rsidRPr="00640C9E">
        <w:rPr>
          <w:szCs w:val="24"/>
          <w:lang w:val="fr-FR"/>
        </w:rPr>
        <w:tab/>
      </w:r>
      <w:r>
        <w:rPr>
          <w:szCs w:val="24"/>
          <w:lang w:val="fr-FR"/>
        </w:rPr>
        <w:t>L’amendement à la version anglaise est sans objet en français.</w:t>
      </w:r>
    </w:p>
    <w:p w:rsidR="00124E6E" w:rsidRDefault="00124E6E" w:rsidP="00FE3F4F">
      <w:pPr>
        <w:pStyle w:val="SingleTxtG"/>
        <w:tabs>
          <w:tab w:val="left" w:pos="2268"/>
        </w:tabs>
        <w:ind w:left="2259" w:hanging="1125"/>
        <w:rPr>
          <w:szCs w:val="24"/>
          <w:lang w:val="fr-FR"/>
        </w:rPr>
      </w:pPr>
      <w:r>
        <w:rPr>
          <w:szCs w:val="24"/>
          <w:lang w:val="fr-FR"/>
        </w:rPr>
        <w:t>6.4.23.2</w:t>
      </w:r>
      <w:r>
        <w:rPr>
          <w:szCs w:val="24"/>
          <w:lang w:val="fr-FR"/>
        </w:rPr>
        <w:tab/>
        <w:t>Ajouter un nouveau titre pour lire « 6.4.23.2</w:t>
      </w:r>
      <w:r>
        <w:rPr>
          <w:szCs w:val="24"/>
          <w:lang w:val="fr-FR"/>
        </w:rPr>
        <w:tab/>
        <w:t>Demandes d’approbations des expéditions ». Renuméroter le 6.4.23.2 actuel en tant que 6.4.23.2.1</w:t>
      </w:r>
    </w:p>
    <w:p w:rsidR="00124E6E" w:rsidRPr="00640C9E" w:rsidRDefault="00124E6E" w:rsidP="00FE3F4F">
      <w:pPr>
        <w:pStyle w:val="SingleTxtG"/>
        <w:tabs>
          <w:tab w:val="left" w:pos="2268"/>
        </w:tabs>
        <w:ind w:left="2259" w:hanging="1125"/>
        <w:rPr>
          <w:szCs w:val="24"/>
        </w:rPr>
      </w:pPr>
      <w:r w:rsidRPr="00640C9E">
        <w:rPr>
          <w:szCs w:val="24"/>
          <w:lang w:val="fr-FR"/>
        </w:rPr>
        <w:t>6.4.23.2</w:t>
      </w:r>
      <w:r w:rsidRPr="00640C9E">
        <w:rPr>
          <w:szCs w:val="24"/>
          <w:lang w:val="fr-FR"/>
        </w:rPr>
        <w:tab/>
        <w:t xml:space="preserve">Ajouter un nouveau paragraphe </w:t>
      </w:r>
      <w:r>
        <w:rPr>
          <w:szCs w:val="24"/>
          <w:lang w:val="fr-FR"/>
        </w:rPr>
        <w:t>6.4.23.2.2</w:t>
      </w:r>
      <w:r w:rsidRPr="00640C9E">
        <w:rPr>
          <w:szCs w:val="24"/>
          <w:lang w:val="fr-FR"/>
        </w:rPr>
        <w:t xml:space="preserve">, </w:t>
      </w:r>
      <w:r>
        <w:rPr>
          <w:szCs w:val="24"/>
          <w:lang w:val="fr-FR"/>
        </w:rPr>
        <w:t>pour lire</w:t>
      </w:r>
      <w:r w:rsidRPr="00640C9E">
        <w:rPr>
          <w:szCs w:val="24"/>
          <w:lang w:val="fr-FR"/>
        </w:rPr>
        <w:t xml:space="preserve"> comme suit</w:t>
      </w:r>
      <w:r>
        <w:rPr>
          <w:szCs w:val="24"/>
          <w:lang w:val="fr-FR"/>
        </w:rPr>
        <w:t> :</w:t>
      </w:r>
    </w:p>
    <w:p w:rsidR="00124E6E" w:rsidRPr="00640C9E" w:rsidRDefault="00124E6E" w:rsidP="00FE3F4F">
      <w:pPr>
        <w:pStyle w:val="SingleTxtG"/>
        <w:tabs>
          <w:tab w:val="left" w:pos="2268"/>
        </w:tabs>
        <w:ind w:left="2259" w:hanging="1125"/>
        <w:rPr>
          <w:szCs w:val="24"/>
        </w:rPr>
      </w:pPr>
      <w:r>
        <w:rPr>
          <w:szCs w:val="24"/>
          <w:lang w:val="fr-FR"/>
        </w:rPr>
        <w:t>« </w:t>
      </w:r>
      <w:r w:rsidRPr="00640C9E">
        <w:rPr>
          <w:szCs w:val="24"/>
          <w:lang w:val="fr-FR"/>
        </w:rPr>
        <w:t>6.4.23.2.</w:t>
      </w:r>
      <w:r>
        <w:rPr>
          <w:szCs w:val="24"/>
          <w:lang w:val="fr-FR"/>
        </w:rPr>
        <w:t>2</w:t>
      </w:r>
      <w:r w:rsidRPr="00640C9E">
        <w:rPr>
          <w:szCs w:val="24"/>
          <w:lang w:val="fr-FR"/>
        </w:rPr>
        <w:tab/>
      </w:r>
      <w:r>
        <w:rPr>
          <w:szCs w:val="24"/>
          <w:lang w:val="fr-FR"/>
        </w:rPr>
        <w:t>La</w:t>
      </w:r>
      <w:r w:rsidRPr="00640C9E">
        <w:rPr>
          <w:szCs w:val="24"/>
          <w:lang w:val="fr-FR"/>
        </w:rPr>
        <w:t xml:space="preserve"> demande d</w:t>
      </w:r>
      <w:r>
        <w:rPr>
          <w:szCs w:val="24"/>
          <w:lang w:val="fr-FR"/>
        </w:rPr>
        <w:t>’</w:t>
      </w:r>
      <w:r w:rsidRPr="00640C9E">
        <w:rPr>
          <w:szCs w:val="24"/>
          <w:lang w:val="fr-FR"/>
        </w:rPr>
        <w:t>approbation d</w:t>
      </w:r>
      <w:r>
        <w:rPr>
          <w:szCs w:val="24"/>
          <w:lang w:val="fr-FR"/>
        </w:rPr>
        <w:t>’</w:t>
      </w:r>
      <w:r w:rsidRPr="00640C9E">
        <w:rPr>
          <w:szCs w:val="24"/>
          <w:lang w:val="fr-FR"/>
        </w:rPr>
        <w:t>une expédition de SCO-III doit</w:t>
      </w:r>
      <w:r>
        <w:rPr>
          <w:szCs w:val="24"/>
          <w:lang w:val="fr-FR"/>
        </w:rPr>
        <w:t> :</w:t>
      </w:r>
    </w:p>
    <w:p w:rsidR="00124E6E" w:rsidRPr="00640C9E" w:rsidRDefault="00124E6E" w:rsidP="00361A7A">
      <w:pPr>
        <w:pStyle w:val="SingleTxtG"/>
        <w:tabs>
          <w:tab w:val="left" w:pos="2268"/>
        </w:tabs>
        <w:ind w:left="2835" w:hanging="576"/>
        <w:rPr>
          <w:szCs w:val="24"/>
        </w:rPr>
      </w:pPr>
      <w:r w:rsidRPr="00640C9E">
        <w:rPr>
          <w:szCs w:val="24"/>
          <w:lang w:val="fr-FR"/>
        </w:rPr>
        <w:t>a)</w:t>
      </w:r>
      <w:r w:rsidRPr="00640C9E">
        <w:rPr>
          <w:szCs w:val="24"/>
          <w:lang w:val="fr-FR"/>
        </w:rPr>
        <w:tab/>
      </w:r>
      <w:r>
        <w:rPr>
          <w:szCs w:val="24"/>
          <w:lang w:val="fr-FR"/>
        </w:rPr>
        <w:t>Exposer</w:t>
      </w:r>
      <w:r w:rsidRPr="00640C9E">
        <w:rPr>
          <w:szCs w:val="24"/>
          <w:lang w:val="fr-FR"/>
        </w:rPr>
        <w:t xml:space="preserve"> dans quelle mesure et pour quelles raisons l</w:t>
      </w:r>
      <w:r>
        <w:rPr>
          <w:szCs w:val="24"/>
          <w:lang w:val="fr-FR"/>
        </w:rPr>
        <w:t>’</w:t>
      </w:r>
      <w:r w:rsidRPr="00640C9E">
        <w:rPr>
          <w:szCs w:val="24"/>
          <w:lang w:val="fr-FR"/>
        </w:rPr>
        <w:t xml:space="preserve">envoi est considéré comme </w:t>
      </w:r>
      <w:r>
        <w:rPr>
          <w:szCs w:val="24"/>
          <w:lang w:val="fr-FR"/>
        </w:rPr>
        <w:t xml:space="preserve">un </w:t>
      </w:r>
      <w:r w:rsidRPr="00640C9E">
        <w:rPr>
          <w:szCs w:val="24"/>
          <w:lang w:val="fr-FR"/>
        </w:rPr>
        <w:t>SCO-III</w:t>
      </w:r>
      <w:r>
        <w:rPr>
          <w:szCs w:val="24"/>
          <w:lang w:val="fr-FR"/>
        </w:rPr>
        <w:t> ;</w:t>
      </w:r>
    </w:p>
    <w:p w:rsidR="00124E6E" w:rsidRPr="00640C9E" w:rsidRDefault="00124E6E" w:rsidP="00361A7A">
      <w:pPr>
        <w:pStyle w:val="SingleTxtG"/>
        <w:tabs>
          <w:tab w:val="left" w:pos="2268"/>
        </w:tabs>
        <w:ind w:left="2835" w:hanging="576"/>
        <w:rPr>
          <w:szCs w:val="24"/>
        </w:rPr>
      </w:pPr>
      <w:r w:rsidRPr="00640C9E">
        <w:rPr>
          <w:szCs w:val="24"/>
          <w:lang w:val="fr-FR"/>
        </w:rPr>
        <w:t>b)</w:t>
      </w:r>
      <w:r w:rsidRPr="00640C9E">
        <w:rPr>
          <w:szCs w:val="24"/>
          <w:lang w:val="fr-FR"/>
        </w:rPr>
        <w:tab/>
        <w:t xml:space="preserve">Justifier le choix </w:t>
      </w:r>
      <w:r>
        <w:rPr>
          <w:szCs w:val="24"/>
          <w:lang w:val="fr-FR"/>
        </w:rPr>
        <w:t xml:space="preserve">du </w:t>
      </w:r>
      <w:r w:rsidRPr="00640C9E">
        <w:rPr>
          <w:szCs w:val="24"/>
          <w:lang w:val="fr-FR"/>
        </w:rPr>
        <w:t xml:space="preserve">SCO-III en </w:t>
      </w:r>
      <w:r>
        <w:rPr>
          <w:szCs w:val="24"/>
          <w:lang w:val="fr-FR"/>
        </w:rPr>
        <w:t>démontrant :</w:t>
      </w:r>
    </w:p>
    <w:p w:rsidR="00124E6E" w:rsidRPr="00640C9E" w:rsidRDefault="00124E6E" w:rsidP="00124E6E">
      <w:pPr>
        <w:pStyle w:val="SingleTxtG"/>
        <w:tabs>
          <w:tab w:val="left" w:pos="2268"/>
        </w:tabs>
        <w:ind w:left="2268" w:firstLine="567"/>
        <w:rPr>
          <w:szCs w:val="24"/>
        </w:rPr>
      </w:pPr>
      <w:r w:rsidRPr="00640C9E">
        <w:rPr>
          <w:szCs w:val="24"/>
          <w:lang w:val="fr-FR"/>
        </w:rPr>
        <w:t>i)</w:t>
      </w:r>
      <w:r w:rsidRPr="00640C9E">
        <w:rPr>
          <w:szCs w:val="24"/>
          <w:lang w:val="fr-FR"/>
        </w:rPr>
        <w:tab/>
        <w:t>Qu</w:t>
      </w:r>
      <w:r>
        <w:rPr>
          <w:szCs w:val="24"/>
          <w:lang w:val="fr-FR"/>
        </w:rPr>
        <w:t>’</w:t>
      </w:r>
      <w:r w:rsidRPr="00640C9E">
        <w:rPr>
          <w:szCs w:val="24"/>
          <w:lang w:val="fr-FR"/>
        </w:rPr>
        <w:t>il n</w:t>
      </w:r>
      <w:r>
        <w:rPr>
          <w:szCs w:val="24"/>
          <w:lang w:val="fr-FR"/>
        </w:rPr>
        <w:t>’</w:t>
      </w:r>
      <w:r w:rsidRPr="00640C9E">
        <w:rPr>
          <w:szCs w:val="24"/>
          <w:lang w:val="fr-FR"/>
        </w:rPr>
        <w:t>existe</w:t>
      </w:r>
      <w:r>
        <w:rPr>
          <w:szCs w:val="24"/>
          <w:lang w:val="fr-FR"/>
        </w:rPr>
        <w:t xml:space="preserve"> pas pour le moment d’</w:t>
      </w:r>
      <w:r w:rsidRPr="00640C9E">
        <w:rPr>
          <w:szCs w:val="24"/>
          <w:lang w:val="fr-FR"/>
        </w:rPr>
        <w:t>emballage a</w:t>
      </w:r>
      <w:r>
        <w:rPr>
          <w:szCs w:val="24"/>
          <w:lang w:val="fr-FR"/>
        </w:rPr>
        <w:t>dapt</w:t>
      </w:r>
      <w:r w:rsidRPr="00640C9E">
        <w:rPr>
          <w:szCs w:val="24"/>
          <w:lang w:val="fr-FR"/>
        </w:rPr>
        <w:t>é</w:t>
      </w:r>
      <w:r>
        <w:rPr>
          <w:szCs w:val="24"/>
          <w:lang w:val="fr-FR"/>
        </w:rPr>
        <w:t> ;</w:t>
      </w:r>
    </w:p>
    <w:p w:rsidR="00124E6E" w:rsidRPr="00640C9E" w:rsidRDefault="00124E6E" w:rsidP="00124E6E">
      <w:pPr>
        <w:pStyle w:val="SingleTxtG"/>
        <w:tabs>
          <w:tab w:val="left" w:pos="2268"/>
        </w:tabs>
        <w:ind w:left="3402" w:hanging="567"/>
        <w:rPr>
          <w:szCs w:val="24"/>
        </w:rPr>
      </w:pPr>
      <w:r w:rsidRPr="00640C9E">
        <w:rPr>
          <w:szCs w:val="24"/>
          <w:lang w:val="fr-FR"/>
        </w:rPr>
        <w:t>ii)</w:t>
      </w:r>
      <w:r w:rsidRPr="00640C9E">
        <w:rPr>
          <w:szCs w:val="24"/>
          <w:lang w:val="fr-FR"/>
        </w:rPr>
        <w:tab/>
      </w:r>
      <w:r>
        <w:rPr>
          <w:szCs w:val="24"/>
          <w:lang w:val="fr-FR"/>
        </w:rPr>
        <w:t>Qu’à la conception et/ou la construction d’un emballage ou que la segmentation de l’objet n’est pas possible d’un point de vue pratique, technique ou économique ;</w:t>
      </w:r>
    </w:p>
    <w:p w:rsidR="00124E6E" w:rsidRPr="00640C9E" w:rsidRDefault="00124E6E" w:rsidP="00124E6E">
      <w:pPr>
        <w:pStyle w:val="SingleTxtG"/>
        <w:tabs>
          <w:tab w:val="left" w:pos="2268"/>
        </w:tabs>
        <w:ind w:left="2268" w:firstLine="567"/>
        <w:rPr>
          <w:szCs w:val="24"/>
        </w:rPr>
      </w:pPr>
      <w:r w:rsidRPr="00640C9E">
        <w:rPr>
          <w:szCs w:val="24"/>
          <w:lang w:val="fr-FR"/>
        </w:rPr>
        <w:t>iii)</w:t>
      </w:r>
      <w:r w:rsidRPr="00640C9E">
        <w:rPr>
          <w:szCs w:val="24"/>
          <w:lang w:val="fr-FR"/>
        </w:rPr>
        <w:tab/>
        <w:t>Qu</w:t>
      </w:r>
      <w:r>
        <w:rPr>
          <w:szCs w:val="24"/>
          <w:lang w:val="fr-FR"/>
        </w:rPr>
        <w:t>’</w:t>
      </w:r>
      <w:r w:rsidRPr="00640C9E">
        <w:rPr>
          <w:szCs w:val="24"/>
          <w:lang w:val="fr-FR"/>
        </w:rPr>
        <w:t>il n</w:t>
      </w:r>
      <w:r>
        <w:rPr>
          <w:szCs w:val="24"/>
          <w:lang w:val="fr-FR"/>
        </w:rPr>
        <w:t>’</w:t>
      </w:r>
      <w:r w:rsidRPr="00640C9E">
        <w:rPr>
          <w:szCs w:val="24"/>
          <w:lang w:val="fr-FR"/>
        </w:rPr>
        <w:t>existe pas d</w:t>
      </w:r>
      <w:r>
        <w:rPr>
          <w:szCs w:val="24"/>
          <w:lang w:val="fr-FR"/>
        </w:rPr>
        <w:t>’</w:t>
      </w:r>
      <w:r w:rsidRPr="00640C9E">
        <w:rPr>
          <w:szCs w:val="24"/>
          <w:lang w:val="fr-FR"/>
        </w:rPr>
        <w:t>autre solution</w:t>
      </w:r>
      <w:r>
        <w:rPr>
          <w:szCs w:val="24"/>
          <w:lang w:val="fr-FR"/>
        </w:rPr>
        <w:t> viable ;</w:t>
      </w:r>
    </w:p>
    <w:p w:rsidR="00124E6E" w:rsidRPr="00361A7A" w:rsidRDefault="00124E6E" w:rsidP="00361A7A">
      <w:pPr>
        <w:pStyle w:val="SingleTxtG"/>
        <w:tabs>
          <w:tab w:val="left" w:pos="2268"/>
        </w:tabs>
        <w:ind w:left="2835" w:hanging="576"/>
        <w:rPr>
          <w:szCs w:val="24"/>
          <w:lang w:val="fr-FR"/>
        </w:rPr>
      </w:pPr>
      <w:r w:rsidRPr="00640C9E">
        <w:rPr>
          <w:szCs w:val="24"/>
          <w:lang w:val="fr-FR"/>
        </w:rPr>
        <w:t>c)</w:t>
      </w:r>
      <w:r w:rsidRPr="00640C9E">
        <w:rPr>
          <w:szCs w:val="24"/>
          <w:lang w:val="fr-FR"/>
        </w:rPr>
        <w:tab/>
      </w:r>
      <w:r>
        <w:rPr>
          <w:szCs w:val="24"/>
          <w:lang w:val="fr-FR"/>
        </w:rPr>
        <w:t xml:space="preserve">Décrire de manière </w:t>
      </w:r>
      <w:r w:rsidRPr="00640C9E">
        <w:rPr>
          <w:szCs w:val="24"/>
          <w:lang w:val="fr-FR"/>
        </w:rPr>
        <w:t xml:space="preserve">détaillée </w:t>
      </w:r>
      <w:r>
        <w:rPr>
          <w:szCs w:val="24"/>
          <w:lang w:val="fr-FR"/>
        </w:rPr>
        <w:t>le</w:t>
      </w:r>
      <w:r w:rsidRPr="00640C9E">
        <w:rPr>
          <w:szCs w:val="24"/>
          <w:lang w:val="fr-FR"/>
        </w:rPr>
        <w:t xml:space="preserve"> contenu radioactif prévu, </w:t>
      </w:r>
      <w:r>
        <w:rPr>
          <w:szCs w:val="24"/>
          <w:lang w:val="fr-FR"/>
        </w:rPr>
        <w:t xml:space="preserve">en </w:t>
      </w:r>
      <w:r w:rsidRPr="00640C9E">
        <w:rPr>
          <w:szCs w:val="24"/>
          <w:lang w:val="fr-FR"/>
        </w:rPr>
        <w:t>indiquant notamment son état physique, sa forme chimique et</w:t>
      </w:r>
      <w:r>
        <w:rPr>
          <w:szCs w:val="24"/>
          <w:lang w:val="fr-FR"/>
        </w:rPr>
        <w:t xml:space="preserve"> </w:t>
      </w:r>
      <w:r w:rsidRPr="00640C9E">
        <w:rPr>
          <w:szCs w:val="24"/>
          <w:lang w:val="fr-FR"/>
        </w:rPr>
        <w:t>la nature du rayonnement émis</w:t>
      </w:r>
      <w:r>
        <w:rPr>
          <w:szCs w:val="24"/>
          <w:lang w:val="fr-FR"/>
        </w:rPr>
        <w:t> ;</w:t>
      </w:r>
    </w:p>
    <w:p w:rsidR="00124E6E" w:rsidRPr="00361A7A" w:rsidRDefault="00124E6E" w:rsidP="00361A7A">
      <w:pPr>
        <w:pStyle w:val="SingleTxtG"/>
        <w:tabs>
          <w:tab w:val="left" w:pos="2268"/>
        </w:tabs>
        <w:ind w:left="2835" w:hanging="576"/>
        <w:rPr>
          <w:szCs w:val="24"/>
          <w:lang w:val="fr-FR"/>
        </w:rPr>
      </w:pPr>
      <w:r w:rsidRPr="00640C9E">
        <w:rPr>
          <w:szCs w:val="24"/>
          <w:lang w:val="fr-FR"/>
        </w:rPr>
        <w:t>d)</w:t>
      </w:r>
      <w:r w:rsidRPr="00640C9E">
        <w:rPr>
          <w:szCs w:val="24"/>
          <w:lang w:val="fr-FR"/>
        </w:rPr>
        <w:tab/>
      </w:r>
      <w:r>
        <w:rPr>
          <w:szCs w:val="24"/>
          <w:lang w:val="fr-FR"/>
        </w:rPr>
        <w:t>Définir de manière détaillée</w:t>
      </w:r>
      <w:r w:rsidRPr="00640C9E">
        <w:rPr>
          <w:szCs w:val="24"/>
          <w:lang w:val="fr-FR"/>
        </w:rPr>
        <w:t xml:space="preserve"> </w:t>
      </w:r>
      <w:r>
        <w:rPr>
          <w:szCs w:val="24"/>
          <w:lang w:val="fr-FR"/>
        </w:rPr>
        <w:t>le</w:t>
      </w:r>
      <w:r w:rsidRPr="00640C9E">
        <w:rPr>
          <w:szCs w:val="24"/>
          <w:lang w:val="fr-FR"/>
        </w:rPr>
        <w:t xml:space="preserve"> modèle du SCO-III, </w:t>
      </w:r>
      <w:r>
        <w:rPr>
          <w:szCs w:val="24"/>
          <w:lang w:val="fr-FR"/>
        </w:rPr>
        <w:t>notamment</w:t>
      </w:r>
      <w:r w:rsidRPr="00640C9E">
        <w:rPr>
          <w:szCs w:val="24"/>
          <w:lang w:val="fr-FR"/>
        </w:rPr>
        <w:t xml:space="preserve"> les plans complets du modèle</w:t>
      </w:r>
      <w:r>
        <w:rPr>
          <w:szCs w:val="24"/>
          <w:lang w:val="fr-FR"/>
        </w:rPr>
        <w:t>,</w:t>
      </w:r>
      <w:r w:rsidRPr="00640C9E">
        <w:rPr>
          <w:szCs w:val="24"/>
          <w:lang w:val="fr-FR"/>
        </w:rPr>
        <w:t xml:space="preserve"> les listes des matériaux et </w:t>
      </w:r>
      <w:r>
        <w:rPr>
          <w:szCs w:val="24"/>
          <w:lang w:val="fr-FR"/>
        </w:rPr>
        <w:t>l</w:t>
      </w:r>
      <w:r w:rsidRPr="00640C9E">
        <w:rPr>
          <w:szCs w:val="24"/>
          <w:lang w:val="fr-FR"/>
        </w:rPr>
        <w:t>es méthodes de construction</w:t>
      </w:r>
      <w:r>
        <w:rPr>
          <w:szCs w:val="24"/>
          <w:lang w:val="fr-FR"/>
        </w:rPr>
        <w:t> ;</w:t>
      </w:r>
    </w:p>
    <w:p w:rsidR="00124E6E" w:rsidRPr="00361A7A" w:rsidRDefault="00124E6E" w:rsidP="00361A7A">
      <w:pPr>
        <w:pStyle w:val="SingleTxtG"/>
        <w:tabs>
          <w:tab w:val="left" w:pos="2268"/>
        </w:tabs>
        <w:ind w:left="2835" w:hanging="576"/>
        <w:rPr>
          <w:szCs w:val="24"/>
          <w:lang w:val="fr-FR"/>
        </w:rPr>
      </w:pPr>
      <w:r w:rsidRPr="00640C9E">
        <w:rPr>
          <w:szCs w:val="24"/>
          <w:lang w:val="fr-FR"/>
        </w:rPr>
        <w:t>e)</w:t>
      </w:r>
      <w:r w:rsidRPr="00640C9E">
        <w:rPr>
          <w:szCs w:val="24"/>
          <w:lang w:val="fr-FR"/>
        </w:rPr>
        <w:tab/>
      </w:r>
      <w:r>
        <w:rPr>
          <w:szCs w:val="24"/>
          <w:lang w:val="fr-FR"/>
        </w:rPr>
        <w:t>Comporter tous</w:t>
      </w:r>
      <w:r w:rsidRPr="00640C9E">
        <w:rPr>
          <w:szCs w:val="24"/>
          <w:lang w:val="fr-FR"/>
        </w:rPr>
        <w:t xml:space="preserve"> les renseignements nécessaires pour que l</w:t>
      </w:r>
      <w:r>
        <w:rPr>
          <w:szCs w:val="24"/>
          <w:lang w:val="fr-FR"/>
        </w:rPr>
        <w:t>’</w:t>
      </w:r>
      <w:r w:rsidRPr="00640C9E">
        <w:rPr>
          <w:szCs w:val="24"/>
          <w:lang w:val="fr-FR"/>
        </w:rPr>
        <w:t>autorité compétente ait l</w:t>
      </w:r>
      <w:r>
        <w:rPr>
          <w:szCs w:val="24"/>
          <w:lang w:val="fr-FR"/>
        </w:rPr>
        <w:t>’</w:t>
      </w:r>
      <w:r w:rsidRPr="00640C9E">
        <w:rPr>
          <w:szCs w:val="24"/>
          <w:lang w:val="fr-FR"/>
        </w:rPr>
        <w:t xml:space="preserve">assurance que les prescriptions du 4.1.9.2.4 </w:t>
      </w:r>
      <w:r>
        <w:rPr>
          <w:szCs w:val="24"/>
          <w:lang w:val="fr-FR"/>
        </w:rPr>
        <w:t xml:space="preserve">e) et les prescriptions applicables </w:t>
      </w:r>
      <w:r w:rsidRPr="00640C9E">
        <w:rPr>
          <w:szCs w:val="24"/>
          <w:lang w:val="fr-FR"/>
        </w:rPr>
        <w:t xml:space="preserve">du </w:t>
      </w:r>
      <w:r>
        <w:rPr>
          <w:szCs w:val="24"/>
          <w:lang w:val="fr-FR"/>
        </w:rPr>
        <w:t>7.5.11, CW33/CV33 (2)</w:t>
      </w:r>
      <w:r w:rsidRPr="00640C9E">
        <w:rPr>
          <w:szCs w:val="24"/>
          <w:lang w:val="fr-FR"/>
        </w:rPr>
        <w:t xml:space="preserve"> sont satisfaites</w:t>
      </w:r>
      <w:r>
        <w:rPr>
          <w:szCs w:val="24"/>
          <w:lang w:val="fr-FR"/>
        </w:rPr>
        <w:t> ;</w:t>
      </w:r>
    </w:p>
    <w:p w:rsidR="00124E6E" w:rsidRPr="00361A7A" w:rsidRDefault="00124E6E" w:rsidP="00361A7A">
      <w:pPr>
        <w:pStyle w:val="SingleTxtG"/>
        <w:tabs>
          <w:tab w:val="left" w:pos="2268"/>
        </w:tabs>
        <w:ind w:left="2835" w:hanging="576"/>
        <w:rPr>
          <w:szCs w:val="24"/>
          <w:lang w:val="fr-FR"/>
        </w:rPr>
      </w:pPr>
      <w:r>
        <w:rPr>
          <w:szCs w:val="24"/>
          <w:lang w:val="fr-FR"/>
        </w:rPr>
        <w:t>f)</w:t>
      </w:r>
      <w:r w:rsidRPr="00640C9E">
        <w:rPr>
          <w:szCs w:val="24"/>
          <w:lang w:val="fr-FR"/>
        </w:rPr>
        <w:tab/>
      </w:r>
      <w:r>
        <w:rPr>
          <w:szCs w:val="24"/>
          <w:lang w:val="fr-FR"/>
        </w:rPr>
        <w:t xml:space="preserve">Comprendre </w:t>
      </w:r>
      <w:r w:rsidRPr="00640C9E">
        <w:rPr>
          <w:szCs w:val="24"/>
          <w:lang w:val="fr-FR"/>
        </w:rPr>
        <w:t>un plan de transport</w:t>
      </w:r>
      <w:r>
        <w:rPr>
          <w:szCs w:val="24"/>
          <w:lang w:val="fr-FR"/>
        </w:rPr>
        <w:t> ;</w:t>
      </w:r>
    </w:p>
    <w:p w:rsidR="00124E6E" w:rsidRPr="00361A7A" w:rsidRDefault="00124E6E" w:rsidP="00361A7A">
      <w:pPr>
        <w:pStyle w:val="SingleTxtG"/>
        <w:tabs>
          <w:tab w:val="left" w:pos="2268"/>
        </w:tabs>
        <w:ind w:left="2835" w:hanging="576"/>
        <w:rPr>
          <w:szCs w:val="24"/>
          <w:lang w:val="fr-FR"/>
        </w:rPr>
      </w:pPr>
      <w:r>
        <w:rPr>
          <w:szCs w:val="24"/>
          <w:lang w:val="fr-FR"/>
        </w:rPr>
        <w:t>g)</w:t>
      </w:r>
      <w:r w:rsidRPr="00640C9E">
        <w:rPr>
          <w:szCs w:val="24"/>
          <w:lang w:val="fr-FR"/>
        </w:rPr>
        <w:tab/>
      </w:r>
      <w:r>
        <w:rPr>
          <w:szCs w:val="24"/>
          <w:lang w:val="fr-FR"/>
        </w:rPr>
        <w:t xml:space="preserve">Décrire le </w:t>
      </w:r>
      <w:r w:rsidRPr="00640C9E">
        <w:rPr>
          <w:szCs w:val="24"/>
          <w:lang w:val="fr-FR"/>
        </w:rPr>
        <w:t xml:space="preserve">système de management applicable conformément au </w:t>
      </w:r>
      <w:r>
        <w:rPr>
          <w:szCs w:val="24"/>
          <w:lang w:val="fr-FR"/>
        </w:rPr>
        <w:t>1.7.3</w:t>
      </w:r>
      <w:r w:rsidRPr="00640C9E">
        <w:rPr>
          <w:szCs w:val="24"/>
          <w:lang w:val="fr-FR"/>
        </w:rPr>
        <w:t>.</w:t>
      </w:r>
      <w:r>
        <w:rPr>
          <w:szCs w:val="24"/>
          <w:lang w:val="fr-FR"/>
        </w:rPr>
        <w:t> »</w:t>
      </w:r>
      <w:r w:rsidRPr="00640C9E">
        <w:rPr>
          <w:szCs w:val="24"/>
          <w:lang w:val="fr-FR"/>
        </w:rPr>
        <w:t>.</w:t>
      </w:r>
    </w:p>
    <w:p w:rsidR="00124E6E" w:rsidRPr="00640C9E" w:rsidRDefault="00124E6E" w:rsidP="00FE3F4F">
      <w:pPr>
        <w:pStyle w:val="SingleTxtG"/>
        <w:tabs>
          <w:tab w:val="left" w:pos="2268"/>
        </w:tabs>
        <w:ind w:left="2259" w:hanging="1125"/>
        <w:rPr>
          <w:szCs w:val="24"/>
        </w:rPr>
      </w:pPr>
      <w:r w:rsidRPr="00640C9E">
        <w:rPr>
          <w:szCs w:val="24"/>
          <w:lang w:val="fr-FR"/>
        </w:rPr>
        <w:t>6.4.23.4</w:t>
      </w:r>
      <w:r w:rsidRPr="00640C9E">
        <w:rPr>
          <w:szCs w:val="24"/>
          <w:lang w:val="fr-FR"/>
        </w:rPr>
        <w:tab/>
        <w:t>Insérer un nouvel alinéa f) ainsi libellé</w:t>
      </w:r>
      <w:r>
        <w:rPr>
          <w:szCs w:val="24"/>
          <w:lang w:val="fr-FR"/>
        </w:rPr>
        <w:t> :</w:t>
      </w:r>
    </w:p>
    <w:p w:rsidR="00124E6E" w:rsidRPr="00640C9E" w:rsidRDefault="00361A7A" w:rsidP="00FE3F4F">
      <w:pPr>
        <w:pStyle w:val="SingleTxtG"/>
        <w:tabs>
          <w:tab w:val="left" w:pos="2268"/>
        </w:tabs>
        <w:ind w:left="2259" w:hanging="1125"/>
        <w:rPr>
          <w:szCs w:val="24"/>
        </w:rPr>
      </w:pPr>
      <w:r>
        <w:rPr>
          <w:szCs w:val="24"/>
          <w:lang w:val="fr-FR"/>
        </w:rPr>
        <w:tab/>
      </w:r>
      <w:r w:rsidR="00124E6E">
        <w:rPr>
          <w:szCs w:val="24"/>
          <w:lang w:val="fr-FR"/>
        </w:rPr>
        <w:t>« </w:t>
      </w:r>
      <w:proofErr w:type="gramStart"/>
      <w:r w:rsidR="00124E6E" w:rsidRPr="00640C9E">
        <w:rPr>
          <w:szCs w:val="24"/>
          <w:lang w:val="fr-FR"/>
        </w:rPr>
        <w:t>f</w:t>
      </w:r>
      <w:proofErr w:type="gramEnd"/>
      <w:r w:rsidR="00124E6E" w:rsidRPr="00640C9E">
        <w:rPr>
          <w:szCs w:val="24"/>
          <w:lang w:val="fr-FR"/>
        </w:rPr>
        <w:t xml:space="preserve">) </w:t>
      </w:r>
      <w:r w:rsidR="00124E6E" w:rsidRPr="00640C9E">
        <w:rPr>
          <w:szCs w:val="24"/>
          <w:lang w:val="fr-FR"/>
        </w:rPr>
        <w:tab/>
      </w:r>
      <w:r w:rsidR="00124E6E">
        <w:rPr>
          <w:szCs w:val="24"/>
          <w:lang w:val="fr-FR"/>
        </w:rPr>
        <w:t>Si le colis doit être utilisé à des fins d’</w:t>
      </w:r>
      <w:r w:rsidR="00124E6E" w:rsidRPr="00640C9E">
        <w:rPr>
          <w:szCs w:val="24"/>
          <w:lang w:val="fr-FR"/>
        </w:rPr>
        <w:t xml:space="preserve">expédition après entreposage, une justification </w:t>
      </w:r>
      <w:r w:rsidR="00124E6E">
        <w:rPr>
          <w:szCs w:val="24"/>
          <w:lang w:val="fr-FR"/>
        </w:rPr>
        <w:t>de la prise en compte des</w:t>
      </w:r>
      <w:r w:rsidR="00124E6E" w:rsidRPr="00640C9E">
        <w:rPr>
          <w:szCs w:val="24"/>
          <w:lang w:val="fr-FR"/>
        </w:rPr>
        <w:t xml:space="preserve"> mécanismes de vieillissement, dans l</w:t>
      </w:r>
      <w:r w:rsidR="00124E6E">
        <w:rPr>
          <w:szCs w:val="24"/>
          <w:lang w:val="fr-FR"/>
        </w:rPr>
        <w:t>’</w:t>
      </w:r>
      <w:r w:rsidR="00124E6E" w:rsidRPr="00640C9E">
        <w:rPr>
          <w:szCs w:val="24"/>
          <w:lang w:val="fr-FR"/>
        </w:rPr>
        <w:t xml:space="preserve">analyse de </w:t>
      </w:r>
      <w:r w:rsidR="00124E6E">
        <w:rPr>
          <w:szCs w:val="24"/>
          <w:lang w:val="fr-FR"/>
        </w:rPr>
        <w:t>la sûreté dans le cadre des instructions prévues pour le mode d’emploi et l’entretien ; ».</w:t>
      </w:r>
    </w:p>
    <w:p w:rsidR="00124E6E" w:rsidRDefault="00361A7A" w:rsidP="00FE3F4F">
      <w:pPr>
        <w:pStyle w:val="SingleTxtG"/>
        <w:tabs>
          <w:tab w:val="left" w:pos="2268"/>
        </w:tabs>
        <w:ind w:left="2259" w:hanging="1125"/>
        <w:rPr>
          <w:szCs w:val="24"/>
          <w:lang w:val="fr-FR"/>
        </w:rPr>
      </w:pPr>
      <w:r>
        <w:rPr>
          <w:szCs w:val="24"/>
          <w:lang w:val="fr-FR"/>
        </w:rPr>
        <w:tab/>
      </w:r>
      <w:r w:rsidR="00124E6E" w:rsidRPr="00640C9E">
        <w:rPr>
          <w:szCs w:val="24"/>
          <w:lang w:val="fr-FR"/>
        </w:rPr>
        <w:t>Renuméroter les alinéas suivants en conséquence.</w:t>
      </w:r>
    </w:p>
    <w:p w:rsidR="00124E6E" w:rsidRPr="00640C9E" w:rsidRDefault="00361A7A" w:rsidP="00FE3F4F">
      <w:pPr>
        <w:pStyle w:val="SingleTxtG"/>
        <w:tabs>
          <w:tab w:val="left" w:pos="2268"/>
        </w:tabs>
        <w:ind w:left="2259" w:hanging="1125"/>
        <w:rPr>
          <w:szCs w:val="24"/>
        </w:rPr>
      </w:pPr>
      <w:r>
        <w:rPr>
          <w:szCs w:val="24"/>
        </w:rPr>
        <w:tab/>
      </w:r>
      <w:r w:rsidR="00124E6E">
        <w:rPr>
          <w:szCs w:val="24"/>
        </w:rPr>
        <w:t xml:space="preserve">À la fin du nouvel alinéa i) (actuel h)), supprimer « et ». </w:t>
      </w:r>
      <w:proofErr w:type="gramStart"/>
      <w:r w:rsidR="00124E6E">
        <w:rPr>
          <w:szCs w:val="24"/>
        </w:rPr>
        <w:t>à</w:t>
      </w:r>
      <w:proofErr w:type="gramEnd"/>
      <w:r w:rsidR="00124E6E">
        <w:rPr>
          <w:szCs w:val="24"/>
        </w:rPr>
        <w:t xml:space="preserve"> la fin du nouvel alinéa j) (actuel i)), remplacer « . » par « ; et ».</w:t>
      </w:r>
    </w:p>
    <w:p w:rsidR="00124E6E" w:rsidRPr="00640C9E" w:rsidRDefault="00361A7A" w:rsidP="00FE3F4F">
      <w:pPr>
        <w:pStyle w:val="SingleTxtG"/>
        <w:tabs>
          <w:tab w:val="left" w:pos="2268"/>
        </w:tabs>
        <w:ind w:left="2259" w:hanging="1125"/>
        <w:rPr>
          <w:szCs w:val="24"/>
        </w:rPr>
      </w:pPr>
      <w:r>
        <w:rPr>
          <w:szCs w:val="24"/>
          <w:lang w:val="fr-FR"/>
        </w:rPr>
        <w:tab/>
      </w:r>
      <w:r w:rsidR="00124E6E" w:rsidRPr="00640C9E">
        <w:rPr>
          <w:szCs w:val="24"/>
          <w:lang w:val="fr-FR"/>
        </w:rPr>
        <w:t xml:space="preserve">Ajouter un nouvel </w:t>
      </w:r>
      <w:r w:rsidR="00124E6E">
        <w:rPr>
          <w:szCs w:val="24"/>
          <w:lang w:val="fr-FR"/>
        </w:rPr>
        <w:t>alinéa k)</w:t>
      </w:r>
      <w:r w:rsidR="00124E6E" w:rsidRPr="00640C9E">
        <w:rPr>
          <w:szCs w:val="24"/>
          <w:lang w:val="fr-FR"/>
        </w:rPr>
        <w:t xml:space="preserve"> ainsi libellé</w:t>
      </w:r>
      <w:r w:rsidR="00124E6E">
        <w:rPr>
          <w:szCs w:val="24"/>
          <w:lang w:val="fr-FR"/>
        </w:rPr>
        <w:t> :</w:t>
      </w:r>
    </w:p>
    <w:p w:rsidR="00124E6E" w:rsidRPr="00640C9E" w:rsidRDefault="00361A7A" w:rsidP="00FE3F4F">
      <w:pPr>
        <w:pStyle w:val="SingleTxtG"/>
        <w:tabs>
          <w:tab w:val="left" w:pos="2268"/>
        </w:tabs>
        <w:ind w:left="2259" w:hanging="1125"/>
        <w:rPr>
          <w:szCs w:val="24"/>
        </w:rPr>
      </w:pPr>
      <w:r>
        <w:rPr>
          <w:szCs w:val="24"/>
          <w:lang w:val="fr-FR"/>
        </w:rPr>
        <w:lastRenderedPageBreak/>
        <w:tab/>
      </w:r>
      <w:r w:rsidR="00124E6E">
        <w:rPr>
          <w:szCs w:val="24"/>
          <w:lang w:val="fr-FR"/>
        </w:rPr>
        <w:t>« </w:t>
      </w:r>
      <w:proofErr w:type="gramStart"/>
      <w:r w:rsidR="00124E6E">
        <w:rPr>
          <w:szCs w:val="24"/>
          <w:lang w:val="fr-FR"/>
        </w:rPr>
        <w:t>k</w:t>
      </w:r>
      <w:proofErr w:type="gramEnd"/>
      <w:r w:rsidR="00124E6E">
        <w:rPr>
          <w:szCs w:val="24"/>
          <w:lang w:val="fr-FR"/>
        </w:rPr>
        <w:t>)</w:t>
      </w:r>
      <w:r w:rsidR="00124E6E" w:rsidRPr="00640C9E">
        <w:rPr>
          <w:szCs w:val="24"/>
          <w:lang w:val="fr-FR"/>
        </w:rPr>
        <w:tab/>
        <w:t>Pour les colis destinés à être utilisés pour une expédition après entreposage, un programme d</w:t>
      </w:r>
      <w:r w:rsidR="00124E6E">
        <w:rPr>
          <w:szCs w:val="24"/>
          <w:lang w:val="fr-FR"/>
        </w:rPr>
        <w:t>’</w:t>
      </w:r>
      <w:r w:rsidR="00124E6E" w:rsidRPr="00640C9E">
        <w:rPr>
          <w:szCs w:val="24"/>
          <w:lang w:val="fr-FR"/>
        </w:rPr>
        <w:t xml:space="preserve">analyse des </w:t>
      </w:r>
      <w:r w:rsidR="00124E6E">
        <w:rPr>
          <w:szCs w:val="24"/>
          <w:lang w:val="fr-FR"/>
        </w:rPr>
        <w:t xml:space="preserve">écarts </w:t>
      </w:r>
      <w:r w:rsidR="00124E6E" w:rsidRPr="00640C9E">
        <w:rPr>
          <w:szCs w:val="24"/>
          <w:lang w:val="fr-FR"/>
        </w:rPr>
        <w:t>décrivant une procédure systématique d</w:t>
      </w:r>
      <w:r w:rsidR="00124E6E">
        <w:rPr>
          <w:szCs w:val="24"/>
          <w:lang w:val="fr-FR"/>
        </w:rPr>
        <w:t>’</w:t>
      </w:r>
      <w:r w:rsidR="00124E6E" w:rsidRPr="00640C9E">
        <w:rPr>
          <w:szCs w:val="24"/>
          <w:lang w:val="fr-FR"/>
        </w:rPr>
        <w:t>évaluation périodique</w:t>
      </w:r>
      <w:r w:rsidR="00124E6E">
        <w:rPr>
          <w:szCs w:val="24"/>
          <w:lang w:val="fr-FR"/>
        </w:rPr>
        <w:t xml:space="preserve"> des changements au niveau de la réglementation applicable, des connaissances techniques et de l’état du modèle de colis pendant l’entreposage</w:t>
      </w:r>
      <w:r w:rsidR="00124E6E" w:rsidRPr="00640C9E">
        <w:rPr>
          <w:szCs w:val="24"/>
          <w:lang w:val="fr-FR"/>
        </w:rPr>
        <w:t>.</w:t>
      </w:r>
      <w:r w:rsidR="00124E6E">
        <w:rPr>
          <w:szCs w:val="24"/>
          <w:lang w:val="fr-FR"/>
        </w:rPr>
        <w:t> ».</w:t>
      </w:r>
    </w:p>
    <w:p w:rsidR="00124E6E" w:rsidRPr="00640C9E" w:rsidRDefault="00124E6E" w:rsidP="00FE3F4F">
      <w:pPr>
        <w:pStyle w:val="SingleTxtG"/>
        <w:tabs>
          <w:tab w:val="left" w:pos="2268"/>
        </w:tabs>
        <w:ind w:left="2259" w:hanging="1125"/>
        <w:rPr>
          <w:szCs w:val="24"/>
        </w:rPr>
      </w:pPr>
      <w:r w:rsidRPr="00640C9E">
        <w:rPr>
          <w:szCs w:val="24"/>
          <w:lang w:val="fr-FR"/>
        </w:rPr>
        <w:t>6.4.23.8</w:t>
      </w:r>
      <w:r>
        <w:rPr>
          <w:szCs w:val="24"/>
          <w:lang w:val="fr-FR"/>
        </w:rPr>
        <w:t xml:space="preserve"> </w:t>
      </w:r>
      <w:r w:rsidRPr="00640C9E">
        <w:rPr>
          <w:szCs w:val="24"/>
          <w:lang w:val="fr-FR"/>
        </w:rPr>
        <w:t>c)</w:t>
      </w:r>
      <w:r w:rsidRPr="00640C9E">
        <w:rPr>
          <w:szCs w:val="24"/>
          <w:lang w:val="fr-FR"/>
        </w:rPr>
        <w:tab/>
      </w:r>
      <w:r>
        <w:rPr>
          <w:szCs w:val="24"/>
          <w:lang w:val="fr-FR"/>
        </w:rPr>
        <w:t>L’amendement à la version anglaise est sans objet en français.</w:t>
      </w:r>
    </w:p>
    <w:p w:rsidR="00124E6E" w:rsidRPr="00AB7C1B" w:rsidRDefault="00124E6E" w:rsidP="00FE3F4F">
      <w:pPr>
        <w:pStyle w:val="SingleTxtG"/>
        <w:tabs>
          <w:tab w:val="left" w:pos="2268"/>
        </w:tabs>
        <w:ind w:left="2259" w:hanging="1125"/>
      </w:pPr>
      <w:r>
        <w:t>6.4.23.10 c)</w:t>
      </w:r>
      <w:r>
        <w:tab/>
      </w:r>
      <w:r>
        <w:rPr>
          <w:szCs w:val="24"/>
        </w:rPr>
        <w:t>Remplacer</w:t>
      </w:r>
      <w:r>
        <w:rPr>
          <w:szCs w:val="24"/>
          <w:lang w:val="fr-FR"/>
        </w:rPr>
        <w:t xml:space="preserve"> « l’</w:t>
      </w:r>
      <w:r w:rsidRPr="00640C9E">
        <w:rPr>
          <w:szCs w:val="24"/>
          <w:lang w:val="fr-FR"/>
        </w:rPr>
        <w:t>intensité de rayonnement</w:t>
      </w:r>
      <w:r>
        <w:rPr>
          <w:szCs w:val="24"/>
          <w:lang w:val="fr-FR"/>
        </w:rPr>
        <w:t xml:space="preserve"> externe maximale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xml:space="preserve"> externe maximal ».</w:t>
      </w:r>
    </w:p>
    <w:p w:rsidR="00124E6E" w:rsidRPr="00B37176" w:rsidRDefault="00124E6E" w:rsidP="00FE3F4F">
      <w:pPr>
        <w:pStyle w:val="SingleTxtG"/>
        <w:tabs>
          <w:tab w:val="left" w:pos="2268"/>
        </w:tabs>
        <w:ind w:left="2259" w:hanging="1125"/>
      </w:pPr>
      <w:r>
        <w:t>6.4.23.10 f)</w:t>
      </w:r>
      <w:r>
        <w:tab/>
      </w:r>
      <w:r>
        <w:rPr>
          <w:szCs w:val="24"/>
        </w:rPr>
        <w:t>Remplacer</w:t>
      </w:r>
      <w:r>
        <w:rPr>
          <w:szCs w:val="24"/>
          <w:lang w:val="fr-FR"/>
        </w:rPr>
        <w:t xml:space="preserve"> « l’</w:t>
      </w:r>
      <w:r w:rsidRPr="00640C9E">
        <w:rPr>
          <w:szCs w:val="24"/>
          <w:lang w:val="fr-FR"/>
        </w:rPr>
        <w:t xml:space="preserve">intensité </w:t>
      </w:r>
      <w:r>
        <w:rPr>
          <w:szCs w:val="24"/>
          <w:lang w:val="fr-FR"/>
        </w:rPr>
        <w:t>maximale spécifiée</w:t>
      </w:r>
      <w:r w:rsidRPr="00640C9E">
        <w:rPr>
          <w:szCs w:val="24"/>
          <w:lang w:val="fr-FR"/>
        </w:rPr>
        <w:t xml:space="preserve"> de rayonnement</w:t>
      </w:r>
      <w:r>
        <w:rPr>
          <w:szCs w:val="24"/>
          <w:lang w:val="fr-FR"/>
        </w:rPr>
        <w:t xml:space="preserve"> pour l’appareil ou l’objet n’est pas dépassée »</w:t>
      </w:r>
      <w:r w:rsidRPr="00640C9E">
        <w:rPr>
          <w:szCs w:val="24"/>
          <w:lang w:val="fr-FR"/>
        </w:rPr>
        <w:t xml:space="preserve"> par </w:t>
      </w:r>
      <w:r>
        <w:rPr>
          <w:szCs w:val="24"/>
          <w:lang w:val="fr-FR"/>
        </w:rPr>
        <w:t xml:space="preserve">« le </w:t>
      </w:r>
      <w:r w:rsidRPr="00640C9E">
        <w:rPr>
          <w:szCs w:val="24"/>
          <w:lang w:val="fr-FR"/>
        </w:rPr>
        <w:t>débit de dose</w:t>
      </w:r>
      <w:r>
        <w:rPr>
          <w:szCs w:val="24"/>
          <w:lang w:val="fr-FR"/>
        </w:rPr>
        <w:t xml:space="preserve"> maximal spécifié pour l’appareil ou l’objet ne sont pas dépassés ».</w:t>
      </w:r>
    </w:p>
    <w:p w:rsidR="00124E6E" w:rsidRPr="00640C9E" w:rsidRDefault="00124E6E" w:rsidP="00FE3F4F">
      <w:pPr>
        <w:pStyle w:val="SingleTxtG"/>
        <w:tabs>
          <w:tab w:val="left" w:pos="2268"/>
        </w:tabs>
        <w:ind w:left="2259" w:hanging="1125"/>
        <w:rPr>
          <w:szCs w:val="24"/>
        </w:rPr>
      </w:pPr>
      <w:r w:rsidRPr="00640C9E">
        <w:rPr>
          <w:szCs w:val="24"/>
          <w:lang w:val="fr-FR"/>
        </w:rPr>
        <w:t>6.4.23.10</w:t>
      </w:r>
      <w:r>
        <w:rPr>
          <w:szCs w:val="24"/>
          <w:lang w:val="fr-FR"/>
        </w:rPr>
        <w:t xml:space="preserve"> h)</w:t>
      </w:r>
      <w:r w:rsidRPr="00640C9E">
        <w:rPr>
          <w:szCs w:val="24"/>
          <w:lang w:val="fr-FR"/>
        </w:rPr>
        <w:tab/>
      </w:r>
      <w:r>
        <w:rPr>
          <w:szCs w:val="24"/>
          <w:lang w:val="fr-FR"/>
        </w:rPr>
        <w:t>R</w:t>
      </w:r>
      <w:r w:rsidRPr="00640C9E">
        <w:rPr>
          <w:szCs w:val="24"/>
          <w:lang w:val="fr-FR"/>
        </w:rPr>
        <w:t xml:space="preserve">emplacer </w:t>
      </w:r>
      <w:r>
        <w:rPr>
          <w:szCs w:val="24"/>
          <w:lang w:val="fr-FR"/>
        </w:rPr>
        <w:t>« </w:t>
      </w:r>
      <w:r w:rsidRPr="00E05CC3">
        <w:rPr>
          <w:szCs w:val="24"/>
          <w:lang w:val="fr-FR"/>
        </w:rPr>
        <w:t>Normes fondamentales internationales de protection contre les rayonnements ionisants et de sûreté des sources de rayonnements</w:t>
      </w:r>
      <w:r w:rsidRPr="00C33EC5">
        <w:rPr>
          <w:szCs w:val="24"/>
          <w:lang w:val="fr-FR"/>
        </w:rPr>
        <w:t>,</w:t>
      </w:r>
      <w:r w:rsidRPr="00640C9E">
        <w:rPr>
          <w:szCs w:val="24"/>
          <w:lang w:val="fr-FR"/>
        </w:rPr>
        <w:t xml:space="preserve"> </w:t>
      </w:r>
      <w:r>
        <w:rPr>
          <w:szCs w:val="24"/>
          <w:lang w:val="fr-FR"/>
        </w:rPr>
        <w:t>C</w:t>
      </w:r>
      <w:r w:rsidRPr="00640C9E">
        <w:rPr>
          <w:szCs w:val="24"/>
          <w:lang w:val="fr-FR"/>
        </w:rPr>
        <w:t>ollection Sécurité, n</w:t>
      </w:r>
      <w:r w:rsidRPr="00640C9E">
        <w:rPr>
          <w:szCs w:val="24"/>
          <w:vertAlign w:val="superscript"/>
          <w:lang w:val="fr-FR"/>
        </w:rPr>
        <w:t>o</w:t>
      </w:r>
      <w:r>
        <w:rPr>
          <w:szCs w:val="24"/>
          <w:lang w:val="fr-FR"/>
        </w:rPr>
        <w:t> </w:t>
      </w:r>
      <w:r w:rsidRPr="00640C9E">
        <w:rPr>
          <w:szCs w:val="24"/>
          <w:lang w:val="fr-FR"/>
        </w:rPr>
        <w:t>115, AIEA, Vienne (1996)</w:t>
      </w:r>
      <w:r>
        <w:rPr>
          <w:szCs w:val="24"/>
          <w:lang w:val="fr-FR"/>
        </w:rPr>
        <w:t> »</w:t>
      </w:r>
      <w:r w:rsidRPr="00640C9E">
        <w:rPr>
          <w:szCs w:val="24"/>
          <w:lang w:val="fr-FR"/>
        </w:rPr>
        <w:t xml:space="preserve"> par </w:t>
      </w:r>
      <w:r>
        <w:rPr>
          <w:szCs w:val="24"/>
          <w:lang w:val="fr-FR"/>
        </w:rPr>
        <w:t>« </w:t>
      </w:r>
      <w:r w:rsidRPr="00E05CC3">
        <w:rPr>
          <w:szCs w:val="24"/>
          <w:lang w:val="fr-FR"/>
        </w:rPr>
        <w:t>Radioprotection et sûreté des sources de rayonnements : normes fondamentales internationales de sûreté</w:t>
      </w:r>
      <w:r w:rsidRPr="00C33EC5">
        <w:rPr>
          <w:szCs w:val="24"/>
          <w:lang w:val="fr-FR"/>
        </w:rPr>
        <w:t>,</w:t>
      </w:r>
      <w:r w:rsidRPr="00640C9E">
        <w:rPr>
          <w:szCs w:val="24"/>
          <w:lang w:val="fr-FR"/>
        </w:rPr>
        <w:t xml:space="preserve"> collection Normes de sûreté de l</w:t>
      </w:r>
      <w:r>
        <w:rPr>
          <w:szCs w:val="24"/>
          <w:lang w:val="fr-FR"/>
        </w:rPr>
        <w:t>’</w:t>
      </w:r>
      <w:r w:rsidRPr="00640C9E">
        <w:rPr>
          <w:szCs w:val="24"/>
          <w:lang w:val="fr-FR"/>
        </w:rPr>
        <w:t>AIEA, n</w:t>
      </w:r>
      <w:r w:rsidRPr="00640C9E">
        <w:rPr>
          <w:szCs w:val="24"/>
          <w:vertAlign w:val="superscript"/>
          <w:lang w:val="fr-FR"/>
        </w:rPr>
        <w:t>o</w:t>
      </w:r>
      <w:r>
        <w:rPr>
          <w:szCs w:val="24"/>
          <w:lang w:val="fr-FR"/>
        </w:rPr>
        <w:t> </w:t>
      </w:r>
      <w:r w:rsidRPr="00640C9E">
        <w:rPr>
          <w:szCs w:val="24"/>
          <w:lang w:val="fr-FR"/>
        </w:rPr>
        <w:t>GSR Part</w:t>
      </w:r>
      <w:r>
        <w:rPr>
          <w:szCs w:val="24"/>
          <w:lang w:val="fr-FR"/>
        </w:rPr>
        <w:t>ie</w:t>
      </w:r>
      <w:r w:rsidRPr="00640C9E">
        <w:rPr>
          <w:szCs w:val="24"/>
          <w:lang w:val="fr-FR"/>
        </w:rPr>
        <w:t xml:space="preserve"> 3, AIEA, Vienne (2014)</w:t>
      </w:r>
      <w:r>
        <w:rPr>
          <w:szCs w:val="24"/>
          <w:lang w:val="fr-FR"/>
        </w:rPr>
        <w:t> »</w:t>
      </w:r>
      <w:r w:rsidRPr="00640C9E">
        <w:rPr>
          <w:szCs w:val="24"/>
          <w:lang w:val="fr-FR"/>
        </w:rPr>
        <w:t>.</w:t>
      </w:r>
    </w:p>
    <w:p w:rsidR="00124E6E" w:rsidRPr="00640C9E" w:rsidRDefault="00124E6E" w:rsidP="00FE3F4F">
      <w:pPr>
        <w:pStyle w:val="SingleTxtG"/>
        <w:tabs>
          <w:tab w:val="left" w:pos="2268"/>
        </w:tabs>
        <w:ind w:left="2259" w:hanging="1125"/>
        <w:rPr>
          <w:szCs w:val="24"/>
        </w:rPr>
      </w:pPr>
      <w:r w:rsidRPr="00640C9E">
        <w:rPr>
          <w:szCs w:val="24"/>
          <w:lang w:val="fr-FR"/>
        </w:rPr>
        <w:t>6.4.23.11</w:t>
      </w:r>
      <w:r w:rsidRPr="00640C9E">
        <w:rPr>
          <w:szCs w:val="24"/>
          <w:lang w:val="fr-FR"/>
        </w:rPr>
        <w:tab/>
        <w:t>Supprimer l</w:t>
      </w:r>
      <w:r>
        <w:rPr>
          <w:szCs w:val="24"/>
          <w:lang w:val="fr-FR"/>
        </w:rPr>
        <w:t>’</w:t>
      </w:r>
      <w:r w:rsidRPr="00640C9E">
        <w:rPr>
          <w:szCs w:val="24"/>
          <w:lang w:val="fr-FR"/>
        </w:rPr>
        <w:t>alinéa d).</w:t>
      </w:r>
    </w:p>
    <w:p w:rsidR="00124E6E" w:rsidRPr="00640C9E" w:rsidRDefault="00124E6E" w:rsidP="00FE3F4F">
      <w:pPr>
        <w:pStyle w:val="SingleTxtG"/>
        <w:tabs>
          <w:tab w:val="left" w:pos="2268"/>
        </w:tabs>
        <w:ind w:left="2259" w:hanging="1125"/>
        <w:rPr>
          <w:szCs w:val="24"/>
        </w:rPr>
      </w:pPr>
      <w:r w:rsidRPr="00640C9E">
        <w:rPr>
          <w:szCs w:val="24"/>
          <w:lang w:val="fr-FR"/>
        </w:rPr>
        <w:t>6.4.23.12</w:t>
      </w:r>
      <w:r>
        <w:rPr>
          <w:szCs w:val="24"/>
          <w:lang w:val="fr-FR"/>
        </w:rPr>
        <w:t xml:space="preserve"> a)</w:t>
      </w:r>
      <w:r w:rsidRPr="00640C9E">
        <w:rPr>
          <w:szCs w:val="24"/>
          <w:lang w:val="fr-FR"/>
        </w:rPr>
        <w:tab/>
      </w:r>
      <w:r>
        <w:rPr>
          <w:szCs w:val="24"/>
          <w:lang w:val="fr-FR"/>
        </w:rPr>
        <w:t>R</w:t>
      </w:r>
      <w:r w:rsidRPr="00640C9E">
        <w:rPr>
          <w:szCs w:val="24"/>
          <w:lang w:val="fr-FR"/>
        </w:rPr>
        <w:t xml:space="preserve">emplacer </w:t>
      </w:r>
      <w:r>
        <w:rPr>
          <w:szCs w:val="24"/>
          <w:lang w:val="fr-FR"/>
        </w:rPr>
        <w:t>« </w:t>
      </w:r>
      <w:r w:rsidRPr="00640C9E">
        <w:rPr>
          <w:szCs w:val="24"/>
          <w:lang w:val="fr-FR"/>
        </w:rPr>
        <w:t>aux alinéas a), b), c) et d) du 6.4.23.11</w:t>
      </w:r>
      <w:r>
        <w:rPr>
          <w:szCs w:val="24"/>
          <w:lang w:val="fr-FR"/>
        </w:rPr>
        <w:t> »</w:t>
      </w:r>
      <w:r w:rsidRPr="00640C9E">
        <w:rPr>
          <w:szCs w:val="24"/>
          <w:lang w:val="fr-FR"/>
        </w:rPr>
        <w:t xml:space="preserve"> par </w:t>
      </w:r>
      <w:r>
        <w:rPr>
          <w:szCs w:val="24"/>
          <w:lang w:val="fr-FR"/>
        </w:rPr>
        <w:t>« </w:t>
      </w:r>
      <w:r w:rsidRPr="00640C9E">
        <w:rPr>
          <w:szCs w:val="24"/>
          <w:lang w:val="fr-FR"/>
        </w:rPr>
        <w:t>au 6.4.23.11</w:t>
      </w:r>
      <w:r>
        <w:rPr>
          <w:szCs w:val="24"/>
          <w:lang w:val="fr-FR"/>
        </w:rPr>
        <w:t xml:space="preserve"> a), b) et c) »</w:t>
      </w:r>
      <w:r w:rsidRPr="00640C9E">
        <w:rPr>
          <w:szCs w:val="24"/>
          <w:lang w:val="fr-FR"/>
        </w:rPr>
        <w:t xml:space="preserve"> et supprimer </w:t>
      </w:r>
      <w:r>
        <w:rPr>
          <w:szCs w:val="24"/>
          <w:lang w:val="fr-FR"/>
        </w:rPr>
        <w:t>« </w:t>
      </w:r>
      <w:r w:rsidRPr="00640C9E">
        <w:rPr>
          <w:szCs w:val="24"/>
          <w:lang w:val="fr-FR"/>
        </w:rPr>
        <w:t xml:space="preserve">y compris, le cas échéant, le symbole </w:t>
      </w:r>
      <w:r>
        <w:rPr>
          <w:szCs w:val="24"/>
          <w:lang w:val="fr-FR"/>
        </w:rPr>
        <w:t>« </w:t>
      </w:r>
      <w:r>
        <w:rPr>
          <w:szCs w:val="24"/>
          <w:lang w:val="fr-FR"/>
        </w:rPr>
        <w:noBreakHyphen/>
        <w:t>96 »</w:t>
      </w:r>
      <w:r w:rsidRPr="00640C9E">
        <w:rPr>
          <w:szCs w:val="24"/>
          <w:lang w:val="fr-FR"/>
        </w:rPr>
        <w:t>. À la fin de la première phrase de l</w:t>
      </w:r>
      <w:r>
        <w:rPr>
          <w:szCs w:val="24"/>
          <w:lang w:val="fr-FR"/>
        </w:rPr>
        <w:t>’</w:t>
      </w:r>
      <w:r w:rsidRPr="00640C9E">
        <w:rPr>
          <w:szCs w:val="24"/>
          <w:lang w:val="fr-FR"/>
        </w:rPr>
        <w:t xml:space="preserve">alinéa a), remplacer </w:t>
      </w:r>
      <w:r>
        <w:rPr>
          <w:szCs w:val="24"/>
          <w:lang w:val="fr-FR"/>
        </w:rPr>
        <w:t>« </w:t>
      </w:r>
      <w:r w:rsidRPr="00640C9E">
        <w:rPr>
          <w:szCs w:val="24"/>
          <w:lang w:val="fr-FR"/>
        </w:rPr>
        <w:t>les marques d</w:t>
      </w:r>
      <w:r>
        <w:rPr>
          <w:szCs w:val="24"/>
          <w:lang w:val="fr-FR"/>
        </w:rPr>
        <w:t>’</w:t>
      </w:r>
      <w:r w:rsidRPr="00640C9E">
        <w:rPr>
          <w:szCs w:val="24"/>
          <w:lang w:val="fr-FR"/>
        </w:rPr>
        <w:t>identification appropriée</w:t>
      </w:r>
      <w:r>
        <w:rPr>
          <w:szCs w:val="24"/>
          <w:lang w:val="fr-FR"/>
        </w:rPr>
        <w:t> »</w:t>
      </w:r>
      <w:r w:rsidRPr="00640C9E">
        <w:rPr>
          <w:szCs w:val="24"/>
          <w:lang w:val="fr-FR"/>
        </w:rPr>
        <w:t xml:space="preserve"> par </w:t>
      </w:r>
      <w:r>
        <w:rPr>
          <w:szCs w:val="24"/>
          <w:lang w:val="fr-FR"/>
        </w:rPr>
        <w:t>« </w:t>
      </w:r>
      <w:r w:rsidRPr="00640C9E">
        <w:rPr>
          <w:szCs w:val="24"/>
          <w:lang w:val="fr-FR"/>
        </w:rPr>
        <w:t>la marque d</w:t>
      </w:r>
      <w:r>
        <w:rPr>
          <w:szCs w:val="24"/>
          <w:lang w:val="fr-FR"/>
        </w:rPr>
        <w:t>’</w:t>
      </w:r>
      <w:r w:rsidRPr="00640C9E">
        <w:rPr>
          <w:szCs w:val="24"/>
          <w:lang w:val="fr-FR"/>
        </w:rPr>
        <w:t>identification appropriée</w:t>
      </w:r>
      <w:r>
        <w:rPr>
          <w:szCs w:val="24"/>
          <w:lang w:val="fr-FR"/>
        </w:rPr>
        <w:t> »</w:t>
      </w:r>
      <w:r w:rsidRPr="00640C9E">
        <w:rPr>
          <w:szCs w:val="24"/>
          <w:lang w:val="fr-FR"/>
        </w:rPr>
        <w:t>.</w:t>
      </w:r>
    </w:p>
    <w:p w:rsidR="00124E6E" w:rsidRPr="00640C9E" w:rsidRDefault="00124E6E" w:rsidP="00FE3F4F">
      <w:pPr>
        <w:pStyle w:val="SingleTxtG"/>
        <w:tabs>
          <w:tab w:val="left" w:pos="2268"/>
        </w:tabs>
        <w:ind w:left="2259" w:hanging="1125"/>
        <w:rPr>
          <w:szCs w:val="24"/>
        </w:rPr>
      </w:pPr>
      <w:r w:rsidRPr="00640C9E">
        <w:rPr>
          <w:szCs w:val="24"/>
          <w:lang w:val="fr-FR"/>
        </w:rPr>
        <w:t>6.4.23.15</w:t>
      </w:r>
      <w:r>
        <w:rPr>
          <w:szCs w:val="24"/>
          <w:lang w:val="fr-FR"/>
        </w:rPr>
        <w:t xml:space="preserve"> </w:t>
      </w:r>
      <w:r>
        <w:rPr>
          <w:szCs w:val="24"/>
          <w:lang w:val="fr-FR"/>
        </w:rPr>
        <w:tab/>
      </w:r>
      <w:r>
        <w:rPr>
          <w:szCs w:val="24"/>
          <w:lang w:val="fr-FR"/>
        </w:rPr>
        <w:tab/>
        <w:t>À l’alinéa k) iii), r</w:t>
      </w:r>
      <w:r w:rsidRPr="00640C9E">
        <w:rPr>
          <w:szCs w:val="24"/>
          <w:lang w:val="fr-FR"/>
        </w:rPr>
        <w:t xml:space="preserve">emplacer </w:t>
      </w:r>
      <w:r>
        <w:rPr>
          <w:szCs w:val="24"/>
          <w:lang w:val="fr-FR"/>
        </w:rPr>
        <w:t>« </w:t>
      </w:r>
      <w:r w:rsidRPr="00640C9E">
        <w:rPr>
          <w:szCs w:val="24"/>
          <w:lang w:val="fr-FR"/>
        </w:rPr>
        <w:t>contenu</w:t>
      </w:r>
      <w:r>
        <w:rPr>
          <w:szCs w:val="24"/>
          <w:lang w:val="fr-FR"/>
        </w:rPr>
        <w:t> »</w:t>
      </w:r>
      <w:r w:rsidRPr="00640C9E">
        <w:rPr>
          <w:szCs w:val="24"/>
          <w:lang w:val="fr-FR"/>
        </w:rPr>
        <w:t xml:space="preserve"> par </w:t>
      </w:r>
      <w:r>
        <w:rPr>
          <w:szCs w:val="24"/>
          <w:lang w:val="fr-FR"/>
        </w:rPr>
        <w:t>« </w:t>
      </w:r>
      <w:r w:rsidRPr="00640C9E">
        <w:rPr>
          <w:szCs w:val="24"/>
          <w:lang w:val="fr-FR"/>
        </w:rPr>
        <w:t>colis</w:t>
      </w:r>
      <w:r>
        <w:rPr>
          <w:szCs w:val="24"/>
          <w:lang w:val="fr-FR"/>
        </w:rPr>
        <w:t> »</w:t>
      </w:r>
      <w:r w:rsidRPr="00640C9E">
        <w:rPr>
          <w:szCs w:val="24"/>
          <w:lang w:val="fr-FR"/>
        </w:rPr>
        <w:t xml:space="preserve">. </w:t>
      </w:r>
    </w:p>
    <w:p w:rsidR="00124E6E" w:rsidRPr="00640C9E" w:rsidRDefault="00124E6E" w:rsidP="00FE3F4F">
      <w:pPr>
        <w:pStyle w:val="SingleTxtG"/>
        <w:tabs>
          <w:tab w:val="left" w:pos="2268"/>
        </w:tabs>
        <w:ind w:left="2259" w:hanging="1125"/>
        <w:rPr>
          <w:szCs w:val="24"/>
        </w:rPr>
      </w:pPr>
      <w:r w:rsidRPr="00640C9E">
        <w:rPr>
          <w:szCs w:val="24"/>
          <w:lang w:val="fr-FR"/>
        </w:rPr>
        <w:t>6.4.23.17</w:t>
      </w:r>
      <w:r>
        <w:rPr>
          <w:szCs w:val="24"/>
          <w:lang w:val="fr-FR"/>
        </w:rPr>
        <w:t xml:space="preserve"> </w:t>
      </w:r>
      <w:r>
        <w:rPr>
          <w:szCs w:val="24"/>
          <w:lang w:val="fr-FR"/>
        </w:rPr>
        <w:tab/>
        <w:t>À l’alinéa n) iv), r</w:t>
      </w:r>
      <w:r w:rsidRPr="00640C9E">
        <w:rPr>
          <w:szCs w:val="24"/>
          <w:lang w:val="fr-FR"/>
        </w:rPr>
        <w:t xml:space="preserve">emplacer </w:t>
      </w:r>
      <w:r>
        <w:rPr>
          <w:szCs w:val="24"/>
          <w:lang w:val="fr-FR"/>
        </w:rPr>
        <w:t>« </w:t>
      </w:r>
      <w:r w:rsidRPr="00640C9E">
        <w:rPr>
          <w:szCs w:val="24"/>
          <w:lang w:val="fr-FR"/>
        </w:rPr>
        <w:t>contenu</w:t>
      </w:r>
      <w:r>
        <w:rPr>
          <w:szCs w:val="24"/>
          <w:lang w:val="fr-FR"/>
        </w:rPr>
        <w:t> »</w:t>
      </w:r>
      <w:r w:rsidRPr="00640C9E">
        <w:rPr>
          <w:szCs w:val="24"/>
          <w:lang w:val="fr-FR"/>
        </w:rPr>
        <w:t xml:space="preserve"> par </w:t>
      </w:r>
      <w:r>
        <w:rPr>
          <w:szCs w:val="24"/>
          <w:lang w:val="fr-FR"/>
        </w:rPr>
        <w:t>« </w:t>
      </w:r>
      <w:r w:rsidRPr="00640C9E">
        <w:rPr>
          <w:szCs w:val="24"/>
          <w:lang w:val="fr-FR"/>
        </w:rPr>
        <w:t>colis</w:t>
      </w:r>
      <w:r>
        <w:rPr>
          <w:szCs w:val="24"/>
          <w:lang w:val="fr-FR"/>
        </w:rPr>
        <w:t> »</w:t>
      </w:r>
      <w:r w:rsidRPr="00640C9E">
        <w:rPr>
          <w:szCs w:val="24"/>
          <w:lang w:val="fr-FR"/>
        </w:rPr>
        <w:t>.</w:t>
      </w:r>
    </w:p>
    <w:p w:rsidR="00124E6E" w:rsidRPr="00640C9E" w:rsidRDefault="00361A7A" w:rsidP="00FE3F4F">
      <w:pPr>
        <w:pStyle w:val="SingleTxtG"/>
        <w:tabs>
          <w:tab w:val="left" w:pos="2268"/>
        </w:tabs>
        <w:ind w:left="2259" w:hanging="1125"/>
        <w:rPr>
          <w:szCs w:val="24"/>
        </w:rPr>
      </w:pPr>
      <w:r>
        <w:rPr>
          <w:szCs w:val="24"/>
          <w:lang w:val="fr-FR"/>
        </w:rPr>
        <w:tab/>
      </w:r>
      <w:r w:rsidR="00124E6E" w:rsidRPr="00640C9E">
        <w:rPr>
          <w:szCs w:val="24"/>
          <w:lang w:val="fr-FR"/>
        </w:rPr>
        <w:t>Ajouter un nouvel alinéa p) après l</w:t>
      </w:r>
      <w:r w:rsidR="00124E6E">
        <w:rPr>
          <w:szCs w:val="24"/>
          <w:lang w:val="fr-FR"/>
        </w:rPr>
        <w:t>’</w:t>
      </w:r>
      <w:r w:rsidR="00124E6E" w:rsidRPr="00640C9E">
        <w:rPr>
          <w:szCs w:val="24"/>
          <w:lang w:val="fr-FR"/>
        </w:rPr>
        <w:t xml:space="preserve">alinéa o) du </w:t>
      </w:r>
      <w:r w:rsidR="00124E6E">
        <w:rPr>
          <w:szCs w:val="24"/>
          <w:lang w:val="fr-FR"/>
        </w:rPr>
        <w:t>6</w:t>
      </w:r>
      <w:r w:rsidR="00124E6E" w:rsidRPr="00640C9E">
        <w:rPr>
          <w:szCs w:val="24"/>
          <w:lang w:val="fr-FR"/>
        </w:rPr>
        <w:t>.4.23.17 et renuméroter en conséquence les alinéas suivants</w:t>
      </w:r>
      <w:r w:rsidR="00124E6E">
        <w:rPr>
          <w:szCs w:val="24"/>
          <w:lang w:val="fr-FR"/>
        </w:rPr>
        <w:t> :</w:t>
      </w:r>
    </w:p>
    <w:p w:rsidR="00124E6E" w:rsidRPr="00640C9E" w:rsidRDefault="00361A7A" w:rsidP="00FE3F4F">
      <w:pPr>
        <w:pStyle w:val="SingleTxtG"/>
        <w:tabs>
          <w:tab w:val="left" w:pos="2268"/>
        </w:tabs>
        <w:ind w:left="2259" w:hanging="1125"/>
        <w:rPr>
          <w:szCs w:val="24"/>
        </w:rPr>
      </w:pPr>
      <w:r>
        <w:rPr>
          <w:szCs w:val="24"/>
          <w:lang w:val="fr-FR"/>
        </w:rPr>
        <w:tab/>
      </w:r>
      <w:r w:rsidR="00124E6E">
        <w:rPr>
          <w:szCs w:val="24"/>
          <w:lang w:val="fr-FR"/>
        </w:rPr>
        <w:t>« </w:t>
      </w:r>
      <w:proofErr w:type="gramStart"/>
      <w:r w:rsidR="00124E6E" w:rsidRPr="00640C9E">
        <w:rPr>
          <w:szCs w:val="24"/>
          <w:lang w:val="fr-FR"/>
        </w:rPr>
        <w:t>p</w:t>
      </w:r>
      <w:proofErr w:type="gramEnd"/>
      <w:r w:rsidR="00124E6E" w:rsidRPr="00640C9E">
        <w:rPr>
          <w:szCs w:val="24"/>
          <w:lang w:val="fr-FR"/>
        </w:rPr>
        <w:t>)</w:t>
      </w:r>
      <w:r w:rsidR="00124E6E" w:rsidRPr="00640C9E">
        <w:rPr>
          <w:szCs w:val="24"/>
          <w:lang w:val="fr-FR"/>
        </w:rPr>
        <w:tab/>
        <w:t xml:space="preserve">Pour les modèles de colis soumis </w:t>
      </w:r>
      <w:r w:rsidR="00124E6E">
        <w:rPr>
          <w:szCs w:val="24"/>
          <w:lang w:val="fr-FR"/>
        </w:rPr>
        <w:t>aux mesures transitoires du 1.6.6.2.1</w:t>
      </w:r>
      <w:r w:rsidR="00124E6E" w:rsidRPr="00640C9E">
        <w:rPr>
          <w:szCs w:val="24"/>
          <w:lang w:val="fr-FR"/>
        </w:rPr>
        <w:t xml:space="preserve">, une déclaration indiquant celles des prescriptions </w:t>
      </w:r>
      <w:r w:rsidR="00124E6E">
        <w:rPr>
          <w:szCs w:val="24"/>
          <w:lang w:val="fr-FR"/>
        </w:rPr>
        <w:t>du RID/de l’ADR applicable à partir du 1er janvier 2021</w:t>
      </w:r>
      <w:r w:rsidR="00124E6E" w:rsidRPr="00640C9E">
        <w:rPr>
          <w:szCs w:val="24"/>
          <w:lang w:val="fr-FR"/>
        </w:rPr>
        <w:t xml:space="preserve"> auxquelles le colis ne satisfait pas</w:t>
      </w:r>
      <w:r w:rsidR="00124E6E">
        <w:rPr>
          <w:szCs w:val="24"/>
          <w:lang w:val="fr-FR"/>
        </w:rPr>
        <w:t> ; »</w:t>
      </w:r>
      <w:r w:rsidR="00124E6E" w:rsidRPr="00640C9E">
        <w:rPr>
          <w:szCs w:val="24"/>
          <w:lang w:val="fr-FR"/>
        </w:rPr>
        <w:t>.</w:t>
      </w:r>
    </w:p>
    <w:p w:rsidR="00124E6E" w:rsidRDefault="00124E6E" w:rsidP="00124E6E">
      <w:pPr>
        <w:pStyle w:val="H1G"/>
        <w:rPr>
          <w:lang w:val="fr-FR"/>
        </w:rPr>
      </w:pPr>
      <w:r>
        <w:rPr>
          <w:lang w:val="fr-FR"/>
        </w:rPr>
        <w:tab/>
      </w:r>
      <w:r>
        <w:rPr>
          <w:lang w:val="fr-FR"/>
        </w:rPr>
        <w:tab/>
        <w:t>Chapitre 6.5</w:t>
      </w:r>
    </w:p>
    <w:p w:rsidR="00124E6E" w:rsidRPr="00EE72C3" w:rsidRDefault="00124E6E" w:rsidP="00FE3F4F">
      <w:pPr>
        <w:pStyle w:val="SingleTxtG"/>
        <w:tabs>
          <w:tab w:val="left" w:pos="2268"/>
        </w:tabs>
        <w:ind w:left="2259" w:hanging="1125"/>
        <w:rPr>
          <w:lang w:val="fr-FR"/>
        </w:rPr>
      </w:pPr>
      <w:r w:rsidRPr="00EE72C3">
        <w:rPr>
          <w:lang w:val="fr-FR"/>
        </w:rPr>
        <w:t xml:space="preserve">Ajouter le nouveau </w:t>
      </w:r>
      <w:r>
        <w:rPr>
          <w:lang w:val="fr-FR"/>
        </w:rPr>
        <w:t xml:space="preserve">paragraphe </w:t>
      </w:r>
      <w:r w:rsidRPr="00EE72C3">
        <w:rPr>
          <w:lang w:val="fr-FR"/>
        </w:rPr>
        <w:t xml:space="preserve">6.5.2.1.3 </w:t>
      </w:r>
      <w:proofErr w:type="gramStart"/>
      <w:r w:rsidRPr="00EE72C3">
        <w:rPr>
          <w:lang w:val="fr-FR"/>
        </w:rPr>
        <w:t>suivant</w:t>
      </w:r>
      <w:proofErr w:type="gramEnd"/>
      <w:r w:rsidRPr="00EE72C3">
        <w:rPr>
          <w:lang w:val="fr-FR"/>
        </w:rPr>
        <w:t> :</w:t>
      </w:r>
    </w:p>
    <w:p w:rsidR="00124E6E" w:rsidRPr="00EE72C3" w:rsidRDefault="00124E6E" w:rsidP="00FE3F4F">
      <w:pPr>
        <w:pStyle w:val="SingleTxtG"/>
        <w:tabs>
          <w:tab w:val="left" w:pos="2268"/>
        </w:tabs>
        <w:ind w:left="2259" w:hanging="1125"/>
        <w:rPr>
          <w:lang w:val="fr-FR"/>
        </w:rPr>
      </w:pPr>
      <w:r w:rsidRPr="00EE72C3">
        <w:rPr>
          <w:lang w:val="fr-FR"/>
        </w:rPr>
        <w:t>« 6.5.2.1.3</w:t>
      </w:r>
      <w:r w:rsidRPr="00EE72C3">
        <w:rPr>
          <w:lang w:val="fr-FR"/>
        </w:rPr>
        <w:tab/>
        <w:t xml:space="preserve">Lorsqu'un GRV est conforme </w:t>
      </w:r>
      <w:r>
        <w:t xml:space="preserve">à un ou plusieurs modèles types de </w:t>
      </w:r>
      <w:r w:rsidRPr="00EE72C3">
        <w:rPr>
          <w:lang w:val="fr-FR"/>
        </w:rPr>
        <w:t xml:space="preserve">GRV </w:t>
      </w:r>
      <w:r>
        <w:t>ayant satisfait aux épreuves</w:t>
      </w:r>
      <w:r w:rsidRPr="00EE72C3">
        <w:rPr>
          <w:lang w:val="fr-FR"/>
        </w:rPr>
        <w:t xml:space="preserve">, </w:t>
      </w:r>
      <w:r>
        <w:rPr>
          <w:lang w:val="fr-FR"/>
        </w:rPr>
        <w:t xml:space="preserve">y compris </w:t>
      </w:r>
      <w:r>
        <w:t xml:space="preserve">un ou plusieurs modèles types d’emballages ou de grands </w:t>
      </w:r>
      <w:r w:rsidRPr="00EE72C3">
        <w:rPr>
          <w:lang w:val="fr-FR"/>
        </w:rPr>
        <w:t>emballage</w:t>
      </w:r>
      <w:r>
        <w:rPr>
          <w:lang w:val="fr-FR"/>
        </w:rPr>
        <w:t>s,</w:t>
      </w:r>
      <w:r w:rsidRPr="00EE72C3">
        <w:rPr>
          <w:lang w:val="fr-FR"/>
        </w:rPr>
        <w:t xml:space="preserve"> le GRV peut porter plus d’une marque</w:t>
      </w:r>
      <w:r>
        <w:rPr>
          <w:lang w:val="fr-FR"/>
        </w:rPr>
        <w:t xml:space="preserve"> pour indiquer les exigences d’épreuves de performance applicables qui ont été atteintes</w:t>
      </w:r>
      <w:r w:rsidRPr="00EE72C3">
        <w:rPr>
          <w:lang w:val="fr-FR"/>
        </w:rPr>
        <w:t>. Lorsque plus d'une marque apparaît sur un GRV, les marques doivent apparaître à proximité les unes des autres et chaque marque doit apparaître dans son intégralité. ».</w:t>
      </w:r>
    </w:p>
    <w:p w:rsidR="00124E6E" w:rsidRDefault="00124E6E" w:rsidP="00FE3F4F">
      <w:pPr>
        <w:pStyle w:val="SingleTxtG"/>
        <w:tabs>
          <w:tab w:val="left" w:pos="2268"/>
        </w:tabs>
        <w:ind w:left="2259" w:hanging="1125"/>
      </w:pPr>
      <w:r>
        <w:t>6.5.2.2.1</w:t>
      </w:r>
      <w:r>
        <w:tab/>
        <w:t>Supprimer la dernière ligne du tableau (Charge de gerbage maximale autorisée) et la note b y relative.</w:t>
      </w:r>
    </w:p>
    <w:p w:rsidR="00124E6E" w:rsidRDefault="00124E6E" w:rsidP="00FE3F4F">
      <w:pPr>
        <w:pStyle w:val="SingleTxtG"/>
        <w:tabs>
          <w:tab w:val="left" w:pos="2268"/>
        </w:tabs>
        <w:ind w:left="2259" w:hanging="1125"/>
      </w:pPr>
      <w:r>
        <w:t>6.5.2.2.2</w:t>
      </w:r>
      <w:r w:rsidRPr="004C39EC">
        <w:tab/>
      </w:r>
      <w:r>
        <w:t>Dans la première phrase, supprimer « lorsque le GRV est en cours d’utilisation ».</w:t>
      </w:r>
    </w:p>
    <w:p w:rsidR="00124E6E" w:rsidRDefault="00124E6E" w:rsidP="00FE3F4F">
      <w:pPr>
        <w:pStyle w:val="SingleTxtG"/>
        <w:tabs>
          <w:tab w:val="left" w:pos="2268"/>
        </w:tabs>
        <w:ind w:left="2259" w:hanging="1125"/>
      </w:pPr>
      <w:r w:rsidRPr="00784725">
        <w:t>6.5.2.2.4</w:t>
      </w:r>
      <w:r w:rsidRPr="00784725">
        <w:tab/>
      </w:r>
      <w:r>
        <w:t>Modifier la dernière phrase du premier paragraphe pour lire comme suit :</w:t>
      </w:r>
    </w:p>
    <w:p w:rsidR="00124E6E" w:rsidRDefault="00361A7A" w:rsidP="00FE3F4F">
      <w:pPr>
        <w:pStyle w:val="SingleTxtG"/>
        <w:tabs>
          <w:tab w:val="left" w:pos="2268"/>
        </w:tabs>
        <w:ind w:left="2259" w:hanging="1125"/>
      </w:pPr>
      <w:r>
        <w:tab/>
      </w:r>
      <w:r w:rsidR="00124E6E" w:rsidRPr="00EB4D25">
        <w:t>« </w:t>
      </w:r>
      <w:r w:rsidR="00124E6E" w:rsidRPr="00EB4D25">
        <w:rPr>
          <w:lang w:val="fr-FR"/>
        </w:rPr>
        <w:t>Elles doivent être durable, lisible, et placées dans un endroit facilement accessible pour l’inspection après assemblage du récipient intérieur dans l’enveloppe extérieure. </w:t>
      </w:r>
      <w:r w:rsidR="00124E6E" w:rsidRPr="00EB4D25">
        <w:t>Lorsque les marques sur le récipient intérieur ne sont pas</w:t>
      </w:r>
      <w:r w:rsidR="00124E6E">
        <w:t xml:space="preserve"> facilement accessibles pour l’inspection en raison du modèle de l’enveloppe extérieure, les marques requises sur le récipient intérieur doivent être reproduites sur l’enveloppe extérieure précédées du texte « Récipient </w:t>
      </w:r>
      <w:r w:rsidR="00124E6E">
        <w:lastRenderedPageBreak/>
        <w:t>intérieur ». Cette reproduction doit être durable, lisible et placée de sorte à être facilement accessible pour l’inspection. ».</w:t>
      </w:r>
    </w:p>
    <w:p w:rsidR="00124E6E" w:rsidRPr="00784725" w:rsidRDefault="00361A7A" w:rsidP="00FE3F4F">
      <w:pPr>
        <w:pStyle w:val="SingleTxtG"/>
        <w:tabs>
          <w:tab w:val="left" w:pos="2268"/>
        </w:tabs>
        <w:ind w:left="2259" w:hanging="1125"/>
      </w:pPr>
      <w:r>
        <w:tab/>
      </w:r>
      <w:r w:rsidR="00124E6E" w:rsidRPr="00784725">
        <w:t xml:space="preserve">Modifier la deuxième phrase </w:t>
      </w:r>
      <w:r w:rsidR="00124E6E">
        <w:t xml:space="preserve">du deuxième paragraphe </w:t>
      </w:r>
      <w:r w:rsidR="00124E6E" w:rsidRPr="00784725">
        <w:t>pour lire comme suit : « Dans ce cas, il n’est pas obligatoire d’indiquer l’année dans les autres marques. ».</w:t>
      </w:r>
    </w:p>
    <w:p w:rsidR="00124E6E" w:rsidRDefault="00124E6E" w:rsidP="00FE3F4F">
      <w:pPr>
        <w:pStyle w:val="SingleTxtG"/>
        <w:tabs>
          <w:tab w:val="left" w:pos="2268"/>
        </w:tabs>
        <w:ind w:left="2259" w:hanging="1125"/>
      </w:pPr>
      <w:r>
        <w:t>6.5.5.1.6</w:t>
      </w:r>
      <w:r>
        <w:tab/>
        <w:t>Ajouter la nouvelle phrase introductive suivante :</w:t>
      </w:r>
    </w:p>
    <w:p w:rsidR="00124E6E" w:rsidRDefault="00361A7A" w:rsidP="00FE3F4F">
      <w:pPr>
        <w:pStyle w:val="SingleTxtG"/>
        <w:tabs>
          <w:tab w:val="left" w:pos="2268"/>
        </w:tabs>
        <w:ind w:left="2259" w:hanging="1125"/>
      </w:pPr>
      <w:r>
        <w:tab/>
      </w:r>
      <w:r w:rsidR="00124E6E">
        <w:t xml:space="preserve">« Les GRV métalliques d’une capacité supérieure à 1500 </w:t>
      </w:r>
      <w:r w:rsidR="00124E6E" w:rsidRPr="004A2534">
        <w:rPr>
          <w:i/>
          <w:iCs/>
        </w:rPr>
        <w:t>l</w:t>
      </w:r>
      <w:r w:rsidR="00124E6E">
        <w:t xml:space="preserve"> doivent satisfaire aux prescriptions relatives aux épaisseurs de paroi minimales suivantes : ».</w:t>
      </w:r>
    </w:p>
    <w:p w:rsidR="00124E6E" w:rsidRDefault="00361A7A" w:rsidP="00FE3F4F">
      <w:pPr>
        <w:pStyle w:val="SingleTxtG"/>
        <w:tabs>
          <w:tab w:val="left" w:pos="2268"/>
        </w:tabs>
        <w:ind w:left="2259" w:hanging="1125"/>
      </w:pPr>
      <w:r>
        <w:tab/>
      </w:r>
      <w:r w:rsidR="00124E6E">
        <w:t>Modifier le tableau sous a) pour lire comme suit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2"/>
        <w:gridCol w:w="1698"/>
        <w:gridCol w:w="1773"/>
        <w:gridCol w:w="2050"/>
      </w:tblGrid>
      <w:tr w:rsidR="00124E6E" w:rsidRPr="00325DA1" w:rsidTr="00124E6E">
        <w:trPr>
          <w:tblHeader/>
          <w:jc w:val="center"/>
        </w:trPr>
        <w:tc>
          <w:tcPr>
            <w:tcW w:w="7503" w:type="dxa"/>
            <w:gridSpan w:val="4"/>
            <w:vAlign w:val="center"/>
            <w:hideMark/>
          </w:tcPr>
          <w:p w:rsidR="00124E6E" w:rsidRPr="00325DA1" w:rsidRDefault="00124E6E" w:rsidP="00124E6E">
            <w:pPr>
              <w:ind w:left="21"/>
              <w:jc w:val="center"/>
              <w:rPr>
                <w:b/>
                <w:bCs/>
                <w:lang w:eastAsia="de-DE"/>
              </w:rPr>
            </w:pPr>
            <w:r>
              <w:rPr>
                <w:b/>
                <w:bCs/>
                <w:lang w:eastAsia="de-DE"/>
              </w:rPr>
              <w:t>Épaisseur (e) de la paroi, en mm</w:t>
            </w:r>
          </w:p>
        </w:tc>
      </w:tr>
      <w:tr w:rsidR="00124E6E" w:rsidRPr="00EC73B4" w:rsidTr="00124E6E">
        <w:trPr>
          <w:tblHeader/>
          <w:jc w:val="center"/>
        </w:trPr>
        <w:tc>
          <w:tcPr>
            <w:tcW w:w="3680" w:type="dxa"/>
            <w:gridSpan w:val="2"/>
            <w:vAlign w:val="center"/>
            <w:hideMark/>
          </w:tcPr>
          <w:p w:rsidR="00124E6E" w:rsidRPr="00325DA1" w:rsidRDefault="00124E6E" w:rsidP="00124E6E">
            <w:pPr>
              <w:ind w:left="21"/>
              <w:jc w:val="center"/>
              <w:rPr>
                <w:b/>
                <w:bCs/>
                <w:lang w:eastAsia="de-DE"/>
              </w:rPr>
            </w:pPr>
            <w:r w:rsidRPr="00325DA1">
              <w:rPr>
                <w:b/>
                <w:bCs/>
                <w:lang w:eastAsia="de-DE"/>
              </w:rPr>
              <w:t>Types 11A, 11B, 11N</w:t>
            </w:r>
          </w:p>
        </w:tc>
        <w:tc>
          <w:tcPr>
            <w:tcW w:w="3823" w:type="dxa"/>
            <w:gridSpan w:val="2"/>
            <w:vAlign w:val="center"/>
            <w:hideMark/>
          </w:tcPr>
          <w:p w:rsidR="00124E6E" w:rsidRPr="00E02F78" w:rsidRDefault="00124E6E" w:rsidP="00124E6E">
            <w:pPr>
              <w:jc w:val="center"/>
              <w:rPr>
                <w:b/>
                <w:bCs/>
                <w:lang w:val="en-GB" w:eastAsia="de-DE"/>
              </w:rPr>
            </w:pPr>
            <w:r w:rsidRPr="00E02F78">
              <w:rPr>
                <w:b/>
                <w:bCs/>
                <w:lang w:val="en-GB" w:eastAsia="de-DE"/>
              </w:rPr>
              <w:t>Types 21A, 21B, 21N, 31A, 31B, 31N</w:t>
            </w:r>
          </w:p>
        </w:tc>
      </w:tr>
      <w:tr w:rsidR="00124E6E" w:rsidRPr="00325DA1" w:rsidTr="00124E6E">
        <w:trPr>
          <w:tblHeader/>
          <w:jc w:val="center"/>
        </w:trPr>
        <w:tc>
          <w:tcPr>
            <w:tcW w:w="1982" w:type="dxa"/>
            <w:vAlign w:val="center"/>
            <w:hideMark/>
          </w:tcPr>
          <w:p w:rsidR="00124E6E" w:rsidRPr="00325DA1" w:rsidRDefault="00124E6E" w:rsidP="00124E6E">
            <w:pPr>
              <w:ind w:left="163"/>
              <w:jc w:val="center"/>
              <w:rPr>
                <w:b/>
                <w:bCs/>
                <w:lang w:eastAsia="de-DE"/>
              </w:rPr>
            </w:pPr>
            <w:r>
              <w:rPr>
                <w:b/>
                <w:bCs/>
                <w:lang w:eastAsia="de-DE"/>
              </w:rPr>
              <w:t>Non protégé</w:t>
            </w:r>
          </w:p>
        </w:tc>
        <w:tc>
          <w:tcPr>
            <w:tcW w:w="1698" w:type="dxa"/>
            <w:vAlign w:val="center"/>
            <w:hideMark/>
          </w:tcPr>
          <w:p w:rsidR="00124E6E" w:rsidRPr="00325DA1" w:rsidRDefault="00124E6E" w:rsidP="00124E6E">
            <w:pPr>
              <w:jc w:val="center"/>
              <w:rPr>
                <w:b/>
                <w:bCs/>
                <w:lang w:eastAsia="de-DE"/>
              </w:rPr>
            </w:pPr>
            <w:r>
              <w:rPr>
                <w:b/>
                <w:bCs/>
                <w:lang w:eastAsia="de-DE"/>
              </w:rPr>
              <w:t>Protégé</w:t>
            </w:r>
          </w:p>
        </w:tc>
        <w:tc>
          <w:tcPr>
            <w:tcW w:w="1773" w:type="dxa"/>
            <w:vAlign w:val="center"/>
            <w:hideMark/>
          </w:tcPr>
          <w:p w:rsidR="00124E6E" w:rsidRPr="00325DA1" w:rsidRDefault="00124E6E" w:rsidP="00124E6E">
            <w:pPr>
              <w:ind w:left="163"/>
              <w:jc w:val="center"/>
              <w:rPr>
                <w:b/>
                <w:bCs/>
                <w:lang w:eastAsia="de-DE"/>
              </w:rPr>
            </w:pPr>
            <w:r>
              <w:rPr>
                <w:b/>
                <w:bCs/>
                <w:lang w:eastAsia="de-DE"/>
              </w:rPr>
              <w:t>Non protégé</w:t>
            </w:r>
          </w:p>
        </w:tc>
        <w:tc>
          <w:tcPr>
            <w:tcW w:w="2050" w:type="dxa"/>
            <w:vAlign w:val="center"/>
            <w:hideMark/>
          </w:tcPr>
          <w:p w:rsidR="00124E6E" w:rsidRPr="00325DA1" w:rsidRDefault="00124E6E" w:rsidP="00124E6E">
            <w:pPr>
              <w:jc w:val="center"/>
              <w:rPr>
                <w:b/>
                <w:bCs/>
                <w:lang w:eastAsia="de-DE"/>
              </w:rPr>
            </w:pPr>
            <w:r>
              <w:rPr>
                <w:b/>
                <w:bCs/>
                <w:lang w:eastAsia="de-DE"/>
              </w:rPr>
              <w:t>Protégé</w:t>
            </w:r>
          </w:p>
        </w:tc>
      </w:tr>
      <w:tr w:rsidR="00124E6E" w:rsidRPr="00325DA1" w:rsidTr="00124E6E">
        <w:trPr>
          <w:trHeight w:val="455"/>
          <w:jc w:val="center"/>
        </w:trPr>
        <w:tc>
          <w:tcPr>
            <w:tcW w:w="1982" w:type="dxa"/>
            <w:tcBorders>
              <w:top w:val="nil"/>
            </w:tcBorders>
            <w:vAlign w:val="center"/>
            <w:hideMark/>
          </w:tcPr>
          <w:p w:rsidR="00124E6E" w:rsidRPr="001922E1" w:rsidRDefault="00124E6E" w:rsidP="00124E6E">
            <w:pPr>
              <w:ind w:left="22"/>
              <w:jc w:val="center"/>
              <w:rPr>
                <w:lang w:eastAsia="de-DE"/>
              </w:rPr>
            </w:pPr>
            <w:proofErr w:type="gramStart"/>
            <w:r>
              <w:rPr>
                <w:lang w:eastAsia="de-DE"/>
              </w:rPr>
              <w:t>e</w:t>
            </w:r>
            <w:proofErr w:type="gramEnd"/>
            <w:r w:rsidRPr="001922E1">
              <w:rPr>
                <w:lang w:eastAsia="de-DE"/>
              </w:rPr>
              <w:t xml:space="preserve"> = C/2000 + 1</w:t>
            </w:r>
            <w:r>
              <w:rPr>
                <w:lang w:eastAsia="de-DE"/>
              </w:rPr>
              <w:t>,</w:t>
            </w:r>
            <w:r w:rsidRPr="001922E1">
              <w:rPr>
                <w:lang w:eastAsia="de-DE"/>
              </w:rPr>
              <w:t>5</w:t>
            </w:r>
          </w:p>
        </w:tc>
        <w:tc>
          <w:tcPr>
            <w:tcW w:w="1698" w:type="dxa"/>
            <w:tcBorders>
              <w:top w:val="nil"/>
            </w:tcBorders>
            <w:vAlign w:val="center"/>
            <w:hideMark/>
          </w:tcPr>
          <w:p w:rsidR="00124E6E" w:rsidRPr="001922E1" w:rsidRDefault="00124E6E" w:rsidP="00124E6E">
            <w:pPr>
              <w:ind w:left="22"/>
              <w:jc w:val="center"/>
              <w:rPr>
                <w:lang w:eastAsia="de-DE"/>
              </w:rPr>
            </w:pPr>
            <w:proofErr w:type="gramStart"/>
            <w:r>
              <w:rPr>
                <w:lang w:eastAsia="de-DE"/>
              </w:rPr>
              <w:t>e</w:t>
            </w:r>
            <w:proofErr w:type="gramEnd"/>
            <w:r w:rsidRPr="001922E1">
              <w:rPr>
                <w:lang w:eastAsia="de-DE"/>
              </w:rPr>
              <w:t xml:space="preserve"> = C/2000 + 1</w:t>
            </w:r>
            <w:r>
              <w:rPr>
                <w:lang w:eastAsia="de-DE"/>
              </w:rPr>
              <w:t>,</w:t>
            </w:r>
            <w:r w:rsidRPr="001922E1">
              <w:rPr>
                <w:lang w:eastAsia="de-DE"/>
              </w:rPr>
              <w:t>0</w:t>
            </w:r>
          </w:p>
        </w:tc>
        <w:tc>
          <w:tcPr>
            <w:tcW w:w="1773" w:type="dxa"/>
            <w:tcBorders>
              <w:top w:val="nil"/>
            </w:tcBorders>
            <w:vAlign w:val="center"/>
            <w:hideMark/>
          </w:tcPr>
          <w:p w:rsidR="00124E6E" w:rsidRPr="001922E1" w:rsidRDefault="00124E6E" w:rsidP="00124E6E">
            <w:pPr>
              <w:ind w:left="22"/>
              <w:jc w:val="center"/>
              <w:rPr>
                <w:lang w:eastAsia="de-DE"/>
              </w:rPr>
            </w:pPr>
            <w:proofErr w:type="gramStart"/>
            <w:r>
              <w:rPr>
                <w:lang w:eastAsia="de-DE"/>
              </w:rPr>
              <w:t>e</w:t>
            </w:r>
            <w:proofErr w:type="gramEnd"/>
            <w:r w:rsidRPr="001922E1">
              <w:rPr>
                <w:lang w:eastAsia="de-DE"/>
              </w:rPr>
              <w:t xml:space="preserve"> = C/1000 + 1</w:t>
            </w:r>
            <w:r>
              <w:rPr>
                <w:lang w:eastAsia="de-DE"/>
              </w:rPr>
              <w:t>,</w:t>
            </w:r>
            <w:r w:rsidRPr="001922E1">
              <w:rPr>
                <w:lang w:eastAsia="de-DE"/>
              </w:rPr>
              <w:t>0</w:t>
            </w:r>
          </w:p>
        </w:tc>
        <w:tc>
          <w:tcPr>
            <w:tcW w:w="2050" w:type="dxa"/>
            <w:tcBorders>
              <w:top w:val="nil"/>
            </w:tcBorders>
            <w:vAlign w:val="center"/>
            <w:hideMark/>
          </w:tcPr>
          <w:p w:rsidR="00124E6E" w:rsidRPr="001922E1" w:rsidRDefault="00124E6E" w:rsidP="00124E6E">
            <w:pPr>
              <w:ind w:left="22"/>
              <w:jc w:val="center"/>
              <w:rPr>
                <w:lang w:eastAsia="de-DE"/>
              </w:rPr>
            </w:pPr>
            <w:proofErr w:type="gramStart"/>
            <w:r>
              <w:rPr>
                <w:lang w:eastAsia="de-DE"/>
              </w:rPr>
              <w:t>e</w:t>
            </w:r>
            <w:proofErr w:type="gramEnd"/>
            <w:r w:rsidRPr="001922E1">
              <w:rPr>
                <w:lang w:eastAsia="de-DE"/>
              </w:rPr>
              <w:t xml:space="preserve"> = C/2000 + 1</w:t>
            </w:r>
            <w:r>
              <w:rPr>
                <w:lang w:eastAsia="de-DE"/>
              </w:rPr>
              <w:t>,</w:t>
            </w:r>
            <w:r w:rsidRPr="001922E1">
              <w:rPr>
                <w:lang w:eastAsia="de-DE"/>
              </w:rPr>
              <w:t>5</w:t>
            </w:r>
          </w:p>
        </w:tc>
      </w:tr>
    </w:tbl>
    <w:p w:rsidR="00124E6E" w:rsidRDefault="00124E6E" w:rsidP="00124E6E">
      <w:pPr>
        <w:pStyle w:val="H1G"/>
        <w:rPr>
          <w:lang w:val="fr-FR"/>
        </w:rPr>
      </w:pPr>
      <w:r>
        <w:rPr>
          <w:lang w:val="fr-FR"/>
        </w:rPr>
        <w:tab/>
      </w:r>
      <w:r>
        <w:rPr>
          <w:lang w:val="fr-FR"/>
        </w:rPr>
        <w:tab/>
        <w:t>Chapitre 6.6</w:t>
      </w:r>
    </w:p>
    <w:p w:rsidR="00124E6E" w:rsidRDefault="00124E6E" w:rsidP="00FE3F4F">
      <w:pPr>
        <w:pStyle w:val="SingleTxtG"/>
        <w:tabs>
          <w:tab w:val="left" w:pos="2268"/>
        </w:tabs>
        <w:ind w:left="2259" w:hanging="1125"/>
      </w:pPr>
      <w:r>
        <w:t>6.6.3.3</w:t>
      </w:r>
      <w:r w:rsidRPr="004C39EC">
        <w:tab/>
      </w:r>
      <w:r>
        <w:t>Dans la première phrase, supprimer « lorsque le grand emballage est en cours d’utilisation ».</w:t>
      </w:r>
    </w:p>
    <w:p w:rsidR="00124E6E" w:rsidRPr="00EE72C3" w:rsidRDefault="00124E6E" w:rsidP="00FE3F4F">
      <w:pPr>
        <w:pStyle w:val="SingleTxtG"/>
        <w:tabs>
          <w:tab w:val="left" w:pos="2268"/>
        </w:tabs>
        <w:ind w:left="2259" w:hanging="1125"/>
        <w:rPr>
          <w:lang w:val="fr-FR"/>
        </w:rPr>
      </w:pPr>
      <w:r w:rsidRPr="00EE72C3">
        <w:rPr>
          <w:lang w:val="fr-FR"/>
        </w:rPr>
        <w:t xml:space="preserve">Ajouter le nouveau </w:t>
      </w:r>
      <w:r>
        <w:rPr>
          <w:lang w:val="fr-FR"/>
        </w:rPr>
        <w:t xml:space="preserve">paragraphe </w:t>
      </w:r>
      <w:r w:rsidRPr="00EE72C3">
        <w:rPr>
          <w:lang w:val="fr-FR"/>
        </w:rPr>
        <w:t xml:space="preserve">6.6.3.4 </w:t>
      </w:r>
      <w:proofErr w:type="gramStart"/>
      <w:r w:rsidRPr="00EE72C3">
        <w:rPr>
          <w:lang w:val="fr-FR"/>
        </w:rPr>
        <w:t>suivant</w:t>
      </w:r>
      <w:proofErr w:type="gramEnd"/>
      <w:r w:rsidR="00EB4D25">
        <w:rPr>
          <w:lang w:val="fr-FR"/>
        </w:rPr>
        <w:t> </w:t>
      </w:r>
      <w:r w:rsidRPr="00EE72C3">
        <w:rPr>
          <w:lang w:val="fr-FR"/>
        </w:rPr>
        <w:t>:</w:t>
      </w:r>
    </w:p>
    <w:p w:rsidR="00124E6E" w:rsidRPr="00EE72C3" w:rsidRDefault="00124E6E" w:rsidP="00FE3F4F">
      <w:pPr>
        <w:pStyle w:val="SingleTxtG"/>
        <w:tabs>
          <w:tab w:val="left" w:pos="2268"/>
        </w:tabs>
        <w:ind w:left="2259" w:hanging="1125"/>
        <w:rPr>
          <w:lang w:val="fr-FR"/>
        </w:rPr>
      </w:pPr>
      <w:r w:rsidRPr="00EE72C3">
        <w:rPr>
          <w:lang w:val="fr-FR"/>
        </w:rPr>
        <w:t>« 6.6.3.4</w:t>
      </w:r>
      <w:r w:rsidRPr="00EE72C3">
        <w:rPr>
          <w:lang w:val="fr-FR"/>
        </w:rPr>
        <w:tab/>
        <w:t xml:space="preserve">Lorsqu'un grand emballage est conforme </w:t>
      </w:r>
      <w:r>
        <w:t xml:space="preserve">à un ou plusieurs modèles types </w:t>
      </w:r>
      <w:r w:rsidRPr="00EE72C3">
        <w:rPr>
          <w:lang w:val="fr-FR"/>
        </w:rPr>
        <w:t>de grand</w:t>
      </w:r>
      <w:r>
        <w:rPr>
          <w:lang w:val="fr-FR"/>
        </w:rPr>
        <w:t>s</w:t>
      </w:r>
      <w:r w:rsidRPr="00EE72C3">
        <w:rPr>
          <w:lang w:val="fr-FR"/>
        </w:rPr>
        <w:t xml:space="preserve"> emballage</w:t>
      </w:r>
      <w:r>
        <w:rPr>
          <w:lang w:val="fr-FR"/>
        </w:rPr>
        <w:t>s</w:t>
      </w:r>
      <w:r w:rsidRPr="00EE72C3">
        <w:rPr>
          <w:lang w:val="fr-FR"/>
        </w:rPr>
        <w:t xml:space="preserve"> </w:t>
      </w:r>
      <w:r>
        <w:t>ayant satisfait aux épreuves</w:t>
      </w:r>
      <w:r w:rsidRPr="00EE72C3">
        <w:rPr>
          <w:lang w:val="fr-FR"/>
        </w:rPr>
        <w:t xml:space="preserve">, </w:t>
      </w:r>
      <w:r>
        <w:rPr>
          <w:lang w:val="fr-FR"/>
        </w:rPr>
        <w:t xml:space="preserve">y compris </w:t>
      </w:r>
      <w:r>
        <w:t>un ou plusieurs modèles types d’emballages ou de GRV</w:t>
      </w:r>
      <w:r>
        <w:rPr>
          <w:lang w:val="fr-FR"/>
        </w:rPr>
        <w:t>,</w:t>
      </w:r>
      <w:r w:rsidRPr="00EE72C3">
        <w:rPr>
          <w:lang w:val="fr-FR"/>
        </w:rPr>
        <w:t xml:space="preserve"> le grand emballage peut porter plus d’une marque</w:t>
      </w:r>
      <w:r>
        <w:rPr>
          <w:lang w:val="fr-FR"/>
        </w:rPr>
        <w:t xml:space="preserve"> pour indiquer les exigences d’épreuves de performance applicables qui ont été atteintes</w:t>
      </w:r>
      <w:r w:rsidRPr="00EE72C3">
        <w:rPr>
          <w:lang w:val="fr-FR"/>
        </w:rPr>
        <w:t>. Lorsque plus d'une marque apparaît sur un grand emballage, les marques doivent apparaître à proximité les unes des autres et chaque marque doit apparaître dans son intégralité. ».</w:t>
      </w:r>
    </w:p>
    <w:p w:rsidR="00124E6E" w:rsidRPr="006B0E45" w:rsidRDefault="00124E6E" w:rsidP="00124E6E">
      <w:pPr>
        <w:pStyle w:val="H1G"/>
        <w:rPr>
          <w:lang w:val="fr-FR"/>
        </w:rPr>
      </w:pPr>
      <w:r w:rsidRPr="006B0E45">
        <w:rPr>
          <w:lang w:val="fr-FR"/>
        </w:rPr>
        <w:tab/>
      </w:r>
      <w:r w:rsidRPr="006B0E45">
        <w:rPr>
          <w:lang w:val="fr-FR"/>
        </w:rPr>
        <w:tab/>
        <w:t>Chapitre 6.7</w:t>
      </w:r>
    </w:p>
    <w:p w:rsidR="00124E6E" w:rsidRDefault="00124E6E" w:rsidP="00FE3F4F">
      <w:pPr>
        <w:pStyle w:val="SingleTxtG"/>
        <w:tabs>
          <w:tab w:val="left" w:pos="2268"/>
        </w:tabs>
        <w:ind w:left="2259" w:hanging="1125"/>
      </w:pPr>
      <w:r>
        <w:t>6.7.2.4.8</w:t>
      </w:r>
      <w:r>
        <w:tab/>
        <w:t>Remplacer « tolérance pour la corrosion » par « surépaisseur de corrosion ».</w:t>
      </w:r>
    </w:p>
    <w:p w:rsidR="00361A7A" w:rsidRDefault="00124E6E" w:rsidP="00FE3F4F">
      <w:pPr>
        <w:pStyle w:val="SingleTxtG"/>
        <w:tabs>
          <w:tab w:val="left" w:pos="2268"/>
        </w:tabs>
        <w:ind w:left="2259" w:hanging="1125"/>
      </w:pPr>
      <w:r>
        <w:t>6.7.2.12.2.1 et 6.7.3.8.1.1</w:t>
      </w:r>
    </w:p>
    <w:p w:rsidR="00124E6E" w:rsidRDefault="00124E6E" w:rsidP="00FE3F4F">
      <w:pPr>
        <w:pStyle w:val="SingleTxtG"/>
        <w:tabs>
          <w:tab w:val="left" w:pos="2268"/>
        </w:tabs>
        <w:ind w:left="2259" w:hanging="1125"/>
      </w:pPr>
      <w:r>
        <w:tab/>
        <w:t>Modifier la définition du facteur « U » pour lire comme suit :</w:t>
      </w:r>
    </w:p>
    <w:p w:rsidR="00124E6E" w:rsidRDefault="00361A7A" w:rsidP="00FE3F4F">
      <w:pPr>
        <w:pStyle w:val="SingleTxtG"/>
        <w:tabs>
          <w:tab w:val="left" w:pos="2268"/>
        </w:tabs>
        <w:ind w:left="2259" w:hanging="1125"/>
      </w:pPr>
      <w:r>
        <w:tab/>
      </w:r>
      <w:r w:rsidR="00124E6E" w:rsidRPr="00A52711">
        <w:t>«</w:t>
      </w:r>
      <w:r w:rsidR="00124E6E">
        <w:t> </w:t>
      </w:r>
      <w:r w:rsidR="00124E6E" w:rsidRPr="00A52711">
        <w:t xml:space="preserve">U = </w:t>
      </w:r>
      <w:r w:rsidR="00124E6E" w:rsidRPr="00067381">
        <w:t xml:space="preserve">coefficient de transfert thermique de l’isolation </w:t>
      </w:r>
      <w:r w:rsidR="00124E6E" w:rsidRPr="00A52711">
        <w:t>à 38</w:t>
      </w:r>
      <w:r w:rsidR="00124E6E">
        <w:t> </w:t>
      </w:r>
      <w:r w:rsidR="00124E6E" w:rsidRPr="00A52711">
        <w:t xml:space="preserve">°C exprimée en </w:t>
      </w:r>
      <w:r w:rsidR="00124E6E" w:rsidRPr="00C54F00">
        <w:t>kW·m</w:t>
      </w:r>
      <w:r w:rsidR="00124E6E" w:rsidRPr="00C54F00">
        <w:rPr>
          <w:vertAlign w:val="superscript"/>
        </w:rPr>
        <w:t>-2</w:t>
      </w:r>
      <w:r w:rsidR="00124E6E" w:rsidRPr="00C54F00">
        <w:t>·K</w:t>
      </w:r>
      <w:r w:rsidR="00124E6E" w:rsidRPr="00C54F00">
        <w:rPr>
          <w:vertAlign w:val="superscript"/>
        </w:rPr>
        <w:t>-</w:t>
      </w:r>
      <w:proofErr w:type="gramStart"/>
      <w:r w:rsidR="00124E6E" w:rsidRPr="00C54F00">
        <w:rPr>
          <w:vertAlign w:val="superscript"/>
        </w:rPr>
        <w:t>1</w:t>
      </w:r>
      <w:r w:rsidR="00124E6E">
        <w:t>;</w:t>
      </w:r>
      <w:proofErr w:type="gramEnd"/>
      <w:r w:rsidR="00124E6E">
        <w:t> </w:t>
      </w:r>
      <w:r w:rsidR="00124E6E" w:rsidRPr="00A52711">
        <w:t>»</w:t>
      </w:r>
      <w:r w:rsidR="00124E6E">
        <w:t>.</w:t>
      </w:r>
    </w:p>
    <w:p w:rsidR="00124E6E" w:rsidRDefault="00124E6E" w:rsidP="00FE3F4F">
      <w:pPr>
        <w:pStyle w:val="SingleTxtG"/>
        <w:tabs>
          <w:tab w:val="left" w:pos="2268"/>
        </w:tabs>
        <w:ind w:left="2259" w:hanging="1125"/>
      </w:pPr>
      <w:r>
        <w:t>6.7.2.19.6</w:t>
      </w:r>
      <w:r>
        <w:tab/>
        <w:t>Ajouter un nouveau titre pour lire « 6.7.2.19.6</w:t>
      </w:r>
      <w:r>
        <w:tab/>
        <w:t>Remplissage des citernes mobiles après la date d’expiration des derniers contrôle et épreuve périodiques ». Renuméroter le 6.7.2.19.6 actuel en tant que 6.7.2.19.6.1.</w:t>
      </w:r>
    </w:p>
    <w:p w:rsidR="00124E6E" w:rsidRPr="00C52902" w:rsidRDefault="00124E6E" w:rsidP="00FE3F4F">
      <w:pPr>
        <w:pStyle w:val="SingleTxtG"/>
        <w:tabs>
          <w:tab w:val="left" w:pos="2268"/>
        </w:tabs>
        <w:ind w:left="2259" w:hanging="1125"/>
      </w:pPr>
      <w:r w:rsidRPr="00C52902">
        <w:t>6.7.2.19.6</w:t>
      </w:r>
      <w:r w:rsidRPr="00C52902">
        <w:tab/>
        <w:t xml:space="preserve">Ajouter </w:t>
      </w:r>
      <w:r>
        <w:t>un</w:t>
      </w:r>
      <w:r w:rsidRPr="00C52902">
        <w:t xml:space="preserve"> nouveau paragraphe </w:t>
      </w:r>
      <w:r>
        <w:t>6.7.2.19.6.2 pour lire comme suit</w:t>
      </w:r>
      <w:r w:rsidRPr="00C52902">
        <w:t> :</w:t>
      </w:r>
    </w:p>
    <w:p w:rsidR="00124E6E" w:rsidRDefault="00124E6E" w:rsidP="00FE3F4F">
      <w:pPr>
        <w:pStyle w:val="SingleTxtG"/>
        <w:tabs>
          <w:tab w:val="left" w:pos="2268"/>
        </w:tabs>
        <w:ind w:left="2259" w:hanging="1125"/>
      </w:pPr>
      <w:r>
        <w:t>« 6.7.2.19.6.2 À l’exception des cas prévus au 6.7.2.19.6.1, les citernes mobiles qui n'ont pas respecté le délai prévu pour leur contrôle et épreuve périodique de cinq ans ou de deux ans et demi ne peuvent être remplies et présentées au transport que si un nouveau contrôle et épreuve périodique de cinq ans est effectué conformément au 6.7.2.19.4. ».</w:t>
      </w:r>
    </w:p>
    <w:p w:rsidR="00124E6E" w:rsidRDefault="00124E6E" w:rsidP="00FE3F4F">
      <w:pPr>
        <w:pStyle w:val="SingleTxtG"/>
        <w:tabs>
          <w:tab w:val="left" w:pos="2268"/>
        </w:tabs>
        <w:ind w:left="2259" w:hanging="1125"/>
      </w:pPr>
      <w:r>
        <w:t>6.7.3.4.1</w:t>
      </w:r>
      <w:r>
        <w:tab/>
        <w:t>Après b), ajouter le nouveau paragraphe suivant :</w:t>
      </w:r>
    </w:p>
    <w:p w:rsidR="00124E6E" w:rsidRPr="00B6040F" w:rsidRDefault="00361A7A" w:rsidP="00FE3F4F">
      <w:pPr>
        <w:pStyle w:val="SingleTxtG"/>
        <w:tabs>
          <w:tab w:val="left" w:pos="2268"/>
        </w:tabs>
        <w:ind w:left="2259" w:hanging="1125"/>
      </w:pPr>
      <w:r>
        <w:tab/>
      </w:r>
      <w:r w:rsidR="00124E6E" w:rsidRPr="00B6040F">
        <w:t xml:space="preserve">« Outre ces dispositions, il est tenu compte de toute disposition spéciale applicable aux transports en citernes mobiles indiquée dans la colonne </w:t>
      </w:r>
      <w:r w:rsidR="00124E6E">
        <w:t>(</w:t>
      </w:r>
      <w:r w:rsidR="00124E6E" w:rsidRPr="00B6040F">
        <w:t>11</w:t>
      </w:r>
      <w:r w:rsidR="00124E6E">
        <w:t>)</w:t>
      </w:r>
      <w:r w:rsidR="00124E6E" w:rsidRPr="00B6040F">
        <w:t xml:space="preserve"> </w:t>
      </w:r>
      <w:r w:rsidR="00124E6E">
        <w:t>du tableau A du chapitre 3.2</w:t>
      </w:r>
      <w:r w:rsidR="00124E6E" w:rsidRPr="00B6040F">
        <w:t xml:space="preserve"> et décrite au 4.2.5.3. ».</w:t>
      </w:r>
    </w:p>
    <w:p w:rsidR="00124E6E" w:rsidRDefault="00124E6E" w:rsidP="00FE3F4F">
      <w:pPr>
        <w:pStyle w:val="SingleTxtG"/>
        <w:tabs>
          <w:tab w:val="left" w:pos="2268"/>
        </w:tabs>
        <w:ind w:left="2259" w:hanging="1125"/>
      </w:pPr>
      <w:r>
        <w:t>6.7.3.4.5</w:t>
      </w:r>
      <w:r>
        <w:tab/>
        <w:t>Remplacer « tolérance pour la corrosion » par « surépaisseur de corrosion ».</w:t>
      </w:r>
    </w:p>
    <w:p w:rsidR="00124E6E" w:rsidRDefault="00124E6E" w:rsidP="00FE3F4F">
      <w:pPr>
        <w:pStyle w:val="SingleTxtG"/>
        <w:tabs>
          <w:tab w:val="left" w:pos="2268"/>
        </w:tabs>
        <w:ind w:left="2259" w:hanging="1125"/>
      </w:pPr>
      <w:r>
        <w:lastRenderedPageBreak/>
        <w:t>6.7.3.5.5</w:t>
      </w:r>
      <w:r>
        <w:tab/>
        <w:t>Remplacer « doivent être pourvus » par « peuvent être pourvus ».</w:t>
      </w:r>
    </w:p>
    <w:p w:rsidR="00124E6E" w:rsidRPr="00C52902" w:rsidRDefault="00124E6E" w:rsidP="00FE3F4F">
      <w:pPr>
        <w:pStyle w:val="SingleTxtG"/>
        <w:tabs>
          <w:tab w:val="left" w:pos="2268"/>
        </w:tabs>
        <w:ind w:left="2259" w:hanging="1125"/>
      </w:pPr>
      <w:r>
        <w:t>6.7.3.15.6</w:t>
      </w:r>
      <w:r>
        <w:tab/>
        <w:t>Ajouter un nouveau titre pour lire « 6.7.3.15.6</w:t>
      </w:r>
      <w:r>
        <w:tab/>
        <w:t>Remplissage des citernes mobiles après la date d’expiration des derniers contrôle et épreuve périodiques ». Renuméroter le 6.7.3.15.6 actuel en tant que 6.7.3.15.6.1.</w:t>
      </w:r>
    </w:p>
    <w:p w:rsidR="00124E6E" w:rsidRPr="00C52902" w:rsidRDefault="00124E6E" w:rsidP="00FE3F4F">
      <w:pPr>
        <w:pStyle w:val="SingleTxtG"/>
        <w:tabs>
          <w:tab w:val="left" w:pos="2268"/>
        </w:tabs>
        <w:ind w:left="2259" w:hanging="1125"/>
      </w:pPr>
      <w:r>
        <w:t>6.7.3.15.6</w:t>
      </w:r>
      <w:r>
        <w:tab/>
      </w:r>
      <w:r w:rsidRPr="00C52902">
        <w:t xml:space="preserve">Ajouter le nouveau paragraphe </w:t>
      </w:r>
      <w:r>
        <w:t xml:space="preserve">6.7.3.15.6.2 </w:t>
      </w:r>
      <w:proofErr w:type="gramStart"/>
      <w:r w:rsidRPr="00C52902">
        <w:t>suivant</w:t>
      </w:r>
      <w:proofErr w:type="gramEnd"/>
      <w:r w:rsidRPr="00C52902">
        <w:t> :</w:t>
      </w:r>
    </w:p>
    <w:p w:rsidR="00124E6E" w:rsidRDefault="00124E6E" w:rsidP="00FE3F4F">
      <w:pPr>
        <w:pStyle w:val="SingleTxtG"/>
        <w:tabs>
          <w:tab w:val="left" w:pos="2268"/>
        </w:tabs>
        <w:ind w:left="2259" w:hanging="1125"/>
      </w:pPr>
      <w:r w:rsidRPr="00086685">
        <w:t>« 6.7.3.15.6.</w:t>
      </w:r>
      <w:r>
        <w:t>2</w:t>
      </w:r>
      <w:r>
        <w:tab/>
      </w:r>
      <w:r w:rsidRPr="00086685">
        <w:t xml:space="preserve"> À l’exception des cas prévus </w:t>
      </w:r>
      <w:r>
        <w:t xml:space="preserve">au </w:t>
      </w:r>
      <w:r w:rsidRPr="00086685">
        <w:t>6.7.3.15.6.</w:t>
      </w:r>
      <w:r>
        <w:t>1</w:t>
      </w:r>
      <w:r w:rsidRPr="00086685">
        <w:t>, les citernes mobiles qui n'ont pas</w:t>
      </w:r>
      <w:r>
        <w:t xml:space="preserve"> respecté le délai prévu pour leur contrôle et épreuve périodique de cinq ans ou de deux ans et demi ne peuvent être remplies et présentées au transport que si un nouveau contrôle et épreuve périodique de cinq ans est effectué conformément au 6.7.3.15.4. ».</w:t>
      </w:r>
    </w:p>
    <w:p w:rsidR="00124E6E" w:rsidRDefault="00124E6E" w:rsidP="00FE3F4F">
      <w:pPr>
        <w:pStyle w:val="SingleTxtG"/>
        <w:tabs>
          <w:tab w:val="left" w:pos="2268"/>
        </w:tabs>
        <w:ind w:left="2259" w:hanging="1125"/>
      </w:pPr>
      <w:r>
        <w:t>6.7.4.4.7</w:t>
      </w:r>
      <w:r>
        <w:tab/>
        <w:t>Remplacer « tolérance pour la corrosion » par « surépaisseur de corrosion ».</w:t>
      </w:r>
    </w:p>
    <w:p w:rsidR="00124E6E" w:rsidRPr="00C52902" w:rsidRDefault="00124E6E" w:rsidP="00FE3F4F">
      <w:pPr>
        <w:pStyle w:val="SingleTxtG"/>
        <w:tabs>
          <w:tab w:val="left" w:pos="2268"/>
        </w:tabs>
        <w:ind w:left="2259" w:hanging="1125"/>
      </w:pPr>
      <w:r w:rsidRPr="00F71FD1">
        <w:t>6.7.</w:t>
      </w:r>
      <w:r>
        <w:t>4</w:t>
      </w:r>
      <w:r w:rsidRPr="00F71FD1">
        <w:t>.1</w:t>
      </w:r>
      <w:r>
        <w:t>4</w:t>
      </w:r>
      <w:r w:rsidRPr="00F71FD1">
        <w:t>.6</w:t>
      </w:r>
      <w:r>
        <w:tab/>
        <w:t>Ajouter un nouveau titre pour lire « </w:t>
      </w:r>
      <w:r w:rsidRPr="00F71FD1">
        <w:t>6.7.</w:t>
      </w:r>
      <w:r>
        <w:t>4</w:t>
      </w:r>
      <w:r w:rsidRPr="00F71FD1">
        <w:t>.1</w:t>
      </w:r>
      <w:r>
        <w:t>4</w:t>
      </w:r>
      <w:r w:rsidRPr="00F71FD1">
        <w:t>.6</w:t>
      </w:r>
      <w:r>
        <w:tab/>
        <w:t xml:space="preserve">Remplissage des citernes mobiles après la date d’expiration des derniers contrôle et épreuve périodiques ». Renuméroter le </w:t>
      </w:r>
      <w:r w:rsidRPr="00F71FD1">
        <w:t>6.7.</w:t>
      </w:r>
      <w:r>
        <w:t>4</w:t>
      </w:r>
      <w:r w:rsidRPr="00F71FD1">
        <w:t>.1</w:t>
      </w:r>
      <w:r>
        <w:t>4</w:t>
      </w:r>
      <w:r w:rsidRPr="00F71FD1">
        <w:t>.6</w:t>
      </w:r>
      <w:r>
        <w:t xml:space="preserve"> actuel en tant que </w:t>
      </w:r>
      <w:r w:rsidRPr="00F71FD1">
        <w:t>6.7.</w:t>
      </w:r>
      <w:r>
        <w:t>4</w:t>
      </w:r>
      <w:r w:rsidRPr="00F71FD1">
        <w:t>.1</w:t>
      </w:r>
      <w:r>
        <w:t>4</w:t>
      </w:r>
      <w:r w:rsidRPr="00F71FD1">
        <w:t>.6</w:t>
      </w:r>
      <w:r>
        <w:t>.1.</w:t>
      </w:r>
    </w:p>
    <w:p w:rsidR="00124E6E" w:rsidRPr="00F71FD1" w:rsidRDefault="00124E6E" w:rsidP="00FE3F4F">
      <w:pPr>
        <w:pStyle w:val="SingleTxtG"/>
        <w:tabs>
          <w:tab w:val="left" w:pos="2268"/>
        </w:tabs>
        <w:ind w:left="2259" w:hanging="1125"/>
      </w:pPr>
      <w:r w:rsidRPr="00F71FD1">
        <w:t>6.7.</w:t>
      </w:r>
      <w:r>
        <w:t>4</w:t>
      </w:r>
      <w:r w:rsidRPr="00F71FD1">
        <w:t>.1</w:t>
      </w:r>
      <w:r>
        <w:t>4</w:t>
      </w:r>
      <w:r w:rsidRPr="00F71FD1">
        <w:t>.6</w:t>
      </w:r>
      <w:r w:rsidRPr="00F71FD1">
        <w:tab/>
        <w:t>Ajouter le nouveau paragraphe 6.7.</w:t>
      </w:r>
      <w:r>
        <w:t>4</w:t>
      </w:r>
      <w:r w:rsidRPr="00F71FD1">
        <w:t>.1</w:t>
      </w:r>
      <w:r>
        <w:t>4</w:t>
      </w:r>
      <w:r w:rsidRPr="00F71FD1">
        <w:t>.6</w:t>
      </w:r>
      <w:r>
        <w:t xml:space="preserve">.2 </w:t>
      </w:r>
      <w:proofErr w:type="gramStart"/>
      <w:r w:rsidRPr="00F71FD1">
        <w:t>suivant</w:t>
      </w:r>
      <w:proofErr w:type="gramEnd"/>
      <w:r w:rsidRPr="00F71FD1">
        <w:t> :</w:t>
      </w:r>
    </w:p>
    <w:p w:rsidR="00124E6E" w:rsidRDefault="00124E6E" w:rsidP="00FE3F4F">
      <w:pPr>
        <w:pStyle w:val="SingleTxtG"/>
        <w:tabs>
          <w:tab w:val="left" w:pos="2268"/>
        </w:tabs>
        <w:ind w:left="2259" w:hanging="1125"/>
      </w:pPr>
      <w:r>
        <w:t>« 6.7.4.14.6.2</w:t>
      </w:r>
      <w:r>
        <w:tab/>
        <w:t>À l’exception des cas prévus au 6.7.3.14.6.1, les citernes mobiles qui n'ont pas respecté le délai prévu pour leur contrôle et épreuve périodique de cinq ans ou de deux ans et demi ne peuvent être remplies et présentées au transport que si un nouveau contrôle et épreuve périodique de cinq ans est effectué conformément au 6.7.4.14.4. ».</w:t>
      </w:r>
    </w:p>
    <w:p w:rsidR="00124E6E" w:rsidRPr="006B0E45" w:rsidRDefault="00124E6E" w:rsidP="00FE3F4F">
      <w:pPr>
        <w:pStyle w:val="SingleTxtG"/>
        <w:tabs>
          <w:tab w:val="left" w:pos="2268"/>
        </w:tabs>
        <w:ind w:left="2259" w:hanging="1125"/>
        <w:rPr>
          <w:lang w:val="fr-FR"/>
        </w:rPr>
      </w:pPr>
      <w:r w:rsidRPr="006B0E45">
        <w:rPr>
          <w:lang w:val="fr-FR"/>
        </w:rPr>
        <w:t>6.7.5.2.3</w:t>
      </w:r>
      <w:r w:rsidRPr="006B0E45">
        <w:rPr>
          <w:lang w:val="fr-FR"/>
        </w:rPr>
        <w:tab/>
        <w:t>Dans la première phrase, après « en acier sans soudure » ajouter « ou être de construction composite ».</w:t>
      </w:r>
    </w:p>
    <w:p w:rsidR="00124E6E" w:rsidRPr="006B0E45" w:rsidRDefault="00124E6E" w:rsidP="00FE3F4F">
      <w:pPr>
        <w:pStyle w:val="SingleTxtG"/>
        <w:tabs>
          <w:tab w:val="left" w:pos="2268"/>
        </w:tabs>
        <w:ind w:left="2259" w:hanging="1125"/>
        <w:rPr>
          <w:lang w:val="fr-FR"/>
        </w:rPr>
      </w:pPr>
      <w:r w:rsidRPr="006B0E45">
        <w:rPr>
          <w:lang w:val="fr-FR"/>
        </w:rPr>
        <w:t>6.7.5.2.4 a)</w:t>
      </w:r>
      <w:r w:rsidRPr="006B0E45">
        <w:rPr>
          <w:lang w:val="fr-FR"/>
        </w:rPr>
        <w:tab/>
        <w:t>Remplacer « ISO 11114-</w:t>
      </w:r>
      <w:proofErr w:type="gramStart"/>
      <w:r w:rsidRPr="006B0E45">
        <w:rPr>
          <w:lang w:val="fr-FR"/>
        </w:rPr>
        <w:t>1:</w:t>
      </w:r>
      <w:proofErr w:type="gramEnd"/>
      <w:r w:rsidRPr="006B0E45">
        <w:rPr>
          <w:lang w:val="fr-FR"/>
        </w:rPr>
        <w:t xml:space="preserve">2012 » par « ISO 11114-1:2012 + </w:t>
      </w:r>
      <w:r>
        <w:rPr>
          <w:lang w:val="fr-FR"/>
        </w:rPr>
        <w:t>A</w:t>
      </w:r>
      <w:r w:rsidRPr="006B0E45">
        <w:rPr>
          <w:lang w:val="fr-FR"/>
        </w:rPr>
        <w:t>1:2017 ».</w:t>
      </w:r>
    </w:p>
    <w:p w:rsidR="00124E6E" w:rsidRDefault="00124E6E" w:rsidP="00124E6E">
      <w:pPr>
        <w:pStyle w:val="H1G"/>
      </w:pPr>
      <w:r>
        <w:tab/>
      </w:r>
      <w:r>
        <w:tab/>
        <w:t>(ADN :) Chapitre 7.1</w:t>
      </w:r>
    </w:p>
    <w:p w:rsidR="00124E6E" w:rsidRDefault="00124E6E" w:rsidP="00FE3F4F">
      <w:pPr>
        <w:pStyle w:val="SingleTxtG"/>
        <w:tabs>
          <w:tab w:val="left" w:pos="2268"/>
        </w:tabs>
        <w:ind w:left="2259" w:hanging="1125"/>
        <w:rPr>
          <w:szCs w:val="24"/>
          <w:lang w:val="fr-FR"/>
        </w:rPr>
      </w:pPr>
      <w:r>
        <w:rPr>
          <w:szCs w:val="24"/>
          <w:lang w:val="fr-FR"/>
        </w:rPr>
        <w:t>7.1.4.14.7.2</w:t>
      </w:r>
      <w:r>
        <w:rPr>
          <w:szCs w:val="24"/>
          <w:lang w:val="fr-FR"/>
        </w:rPr>
        <w:tab/>
        <w:t xml:space="preserve">À la fin de la première phrase, remplacer « : » par </w:t>
      </w:r>
      <w:proofErr w:type="gramStart"/>
      <w:r>
        <w:rPr>
          <w:szCs w:val="24"/>
          <w:lang w:val="fr-FR"/>
        </w:rPr>
        <w:t>« .</w:t>
      </w:r>
      <w:proofErr w:type="gramEnd"/>
      <w:r>
        <w:rPr>
          <w:szCs w:val="24"/>
          <w:lang w:val="fr-FR"/>
        </w:rPr>
        <w:t> ».</w:t>
      </w:r>
    </w:p>
    <w:p w:rsidR="00124E6E" w:rsidRPr="00640C9E" w:rsidRDefault="00124E6E" w:rsidP="00FE3F4F">
      <w:pPr>
        <w:pStyle w:val="SingleTxtG"/>
        <w:tabs>
          <w:tab w:val="left" w:pos="2268"/>
        </w:tabs>
        <w:ind w:left="2259" w:hanging="1125"/>
        <w:rPr>
          <w:szCs w:val="24"/>
        </w:rPr>
      </w:pPr>
      <w:r>
        <w:t>7.1.4.14.7.2</w:t>
      </w:r>
      <w:r w:rsidRPr="00640C9E">
        <w:rPr>
          <w:szCs w:val="24"/>
          <w:lang w:val="fr-FR"/>
        </w:rPr>
        <w:tab/>
      </w:r>
      <w:r w:rsidRPr="00640C9E">
        <w:rPr>
          <w:szCs w:val="24"/>
          <w:lang w:val="fr-FR"/>
        </w:rPr>
        <w:tab/>
        <w:t>Ajouter l</w:t>
      </w:r>
      <w:r>
        <w:rPr>
          <w:szCs w:val="24"/>
          <w:lang w:val="fr-FR"/>
        </w:rPr>
        <w:t>a</w:t>
      </w:r>
      <w:r w:rsidRPr="00640C9E">
        <w:rPr>
          <w:szCs w:val="24"/>
          <w:lang w:val="fr-FR"/>
        </w:rPr>
        <w:t xml:space="preserve"> nouvelle phrase suivante après la première phrase</w:t>
      </w:r>
      <w:r>
        <w:rPr>
          <w:szCs w:val="24"/>
          <w:lang w:val="fr-FR"/>
        </w:rPr>
        <w:t> :</w:t>
      </w:r>
    </w:p>
    <w:p w:rsidR="00124E6E" w:rsidRPr="00640C9E" w:rsidRDefault="00361A7A" w:rsidP="00FE3F4F">
      <w:pPr>
        <w:pStyle w:val="SingleTxtG"/>
        <w:tabs>
          <w:tab w:val="left" w:pos="2268"/>
        </w:tabs>
        <w:ind w:left="2259" w:hanging="1125"/>
        <w:rPr>
          <w:szCs w:val="24"/>
        </w:rPr>
      </w:pPr>
      <w:r>
        <w:rPr>
          <w:szCs w:val="24"/>
          <w:lang w:val="fr-FR"/>
        </w:rPr>
        <w:tab/>
      </w:r>
      <w:r w:rsidR="00124E6E">
        <w:rPr>
          <w:szCs w:val="24"/>
          <w:lang w:val="fr-FR"/>
        </w:rPr>
        <w:t>« </w:t>
      </w:r>
      <w:r w:rsidR="00124E6E" w:rsidRPr="00640C9E">
        <w:rPr>
          <w:szCs w:val="24"/>
          <w:lang w:val="fr-FR"/>
        </w:rPr>
        <w:t xml:space="preserve">Pour les objets SCO-III, les limites du tableau </w:t>
      </w:r>
      <w:r w:rsidR="00124E6E">
        <w:rPr>
          <w:szCs w:val="24"/>
          <w:lang w:val="fr-FR"/>
        </w:rPr>
        <w:t>C ci-dessous</w:t>
      </w:r>
      <w:r w:rsidR="00124E6E" w:rsidRPr="00640C9E">
        <w:rPr>
          <w:szCs w:val="24"/>
          <w:lang w:val="fr-FR"/>
        </w:rPr>
        <w:t xml:space="preserve"> peuvent être dépassées à condition que le plan de transport </w:t>
      </w:r>
      <w:r w:rsidR="00124E6E">
        <w:rPr>
          <w:szCs w:val="24"/>
          <w:lang w:val="fr-FR"/>
        </w:rPr>
        <w:t>contienne l</w:t>
      </w:r>
      <w:r w:rsidR="00124E6E" w:rsidRPr="00640C9E">
        <w:rPr>
          <w:szCs w:val="24"/>
          <w:lang w:val="fr-FR"/>
        </w:rPr>
        <w:t xml:space="preserve">es précautions </w:t>
      </w:r>
      <w:r w:rsidR="00124E6E">
        <w:rPr>
          <w:szCs w:val="24"/>
          <w:lang w:val="fr-FR"/>
        </w:rPr>
        <w:t xml:space="preserve">à prendre en cours de transport afin </w:t>
      </w:r>
      <w:r w:rsidR="00124E6E" w:rsidRPr="00640C9E">
        <w:rPr>
          <w:szCs w:val="24"/>
          <w:lang w:val="fr-FR"/>
        </w:rPr>
        <w:t>d</w:t>
      </w:r>
      <w:r w:rsidR="00124E6E">
        <w:rPr>
          <w:szCs w:val="24"/>
          <w:lang w:val="fr-FR"/>
        </w:rPr>
        <w:t>’</w:t>
      </w:r>
      <w:r w:rsidR="00124E6E" w:rsidRPr="00640C9E">
        <w:rPr>
          <w:szCs w:val="24"/>
          <w:lang w:val="fr-FR"/>
        </w:rPr>
        <w:t xml:space="preserve">obtenir un niveau de </w:t>
      </w:r>
      <w:r w:rsidR="00124E6E">
        <w:rPr>
          <w:szCs w:val="24"/>
          <w:lang w:val="fr-FR"/>
        </w:rPr>
        <w:t xml:space="preserve">sûreté générale </w:t>
      </w:r>
      <w:r w:rsidR="00124E6E" w:rsidRPr="00640C9E">
        <w:rPr>
          <w:szCs w:val="24"/>
          <w:lang w:val="fr-FR"/>
        </w:rPr>
        <w:t>au moins équivalent à celui qui aurait été atteint si les limites avaient été respectées.</w:t>
      </w:r>
      <w:r w:rsidR="00124E6E">
        <w:rPr>
          <w:szCs w:val="24"/>
          <w:lang w:val="fr-FR"/>
        </w:rPr>
        <w:t> »</w:t>
      </w:r>
      <w:r w:rsidR="00124E6E" w:rsidRPr="00640C9E">
        <w:rPr>
          <w:szCs w:val="24"/>
          <w:lang w:val="fr-FR"/>
        </w:rPr>
        <w:t>.</w:t>
      </w:r>
    </w:p>
    <w:p w:rsidR="00124E6E" w:rsidRPr="00640C9E" w:rsidRDefault="00124E6E" w:rsidP="00FE3F4F">
      <w:pPr>
        <w:pStyle w:val="SingleTxtG"/>
        <w:tabs>
          <w:tab w:val="left" w:pos="2268"/>
        </w:tabs>
        <w:ind w:left="2259" w:hanging="1125"/>
        <w:rPr>
          <w:szCs w:val="24"/>
        </w:rPr>
      </w:pPr>
      <w:r>
        <w:t>7.1.4.14.7.3.3</w:t>
      </w:r>
      <w:r w:rsidRPr="00640C9E">
        <w:rPr>
          <w:szCs w:val="24"/>
          <w:lang w:val="fr-FR"/>
        </w:rPr>
        <w:tab/>
        <w:t>Modifier l</w:t>
      </w:r>
      <w:r>
        <w:rPr>
          <w:szCs w:val="24"/>
          <w:lang w:val="fr-FR"/>
        </w:rPr>
        <w:t>’</w:t>
      </w:r>
      <w:r w:rsidRPr="00640C9E">
        <w:rPr>
          <w:szCs w:val="24"/>
          <w:lang w:val="fr-FR"/>
        </w:rPr>
        <w:t>alinéa b) pour lire comme suit</w:t>
      </w:r>
      <w:r>
        <w:rPr>
          <w:szCs w:val="24"/>
          <w:lang w:val="fr-FR"/>
        </w:rPr>
        <w:t> :</w:t>
      </w:r>
    </w:p>
    <w:p w:rsidR="00124E6E" w:rsidRPr="00640C9E" w:rsidRDefault="00361A7A" w:rsidP="00FE3F4F">
      <w:pPr>
        <w:pStyle w:val="SingleTxtG"/>
        <w:tabs>
          <w:tab w:val="left" w:pos="2268"/>
        </w:tabs>
        <w:ind w:left="2259" w:hanging="1125"/>
        <w:rPr>
          <w:szCs w:val="24"/>
        </w:rPr>
      </w:pPr>
      <w:r>
        <w:rPr>
          <w:szCs w:val="24"/>
          <w:lang w:val="fr-FR"/>
        </w:rPr>
        <w:tab/>
      </w:r>
      <w:r w:rsidR="00124E6E">
        <w:rPr>
          <w:szCs w:val="24"/>
          <w:lang w:val="fr-FR"/>
        </w:rPr>
        <w:t>« </w:t>
      </w:r>
      <w:proofErr w:type="gramStart"/>
      <w:r w:rsidR="00124E6E" w:rsidRPr="00640C9E">
        <w:rPr>
          <w:szCs w:val="24"/>
          <w:lang w:val="fr-FR"/>
        </w:rPr>
        <w:t>b</w:t>
      </w:r>
      <w:proofErr w:type="gramEnd"/>
      <w:r w:rsidR="00124E6E" w:rsidRPr="00640C9E">
        <w:rPr>
          <w:szCs w:val="24"/>
          <w:lang w:val="fr-FR"/>
        </w:rPr>
        <w:t xml:space="preserve">) </w:t>
      </w:r>
      <w:r w:rsidR="00124E6E" w:rsidRPr="00640C9E">
        <w:rPr>
          <w:szCs w:val="24"/>
          <w:lang w:val="fr-FR"/>
        </w:rPr>
        <w:tab/>
        <w:t>Le débit de dose dans les conditions de transport de routine ne doit pas dépasser 2</w:t>
      </w:r>
      <w:r w:rsidR="00124E6E">
        <w:rPr>
          <w:szCs w:val="24"/>
          <w:lang w:val="fr-FR"/>
        </w:rPr>
        <w:t> </w:t>
      </w:r>
      <w:r w:rsidR="00124E6E" w:rsidRPr="00640C9E">
        <w:rPr>
          <w:szCs w:val="24"/>
          <w:lang w:val="fr-FR"/>
        </w:rPr>
        <w:t xml:space="preserve">mSv/h en tout point de la surface externe du </w:t>
      </w:r>
      <w:r w:rsidR="00124E6E">
        <w:rPr>
          <w:szCs w:val="24"/>
          <w:lang w:val="fr-FR"/>
        </w:rPr>
        <w:t>moyen de transport</w:t>
      </w:r>
      <w:r w:rsidR="00124E6E" w:rsidRPr="00640C9E">
        <w:rPr>
          <w:szCs w:val="24"/>
          <w:lang w:val="fr-FR"/>
        </w:rPr>
        <w:t>, et 0,1</w:t>
      </w:r>
      <w:r w:rsidR="00124E6E">
        <w:rPr>
          <w:szCs w:val="24"/>
          <w:lang w:val="fr-FR"/>
        </w:rPr>
        <w:t> </w:t>
      </w:r>
      <w:r w:rsidR="00124E6E" w:rsidRPr="00640C9E">
        <w:rPr>
          <w:szCs w:val="24"/>
          <w:lang w:val="fr-FR"/>
        </w:rPr>
        <w:t>mSv/h à 2</w:t>
      </w:r>
      <w:r w:rsidR="00124E6E">
        <w:rPr>
          <w:szCs w:val="24"/>
          <w:lang w:val="fr-FR"/>
        </w:rPr>
        <w:t> </w:t>
      </w:r>
      <w:r w:rsidR="00124E6E" w:rsidRPr="00640C9E">
        <w:rPr>
          <w:szCs w:val="24"/>
          <w:lang w:val="fr-FR"/>
        </w:rPr>
        <w:t xml:space="preserve">m de la surface externe du </w:t>
      </w:r>
      <w:r w:rsidR="00124E6E">
        <w:rPr>
          <w:szCs w:val="24"/>
          <w:lang w:val="fr-FR"/>
        </w:rPr>
        <w:t>moyen de transport</w:t>
      </w:r>
      <w:r w:rsidR="00124E6E" w:rsidRPr="00640C9E">
        <w:rPr>
          <w:szCs w:val="24"/>
          <w:lang w:val="fr-FR"/>
        </w:rPr>
        <w:t>,</w:t>
      </w:r>
      <w:r w:rsidR="00124E6E">
        <w:rPr>
          <w:szCs w:val="24"/>
          <w:lang w:val="fr-FR"/>
        </w:rPr>
        <w:t xml:space="preserve"> </w:t>
      </w:r>
      <w:r w:rsidR="00124E6E" w:rsidRPr="00640C9E">
        <w:rPr>
          <w:szCs w:val="24"/>
          <w:lang w:val="fr-FR"/>
        </w:rPr>
        <w:t xml:space="preserve">sauf dans le cas des envois transportés </w:t>
      </w:r>
      <w:proofErr w:type="spellStart"/>
      <w:r w:rsidR="00124E6E" w:rsidRPr="00640C9E">
        <w:rPr>
          <w:szCs w:val="24"/>
          <w:lang w:val="fr-FR"/>
        </w:rPr>
        <w:t>sous utilisation</w:t>
      </w:r>
      <w:proofErr w:type="spellEnd"/>
      <w:r w:rsidR="00124E6E" w:rsidRPr="00640C9E">
        <w:rPr>
          <w:szCs w:val="24"/>
          <w:lang w:val="fr-FR"/>
        </w:rPr>
        <w:t xml:space="preserve"> exclusive </w:t>
      </w:r>
      <w:r w:rsidR="00124E6E">
        <w:rPr>
          <w:szCs w:val="24"/>
          <w:lang w:val="fr-FR"/>
        </w:rPr>
        <w:t>[</w:t>
      </w:r>
      <w:r w:rsidR="00124E6E" w:rsidRPr="00640C9E">
        <w:rPr>
          <w:szCs w:val="24"/>
          <w:lang w:val="fr-FR"/>
        </w:rPr>
        <w:t>par route ou par voie ferrée</w:t>
      </w:r>
      <w:r w:rsidR="00124E6E">
        <w:rPr>
          <w:szCs w:val="24"/>
          <w:lang w:val="fr-FR"/>
        </w:rPr>
        <w:t>]</w:t>
      </w:r>
      <w:r w:rsidR="00124E6E" w:rsidRPr="00640C9E">
        <w:rPr>
          <w:szCs w:val="24"/>
          <w:lang w:val="fr-FR"/>
        </w:rPr>
        <w:t>, pour lesquels les limites d</w:t>
      </w:r>
      <w:r w:rsidR="00124E6E">
        <w:rPr>
          <w:szCs w:val="24"/>
          <w:lang w:val="fr-FR"/>
        </w:rPr>
        <w:t>’</w:t>
      </w:r>
      <w:r w:rsidR="00124E6E" w:rsidRPr="00640C9E">
        <w:rPr>
          <w:szCs w:val="24"/>
          <w:lang w:val="fr-FR"/>
        </w:rPr>
        <w:t xml:space="preserve">intensité de rayonnement autour du </w:t>
      </w:r>
      <w:r w:rsidR="00124E6E">
        <w:rPr>
          <w:szCs w:val="24"/>
          <w:lang w:val="fr-FR"/>
        </w:rPr>
        <w:t>moyen de transport</w:t>
      </w:r>
      <w:r w:rsidR="00124E6E" w:rsidRPr="00640C9E">
        <w:rPr>
          <w:szCs w:val="24"/>
          <w:lang w:val="fr-FR"/>
        </w:rPr>
        <w:t xml:space="preserve"> sont énoncées </w:t>
      </w:r>
      <w:r w:rsidR="00124E6E">
        <w:rPr>
          <w:szCs w:val="24"/>
          <w:lang w:val="fr-FR"/>
        </w:rPr>
        <w:t xml:space="preserve">au </w:t>
      </w:r>
      <w:r w:rsidR="00124E6E">
        <w:rPr>
          <w:color w:val="000000"/>
        </w:rPr>
        <w:t>7.1.4.14.7.3.5</w:t>
      </w:r>
      <w:r w:rsidR="00124E6E" w:rsidRPr="00640C9E" w:rsidDel="00224032">
        <w:rPr>
          <w:szCs w:val="24"/>
          <w:lang w:val="fr-FR"/>
        </w:rPr>
        <w:t xml:space="preserve"> </w:t>
      </w:r>
      <w:r w:rsidR="00124E6E">
        <w:rPr>
          <w:szCs w:val="24"/>
          <w:lang w:val="fr-FR"/>
        </w:rPr>
        <w:t>b) et c). ».</w:t>
      </w:r>
    </w:p>
    <w:p w:rsidR="00361A7A" w:rsidRDefault="00124E6E" w:rsidP="00FE3F4F">
      <w:pPr>
        <w:pStyle w:val="SingleTxtG"/>
        <w:tabs>
          <w:tab w:val="left" w:pos="2268"/>
        </w:tabs>
        <w:ind w:left="2259" w:hanging="1125"/>
      </w:pPr>
      <w:bookmarkStart w:id="56" w:name="_Hlk11159023"/>
      <w:r w:rsidRPr="00CD471E">
        <w:t>7.1.4.14.7.3.5</w:t>
      </w:r>
      <w:r w:rsidRPr="00CD471E">
        <w:tab/>
      </w:r>
    </w:p>
    <w:p w:rsidR="00124E6E" w:rsidRPr="00CD471E" w:rsidRDefault="00361A7A" w:rsidP="00FE3F4F">
      <w:pPr>
        <w:pStyle w:val="SingleTxtG"/>
        <w:tabs>
          <w:tab w:val="left" w:pos="2268"/>
        </w:tabs>
        <w:ind w:left="2259" w:hanging="1125"/>
      </w:pPr>
      <w:r>
        <w:tab/>
      </w:r>
      <w:r w:rsidR="00124E6E" w:rsidRPr="00CD471E">
        <w:t>Remplacer « l’intensité de rayonnement » par « le débit de dose ».</w:t>
      </w:r>
    </w:p>
    <w:p w:rsidR="00361A7A" w:rsidRDefault="00124E6E" w:rsidP="00FE3F4F">
      <w:pPr>
        <w:pStyle w:val="SingleTxtG"/>
        <w:tabs>
          <w:tab w:val="left" w:pos="2268"/>
        </w:tabs>
        <w:ind w:left="2259" w:hanging="1125"/>
      </w:pPr>
      <w:r w:rsidRPr="00CD471E">
        <w:t>7.1.4.14.7.3.6</w:t>
      </w:r>
    </w:p>
    <w:p w:rsidR="00124E6E" w:rsidRPr="00CD471E" w:rsidRDefault="00361A7A" w:rsidP="00FE3F4F">
      <w:pPr>
        <w:pStyle w:val="SingleTxtG"/>
        <w:tabs>
          <w:tab w:val="left" w:pos="2268"/>
        </w:tabs>
        <w:ind w:left="2259" w:hanging="1125"/>
      </w:pPr>
      <w:r>
        <w:tab/>
      </w:r>
      <w:r w:rsidR="00124E6E" w:rsidRPr="00CD471E">
        <w:tab/>
        <w:t>Remplacer « l’intensité de rayonnement » par « le débit de dose ».</w:t>
      </w:r>
    </w:p>
    <w:p w:rsidR="00361A7A" w:rsidRDefault="00124E6E" w:rsidP="00FE3F4F">
      <w:pPr>
        <w:pStyle w:val="SingleTxtG"/>
        <w:tabs>
          <w:tab w:val="left" w:pos="2268"/>
        </w:tabs>
        <w:ind w:left="2259" w:hanging="1125"/>
      </w:pPr>
      <w:r w:rsidRPr="00CD471E">
        <w:t>7.1.4.14.7.5.1</w:t>
      </w:r>
    </w:p>
    <w:p w:rsidR="00124E6E" w:rsidRPr="00CD471E" w:rsidRDefault="00361A7A" w:rsidP="00FE3F4F">
      <w:pPr>
        <w:pStyle w:val="SingleTxtG"/>
        <w:tabs>
          <w:tab w:val="left" w:pos="2268"/>
        </w:tabs>
        <w:ind w:left="2259" w:hanging="1125"/>
      </w:pPr>
      <w:r>
        <w:tab/>
      </w:r>
      <w:r w:rsidR="00124E6E" w:rsidRPr="00CD471E">
        <w:t>Remplacer « l’intensité de rayonnement » par « le débit de dose ».</w:t>
      </w:r>
    </w:p>
    <w:p w:rsidR="00361A7A" w:rsidRDefault="00124E6E" w:rsidP="00FE3F4F">
      <w:pPr>
        <w:pStyle w:val="SingleTxtG"/>
        <w:tabs>
          <w:tab w:val="left" w:pos="2268"/>
        </w:tabs>
        <w:ind w:left="2259" w:hanging="1125"/>
      </w:pPr>
      <w:r w:rsidRPr="00CD471E">
        <w:t>7.1.4.14.7.5.4</w:t>
      </w:r>
    </w:p>
    <w:p w:rsidR="00124E6E" w:rsidRPr="008B5482" w:rsidRDefault="00361A7A" w:rsidP="00FE3F4F">
      <w:pPr>
        <w:pStyle w:val="SingleTxtG"/>
        <w:tabs>
          <w:tab w:val="left" w:pos="2268"/>
        </w:tabs>
        <w:ind w:left="2259" w:hanging="1125"/>
      </w:pPr>
      <w:r>
        <w:tab/>
      </w:r>
      <w:r w:rsidR="00124E6E" w:rsidRPr="00CD471E">
        <w:t>Remplacer « l’intensité de rayonnement » par « le débit de dose ».</w:t>
      </w:r>
    </w:p>
    <w:bookmarkEnd w:id="56"/>
    <w:p w:rsidR="00124E6E" w:rsidRDefault="00124E6E" w:rsidP="00124E6E">
      <w:pPr>
        <w:pStyle w:val="H1G"/>
      </w:pPr>
      <w:r>
        <w:lastRenderedPageBreak/>
        <w:tab/>
      </w:r>
      <w:r>
        <w:tab/>
        <w:t>(RID/ADR :) Chapitre 7.5</w:t>
      </w:r>
    </w:p>
    <w:p w:rsidR="00361A7A" w:rsidRDefault="00124E6E" w:rsidP="00FE3F4F">
      <w:pPr>
        <w:pStyle w:val="SingleTxtG"/>
        <w:tabs>
          <w:tab w:val="left" w:pos="2268"/>
        </w:tabs>
        <w:ind w:left="2259" w:hanging="1125"/>
      </w:pPr>
      <w:r>
        <w:t>7.5.11, CW33/CV33 (2)</w:t>
      </w:r>
    </w:p>
    <w:p w:rsidR="00124E6E" w:rsidRPr="00640C9E" w:rsidRDefault="00124E6E" w:rsidP="00FE3F4F">
      <w:pPr>
        <w:pStyle w:val="SingleTxtG"/>
        <w:tabs>
          <w:tab w:val="left" w:pos="2268"/>
        </w:tabs>
        <w:ind w:left="2259" w:hanging="1125"/>
        <w:rPr>
          <w:szCs w:val="24"/>
        </w:rPr>
      </w:pPr>
      <w:r w:rsidRPr="00640C9E">
        <w:rPr>
          <w:szCs w:val="24"/>
          <w:lang w:val="fr-FR"/>
        </w:rPr>
        <w:tab/>
      </w:r>
      <w:r w:rsidRPr="00640C9E">
        <w:rPr>
          <w:szCs w:val="24"/>
          <w:lang w:val="fr-FR"/>
        </w:rPr>
        <w:tab/>
        <w:t>Ajouter l</w:t>
      </w:r>
      <w:r>
        <w:rPr>
          <w:szCs w:val="24"/>
          <w:lang w:val="fr-FR"/>
        </w:rPr>
        <w:t>a</w:t>
      </w:r>
      <w:r w:rsidRPr="00640C9E">
        <w:rPr>
          <w:szCs w:val="24"/>
          <w:lang w:val="fr-FR"/>
        </w:rPr>
        <w:t xml:space="preserve"> nouvelle phrase suivante après la première phrase</w:t>
      </w:r>
      <w:r>
        <w:rPr>
          <w:szCs w:val="24"/>
          <w:lang w:val="fr-FR"/>
        </w:rPr>
        <w:t> :</w:t>
      </w:r>
    </w:p>
    <w:p w:rsidR="00124E6E" w:rsidRPr="00640C9E" w:rsidRDefault="00361A7A" w:rsidP="00FE3F4F">
      <w:pPr>
        <w:pStyle w:val="SingleTxtG"/>
        <w:tabs>
          <w:tab w:val="left" w:pos="2268"/>
        </w:tabs>
        <w:ind w:left="2259" w:hanging="1125"/>
        <w:rPr>
          <w:szCs w:val="24"/>
        </w:rPr>
      </w:pPr>
      <w:r>
        <w:rPr>
          <w:szCs w:val="24"/>
          <w:lang w:val="fr-FR"/>
        </w:rPr>
        <w:tab/>
      </w:r>
      <w:r w:rsidR="00124E6E">
        <w:rPr>
          <w:szCs w:val="24"/>
          <w:lang w:val="fr-FR"/>
        </w:rPr>
        <w:t>« </w:t>
      </w:r>
      <w:r w:rsidR="00124E6E" w:rsidRPr="00640C9E">
        <w:rPr>
          <w:szCs w:val="24"/>
          <w:lang w:val="fr-FR"/>
        </w:rPr>
        <w:t xml:space="preserve">Pour les objets SCO-III, les limites du tableau </w:t>
      </w:r>
      <w:r w:rsidR="00124E6E">
        <w:rPr>
          <w:szCs w:val="24"/>
          <w:lang w:val="fr-FR"/>
        </w:rPr>
        <w:t>C ci-dessous</w:t>
      </w:r>
      <w:r w:rsidR="00124E6E" w:rsidRPr="00640C9E">
        <w:rPr>
          <w:szCs w:val="24"/>
          <w:lang w:val="fr-FR"/>
        </w:rPr>
        <w:t xml:space="preserve"> peuvent être dépassées à condition que le plan de transport </w:t>
      </w:r>
      <w:r w:rsidR="00124E6E">
        <w:rPr>
          <w:szCs w:val="24"/>
          <w:lang w:val="fr-FR"/>
        </w:rPr>
        <w:t>contienne l</w:t>
      </w:r>
      <w:r w:rsidR="00124E6E" w:rsidRPr="00640C9E">
        <w:rPr>
          <w:szCs w:val="24"/>
          <w:lang w:val="fr-FR"/>
        </w:rPr>
        <w:t xml:space="preserve">es précautions </w:t>
      </w:r>
      <w:r w:rsidR="00124E6E">
        <w:rPr>
          <w:szCs w:val="24"/>
          <w:lang w:val="fr-FR"/>
        </w:rPr>
        <w:t xml:space="preserve">à prendre en cours de transport afin </w:t>
      </w:r>
      <w:r w:rsidR="00124E6E" w:rsidRPr="00640C9E">
        <w:rPr>
          <w:szCs w:val="24"/>
          <w:lang w:val="fr-FR"/>
        </w:rPr>
        <w:t>d</w:t>
      </w:r>
      <w:r w:rsidR="00124E6E">
        <w:rPr>
          <w:szCs w:val="24"/>
          <w:lang w:val="fr-FR"/>
        </w:rPr>
        <w:t>’</w:t>
      </w:r>
      <w:r w:rsidR="00124E6E" w:rsidRPr="00640C9E">
        <w:rPr>
          <w:szCs w:val="24"/>
          <w:lang w:val="fr-FR"/>
        </w:rPr>
        <w:t xml:space="preserve">obtenir un niveau de </w:t>
      </w:r>
      <w:r w:rsidR="00124E6E">
        <w:rPr>
          <w:szCs w:val="24"/>
          <w:lang w:val="fr-FR"/>
        </w:rPr>
        <w:t xml:space="preserve">sûreté générale </w:t>
      </w:r>
      <w:r w:rsidR="00124E6E" w:rsidRPr="00640C9E">
        <w:rPr>
          <w:szCs w:val="24"/>
          <w:lang w:val="fr-FR"/>
        </w:rPr>
        <w:t>au moins équivalent à celui qui aurait été atteint si les limites avaient été respectées.</w:t>
      </w:r>
      <w:r w:rsidR="00124E6E">
        <w:rPr>
          <w:szCs w:val="24"/>
          <w:lang w:val="fr-FR"/>
        </w:rPr>
        <w:t> »</w:t>
      </w:r>
      <w:r w:rsidR="00124E6E" w:rsidRPr="00640C9E">
        <w:rPr>
          <w:szCs w:val="24"/>
          <w:lang w:val="fr-FR"/>
        </w:rPr>
        <w:t>.</w:t>
      </w:r>
    </w:p>
    <w:p w:rsidR="00361A7A" w:rsidRDefault="00124E6E" w:rsidP="00FE3F4F">
      <w:pPr>
        <w:pStyle w:val="SingleTxtG"/>
        <w:tabs>
          <w:tab w:val="left" w:pos="2268"/>
        </w:tabs>
        <w:ind w:left="2259" w:hanging="1125"/>
      </w:pPr>
      <w:r>
        <w:t>7.5.11, CW33/CV33 (3) (3.3)</w:t>
      </w:r>
    </w:p>
    <w:p w:rsidR="00124E6E" w:rsidRPr="00640C9E" w:rsidRDefault="00124E6E" w:rsidP="00FE3F4F">
      <w:pPr>
        <w:pStyle w:val="SingleTxtG"/>
        <w:tabs>
          <w:tab w:val="left" w:pos="2268"/>
        </w:tabs>
        <w:ind w:left="2259" w:hanging="1125"/>
        <w:rPr>
          <w:szCs w:val="24"/>
        </w:rPr>
      </w:pPr>
      <w:r w:rsidRPr="00640C9E">
        <w:rPr>
          <w:szCs w:val="24"/>
          <w:lang w:val="fr-FR"/>
        </w:rPr>
        <w:tab/>
        <w:t>Modifier l</w:t>
      </w:r>
      <w:r>
        <w:rPr>
          <w:szCs w:val="24"/>
          <w:lang w:val="fr-FR"/>
        </w:rPr>
        <w:t>’</w:t>
      </w:r>
      <w:r w:rsidRPr="00640C9E">
        <w:rPr>
          <w:szCs w:val="24"/>
          <w:lang w:val="fr-FR"/>
        </w:rPr>
        <w:t>alinéa b) pour lire comme suit</w:t>
      </w:r>
      <w:r>
        <w:rPr>
          <w:szCs w:val="24"/>
          <w:lang w:val="fr-FR"/>
        </w:rPr>
        <w:t> :</w:t>
      </w:r>
    </w:p>
    <w:p w:rsidR="00124E6E" w:rsidRPr="00640C9E" w:rsidRDefault="00361A7A" w:rsidP="00FE3F4F">
      <w:pPr>
        <w:pStyle w:val="SingleTxtG"/>
        <w:tabs>
          <w:tab w:val="left" w:pos="2268"/>
        </w:tabs>
        <w:ind w:left="2259" w:hanging="1125"/>
        <w:rPr>
          <w:szCs w:val="24"/>
        </w:rPr>
      </w:pPr>
      <w:r>
        <w:rPr>
          <w:szCs w:val="24"/>
          <w:lang w:val="fr-FR"/>
        </w:rPr>
        <w:tab/>
      </w:r>
      <w:r w:rsidR="00124E6E">
        <w:rPr>
          <w:szCs w:val="24"/>
          <w:lang w:val="fr-FR"/>
        </w:rPr>
        <w:t>« </w:t>
      </w:r>
      <w:proofErr w:type="gramStart"/>
      <w:r w:rsidR="00124E6E" w:rsidRPr="00640C9E">
        <w:rPr>
          <w:szCs w:val="24"/>
          <w:lang w:val="fr-FR"/>
        </w:rPr>
        <w:t>b</w:t>
      </w:r>
      <w:proofErr w:type="gramEnd"/>
      <w:r w:rsidR="00124E6E" w:rsidRPr="00640C9E">
        <w:rPr>
          <w:szCs w:val="24"/>
          <w:lang w:val="fr-FR"/>
        </w:rPr>
        <w:t xml:space="preserve">) </w:t>
      </w:r>
      <w:r w:rsidR="00124E6E" w:rsidRPr="00640C9E">
        <w:rPr>
          <w:szCs w:val="24"/>
          <w:lang w:val="fr-FR"/>
        </w:rPr>
        <w:tab/>
        <w:t>Le débit de dose dans les conditions de transport de routine ne doit pas dépasser 2</w:t>
      </w:r>
      <w:r w:rsidR="00124E6E">
        <w:rPr>
          <w:szCs w:val="24"/>
          <w:lang w:val="fr-FR"/>
        </w:rPr>
        <w:t> </w:t>
      </w:r>
      <w:r w:rsidR="00124E6E" w:rsidRPr="00640C9E">
        <w:rPr>
          <w:szCs w:val="24"/>
          <w:lang w:val="fr-FR"/>
        </w:rPr>
        <w:t xml:space="preserve">mSv/h en tout point de la surface externe du </w:t>
      </w:r>
      <w:r w:rsidR="00124E6E">
        <w:rPr>
          <w:szCs w:val="24"/>
          <w:lang w:val="fr-FR"/>
        </w:rPr>
        <w:t>wagon/</w:t>
      </w:r>
      <w:r w:rsidR="00124E6E" w:rsidRPr="00640C9E">
        <w:rPr>
          <w:szCs w:val="24"/>
          <w:lang w:val="fr-FR"/>
        </w:rPr>
        <w:t>véhicule ou du conteneur, et 0,1</w:t>
      </w:r>
      <w:r w:rsidR="00124E6E">
        <w:rPr>
          <w:szCs w:val="24"/>
          <w:lang w:val="fr-FR"/>
        </w:rPr>
        <w:t> </w:t>
      </w:r>
      <w:r w:rsidR="00124E6E" w:rsidRPr="00640C9E">
        <w:rPr>
          <w:szCs w:val="24"/>
          <w:lang w:val="fr-FR"/>
        </w:rPr>
        <w:t>mSv/h à 2</w:t>
      </w:r>
      <w:r w:rsidR="00124E6E">
        <w:rPr>
          <w:szCs w:val="24"/>
          <w:lang w:val="fr-FR"/>
        </w:rPr>
        <w:t> </w:t>
      </w:r>
      <w:r w:rsidR="00124E6E" w:rsidRPr="00640C9E">
        <w:rPr>
          <w:szCs w:val="24"/>
          <w:lang w:val="fr-FR"/>
        </w:rPr>
        <w:t xml:space="preserve">m de la surface externe du </w:t>
      </w:r>
      <w:r w:rsidR="00124E6E">
        <w:rPr>
          <w:szCs w:val="24"/>
          <w:lang w:val="fr-FR"/>
        </w:rPr>
        <w:t>wagon/</w:t>
      </w:r>
      <w:r w:rsidR="00124E6E" w:rsidRPr="00640C9E">
        <w:rPr>
          <w:szCs w:val="24"/>
          <w:lang w:val="fr-FR"/>
        </w:rPr>
        <w:t>véhicule</w:t>
      </w:r>
      <w:r w:rsidR="00124E6E">
        <w:rPr>
          <w:szCs w:val="24"/>
          <w:lang w:val="fr-FR"/>
        </w:rPr>
        <w:t xml:space="preserve"> </w:t>
      </w:r>
      <w:r w:rsidR="00124E6E" w:rsidRPr="00640C9E">
        <w:rPr>
          <w:szCs w:val="24"/>
          <w:lang w:val="fr-FR"/>
        </w:rPr>
        <w:t>ou du conteneur,</w:t>
      </w:r>
      <w:r w:rsidR="00124E6E">
        <w:rPr>
          <w:szCs w:val="24"/>
          <w:lang w:val="fr-FR"/>
        </w:rPr>
        <w:t xml:space="preserve"> </w:t>
      </w:r>
      <w:r w:rsidR="00124E6E" w:rsidRPr="00640C9E">
        <w:rPr>
          <w:szCs w:val="24"/>
          <w:lang w:val="fr-FR"/>
        </w:rPr>
        <w:t xml:space="preserve">sauf dans le cas des envois transportés </w:t>
      </w:r>
      <w:proofErr w:type="spellStart"/>
      <w:r w:rsidR="00124E6E" w:rsidRPr="00640C9E">
        <w:rPr>
          <w:szCs w:val="24"/>
          <w:lang w:val="fr-FR"/>
        </w:rPr>
        <w:t>sous utilisation</w:t>
      </w:r>
      <w:proofErr w:type="spellEnd"/>
      <w:r w:rsidR="00124E6E" w:rsidRPr="00640C9E">
        <w:rPr>
          <w:szCs w:val="24"/>
          <w:lang w:val="fr-FR"/>
        </w:rPr>
        <w:t xml:space="preserve"> exclusive par route ou par voie ferrée, pour lesquels les limites d</w:t>
      </w:r>
      <w:r w:rsidR="00124E6E">
        <w:rPr>
          <w:szCs w:val="24"/>
          <w:lang w:val="fr-FR"/>
        </w:rPr>
        <w:t>’</w:t>
      </w:r>
      <w:r w:rsidR="00124E6E" w:rsidRPr="00640C9E">
        <w:rPr>
          <w:szCs w:val="24"/>
          <w:lang w:val="fr-FR"/>
        </w:rPr>
        <w:t xml:space="preserve">intensité de rayonnement autour du </w:t>
      </w:r>
      <w:r w:rsidR="00124E6E">
        <w:rPr>
          <w:szCs w:val="24"/>
          <w:lang w:val="fr-FR"/>
        </w:rPr>
        <w:t>wagon/</w:t>
      </w:r>
      <w:r w:rsidR="00124E6E" w:rsidRPr="00640C9E">
        <w:rPr>
          <w:szCs w:val="24"/>
          <w:lang w:val="fr-FR"/>
        </w:rPr>
        <w:t xml:space="preserve">véhicule sont énoncées </w:t>
      </w:r>
      <w:r w:rsidR="00124E6E">
        <w:rPr>
          <w:szCs w:val="24"/>
          <w:lang w:val="fr-FR"/>
        </w:rPr>
        <w:t>au (3.5)</w:t>
      </w:r>
      <w:r w:rsidR="00124E6E" w:rsidRPr="00823B89">
        <w:rPr>
          <w:szCs w:val="24"/>
          <w:lang w:val="fr-FR"/>
        </w:rPr>
        <w:t xml:space="preserve"> </w:t>
      </w:r>
      <w:r w:rsidR="00124E6E">
        <w:rPr>
          <w:szCs w:val="24"/>
          <w:lang w:val="fr-FR"/>
        </w:rPr>
        <w:t>b) et c). ».</w:t>
      </w:r>
    </w:p>
    <w:p w:rsidR="00361A7A" w:rsidRDefault="00124E6E" w:rsidP="00FE3F4F">
      <w:pPr>
        <w:pStyle w:val="SingleTxtG"/>
        <w:tabs>
          <w:tab w:val="left" w:pos="2268"/>
        </w:tabs>
        <w:ind w:left="2259" w:hanging="1125"/>
      </w:pPr>
      <w:r w:rsidRPr="00CD471E">
        <w:t xml:space="preserve">7.5.11, CW33/CV33 (3.5), (5.1) </w:t>
      </w:r>
      <w:r>
        <w:t>et</w:t>
      </w:r>
      <w:r w:rsidRPr="00CD471E">
        <w:t xml:space="preserve"> (5.4) (</w:t>
      </w:r>
      <w:r>
        <w:t>deux fois</w:t>
      </w:r>
      <w:r w:rsidRPr="00CD471E">
        <w:t>)</w:t>
      </w:r>
    </w:p>
    <w:p w:rsidR="00124E6E" w:rsidRDefault="00124E6E" w:rsidP="00FE3F4F">
      <w:pPr>
        <w:pStyle w:val="SingleTxtG"/>
        <w:tabs>
          <w:tab w:val="left" w:pos="2268"/>
        </w:tabs>
        <w:ind w:left="2259" w:hanging="1125"/>
      </w:pPr>
      <w:r w:rsidRPr="00CD471E">
        <w:tab/>
      </w:r>
      <w:r w:rsidRPr="00AB7C1B">
        <w:t>Remplacer</w:t>
      </w:r>
      <w:r w:rsidRPr="00CD471E">
        <w:t xml:space="preserve"> </w:t>
      </w:r>
      <w:r w:rsidRPr="00AB7C1B">
        <w:t>« l’intensité de rayonnement » par « le débit de dose »</w:t>
      </w:r>
      <w:r w:rsidRPr="00CD471E">
        <w:t>.</w:t>
      </w:r>
    </w:p>
    <w:p w:rsidR="00361A7A" w:rsidRDefault="00124E6E" w:rsidP="00FE3F4F">
      <w:pPr>
        <w:pStyle w:val="SingleTxtG"/>
        <w:tabs>
          <w:tab w:val="left" w:pos="2268"/>
        </w:tabs>
        <w:ind w:left="2259" w:hanging="1125"/>
      </w:pPr>
      <w:r>
        <w:t>7.5.11, CW33/CV33 (5.1)</w:t>
      </w:r>
    </w:p>
    <w:p w:rsidR="00124E6E" w:rsidRPr="005B1E2F" w:rsidRDefault="00124E6E" w:rsidP="00FE3F4F">
      <w:pPr>
        <w:pStyle w:val="SingleTxtG"/>
        <w:tabs>
          <w:tab w:val="left" w:pos="2268"/>
        </w:tabs>
        <w:ind w:left="2259" w:hanging="1125"/>
      </w:pPr>
      <w:r>
        <w:t xml:space="preserve"> </w:t>
      </w:r>
      <w:r>
        <w:tab/>
      </w:r>
      <w:r>
        <w:rPr>
          <w:szCs w:val="24"/>
          <w:lang w:val="fr-FR"/>
        </w:rPr>
        <w:t>L’amendement à la dernière phrase dans la version anglaise est sans objet en français.</w:t>
      </w:r>
    </w:p>
    <w:p w:rsidR="00361A7A" w:rsidRDefault="00124E6E" w:rsidP="00FE3F4F">
      <w:pPr>
        <w:pStyle w:val="SingleTxtG"/>
        <w:tabs>
          <w:tab w:val="left" w:pos="2268"/>
        </w:tabs>
        <w:ind w:left="2259" w:hanging="1125"/>
      </w:pPr>
      <w:r>
        <w:t>7.5.11, CW33/CV33 (5.5)</w:t>
      </w:r>
    </w:p>
    <w:p w:rsidR="00C1626B" w:rsidRDefault="00124E6E" w:rsidP="00FE3F4F">
      <w:pPr>
        <w:pStyle w:val="SingleTxtG"/>
        <w:tabs>
          <w:tab w:val="left" w:pos="2268"/>
        </w:tabs>
        <w:ind w:left="2259" w:hanging="1125"/>
        <w:rPr>
          <w:szCs w:val="24"/>
          <w:lang w:val="fr-FR"/>
        </w:rPr>
      </w:pPr>
      <w:r w:rsidRPr="00640C9E">
        <w:rPr>
          <w:szCs w:val="24"/>
          <w:lang w:val="fr-FR"/>
        </w:rPr>
        <w:tab/>
        <w:t xml:space="preserve">Au début du paragraphe, supprimer </w:t>
      </w:r>
      <w:proofErr w:type="gramStart"/>
      <w:r>
        <w:rPr>
          <w:szCs w:val="24"/>
          <w:lang w:val="fr-FR"/>
        </w:rPr>
        <w:t>«</w:t>
      </w:r>
      <w:r w:rsidR="00361A7A">
        <w:rPr>
          <w:szCs w:val="24"/>
          <w:lang w:val="fr-FR"/>
        </w:rPr>
        <w:t> </w:t>
      </w:r>
      <w:r w:rsidRPr="00640C9E">
        <w:rPr>
          <w:szCs w:val="24"/>
          <w:lang w:val="fr-FR"/>
        </w:rPr>
        <w:t>,</w:t>
      </w:r>
      <w:proofErr w:type="gramEnd"/>
      <w:r w:rsidRPr="00640C9E">
        <w:rPr>
          <w:szCs w:val="24"/>
          <w:lang w:val="fr-FR"/>
        </w:rPr>
        <w:t xml:space="preserve"> citernes, grands récipients pour vrac</w:t>
      </w:r>
      <w:r>
        <w:rPr>
          <w:szCs w:val="24"/>
          <w:lang w:val="fr-FR"/>
        </w:rPr>
        <w:t> »</w:t>
      </w:r>
      <w:r w:rsidR="00DA57DD">
        <w:rPr>
          <w:szCs w:val="24"/>
          <w:lang w:val="fr-FR"/>
        </w:rPr>
        <w:t>.</w:t>
      </w:r>
    </w:p>
    <w:p w:rsidR="00DA57DD" w:rsidRPr="00DA57DD" w:rsidRDefault="00DA57DD" w:rsidP="00DA57DD">
      <w:pPr>
        <w:spacing w:before="240"/>
        <w:jc w:val="center"/>
        <w:rPr>
          <w:u w:val="single"/>
          <w:lang w:val="fr-FR"/>
        </w:rPr>
      </w:pPr>
      <w:r>
        <w:rPr>
          <w:u w:val="single"/>
          <w:lang w:val="fr-FR"/>
        </w:rPr>
        <w:tab/>
      </w:r>
      <w:r>
        <w:rPr>
          <w:u w:val="single"/>
          <w:lang w:val="fr-FR"/>
        </w:rPr>
        <w:tab/>
      </w:r>
      <w:r>
        <w:rPr>
          <w:u w:val="single"/>
          <w:lang w:val="fr-FR"/>
        </w:rPr>
        <w:tab/>
      </w:r>
    </w:p>
    <w:sectPr w:rsidR="00DA57DD" w:rsidRPr="00DA57DD" w:rsidSect="0045508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97A" w:rsidRDefault="0026097A" w:rsidP="00F95C08">
      <w:pPr>
        <w:spacing w:line="240" w:lineRule="auto"/>
      </w:pPr>
    </w:p>
  </w:endnote>
  <w:endnote w:type="continuationSeparator" w:id="0">
    <w:p w:rsidR="0026097A" w:rsidRPr="00AC3823" w:rsidRDefault="0026097A" w:rsidP="00AC3823">
      <w:pPr>
        <w:pStyle w:val="Footer"/>
      </w:pPr>
    </w:p>
  </w:endnote>
  <w:endnote w:type="continuationNotice" w:id="1">
    <w:p w:rsidR="0026097A" w:rsidRDefault="002609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7A" w:rsidRPr="00037854" w:rsidRDefault="0026097A" w:rsidP="00037854">
    <w:pPr>
      <w:pStyle w:val="Footer"/>
      <w:tabs>
        <w:tab w:val="right" w:pos="9638"/>
      </w:tabs>
      <w:rPr>
        <w:sz w:val="18"/>
      </w:rPr>
    </w:pPr>
    <w:r w:rsidRPr="00037854">
      <w:rPr>
        <w:b/>
        <w:sz w:val="18"/>
      </w:rPr>
      <w:fldChar w:fldCharType="begin"/>
    </w:r>
    <w:r w:rsidRPr="00037854">
      <w:rPr>
        <w:b/>
        <w:sz w:val="18"/>
      </w:rPr>
      <w:instrText xml:space="preserve"> PAGE  \* MERGEFORMAT </w:instrText>
    </w:r>
    <w:r w:rsidRPr="00037854">
      <w:rPr>
        <w:b/>
        <w:sz w:val="18"/>
      </w:rPr>
      <w:fldChar w:fldCharType="separate"/>
    </w:r>
    <w:r w:rsidRPr="00037854">
      <w:rPr>
        <w:b/>
        <w:noProof/>
        <w:sz w:val="18"/>
      </w:rPr>
      <w:t>2</w:t>
    </w:r>
    <w:r w:rsidRPr="000378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7A" w:rsidRPr="00037854" w:rsidRDefault="0026097A" w:rsidP="00037854">
    <w:pPr>
      <w:pStyle w:val="Footer"/>
      <w:tabs>
        <w:tab w:val="right" w:pos="9638"/>
      </w:tabs>
      <w:rPr>
        <w:b/>
        <w:sz w:val="18"/>
      </w:rPr>
    </w:pPr>
    <w:r>
      <w:tab/>
    </w:r>
    <w:r w:rsidRPr="00037854">
      <w:rPr>
        <w:b/>
        <w:sz w:val="18"/>
      </w:rPr>
      <w:fldChar w:fldCharType="begin"/>
    </w:r>
    <w:r w:rsidRPr="00037854">
      <w:rPr>
        <w:b/>
        <w:sz w:val="18"/>
      </w:rPr>
      <w:instrText xml:space="preserve"> PAGE  \* MERGEFORMAT </w:instrText>
    </w:r>
    <w:r w:rsidRPr="00037854">
      <w:rPr>
        <w:b/>
        <w:sz w:val="18"/>
      </w:rPr>
      <w:fldChar w:fldCharType="separate"/>
    </w:r>
    <w:r w:rsidRPr="00037854">
      <w:rPr>
        <w:b/>
        <w:noProof/>
        <w:sz w:val="18"/>
      </w:rPr>
      <w:t>3</w:t>
    </w:r>
    <w:r w:rsidRPr="000378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7A" w:rsidRPr="00037854" w:rsidRDefault="0026097A" w:rsidP="0001207F">
    <w:pPr>
      <w:pStyle w:val="Footer"/>
      <w:spacing w:before="120"/>
      <w:rPr>
        <w:sz w:val="20"/>
      </w:rPr>
    </w:pPr>
    <w:r w:rsidRPr="000942EE">
      <w:rPr>
        <w:noProof/>
        <w:lang w:eastAsia="fr-CH"/>
      </w:rPr>
      <w:drawing>
        <wp:anchor distT="0" distB="0" distL="114300" distR="114300" simplePos="0" relativeHeight="251658752" behindDoc="0" locked="0" layoutInCell="1" allowOverlap="0" wp14:anchorId="21AE0A80" wp14:editId="2CD59822">
          <wp:simplePos x="0" y="0"/>
          <wp:positionH relativeFrom="margin">
            <wp:posOffset>5004435</wp:posOffset>
          </wp:positionH>
          <wp:positionV relativeFrom="margin">
            <wp:posOffset>9324975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97A" w:rsidRPr="00AC3823" w:rsidRDefault="0026097A" w:rsidP="00AC3823">
      <w:pPr>
        <w:pStyle w:val="Footer"/>
        <w:tabs>
          <w:tab w:val="right" w:pos="2155"/>
        </w:tabs>
        <w:spacing w:after="80" w:line="240" w:lineRule="atLeast"/>
        <w:ind w:left="680"/>
        <w:rPr>
          <w:u w:val="single"/>
        </w:rPr>
      </w:pPr>
      <w:r>
        <w:rPr>
          <w:u w:val="single"/>
        </w:rPr>
        <w:tab/>
      </w:r>
    </w:p>
  </w:footnote>
  <w:footnote w:type="continuationSeparator" w:id="0">
    <w:p w:rsidR="0026097A" w:rsidRPr="00AC3823" w:rsidRDefault="0026097A" w:rsidP="00AC3823">
      <w:pPr>
        <w:pStyle w:val="Footer"/>
        <w:tabs>
          <w:tab w:val="right" w:pos="2155"/>
        </w:tabs>
        <w:spacing w:after="80" w:line="240" w:lineRule="atLeast"/>
        <w:ind w:left="680"/>
        <w:rPr>
          <w:u w:val="single"/>
        </w:rPr>
      </w:pPr>
      <w:r>
        <w:rPr>
          <w:u w:val="single"/>
        </w:rPr>
        <w:tab/>
      </w:r>
    </w:p>
  </w:footnote>
  <w:footnote w:type="continuationNotice" w:id="1">
    <w:p w:rsidR="0026097A" w:rsidRPr="00AC3823" w:rsidRDefault="0026097A">
      <w:pPr>
        <w:spacing w:line="240" w:lineRule="auto"/>
        <w:rPr>
          <w:sz w:val="2"/>
          <w:szCs w:val="2"/>
        </w:rPr>
      </w:pPr>
    </w:p>
  </w:footnote>
  <w:footnote w:id="2">
    <w:p w:rsidR="0026097A" w:rsidRPr="00017C07" w:rsidRDefault="0026097A">
      <w:pPr>
        <w:pStyle w:val="FootnoteText"/>
      </w:pPr>
      <w:r>
        <w:rPr>
          <w:rStyle w:val="FootnoteReference"/>
        </w:rPr>
        <w:tab/>
      </w:r>
      <w:r w:rsidRPr="00017C07">
        <w:rPr>
          <w:rStyle w:val="FootnoteReference"/>
          <w:sz w:val="20"/>
          <w:vertAlign w:val="baseline"/>
        </w:rPr>
        <w:t>*</w:t>
      </w:r>
      <w:r>
        <w:rPr>
          <w:rStyle w:val="FootnoteReference"/>
          <w:sz w:val="20"/>
          <w:vertAlign w:val="baseline"/>
        </w:rPr>
        <w:tab/>
      </w:r>
      <w:r w:rsidRPr="006B09E0">
        <w:t xml:space="preserve">Conformément au programme de travail du Comité des transports intérieurs pour </w:t>
      </w:r>
      <w:r>
        <w:t>2018</w:t>
      </w:r>
      <w:r w:rsidRPr="006B09E0">
        <w:noBreakHyphen/>
      </w:r>
      <w:r>
        <w:t>2019</w:t>
      </w:r>
      <w:r w:rsidRPr="006B09E0">
        <w:t xml:space="preserve"> (</w:t>
      </w:r>
      <w:r>
        <w:t>ECE/TRANS/2018/21/Add.1, module 9, (9.2)</w:t>
      </w:r>
      <w:r w:rsidRPr="006B09E0">
        <w:t>).</w:t>
      </w:r>
    </w:p>
  </w:footnote>
  <w:footnote w:id="3">
    <w:p w:rsidR="0026097A" w:rsidRPr="00017C07" w:rsidRDefault="0026097A">
      <w:pPr>
        <w:pStyle w:val="FootnoteText"/>
      </w:pPr>
      <w:r>
        <w:rPr>
          <w:rStyle w:val="FootnoteReference"/>
        </w:rPr>
        <w:tab/>
      </w:r>
      <w:r w:rsidRPr="00017C07">
        <w:rPr>
          <w:rStyle w:val="FootnoteReference"/>
          <w:sz w:val="20"/>
          <w:vertAlign w:val="baseline"/>
        </w:rPr>
        <w:t>**</w:t>
      </w:r>
      <w:r>
        <w:rPr>
          <w:rStyle w:val="FootnoteReference"/>
          <w:sz w:val="20"/>
          <w:vertAlign w:val="baseline"/>
        </w:rPr>
        <w:tab/>
      </w:r>
      <w:r w:rsidRPr="00FE2AF4">
        <w:t xml:space="preserve">Diffusée par l’Organisation intergouvernementale pour les transports internationaux ferroviaires (OTIF) sous la cote </w:t>
      </w:r>
      <w:r w:rsidRPr="009566B0">
        <w:t>OTIF/RID/RC/</w:t>
      </w:r>
      <w:r>
        <w:t>2019</w:t>
      </w:r>
      <w:r w:rsidRPr="009566B0">
        <w:t>/2</w:t>
      </w:r>
      <w:r>
        <w:t>2</w:t>
      </w:r>
      <w:r w:rsidRPr="009566B0">
        <w:t>/Add.1.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7A" w:rsidRPr="00037854" w:rsidRDefault="001F5D68">
    <w:pPr>
      <w:pStyle w:val="Header"/>
    </w:pPr>
    <w:r>
      <w:fldChar w:fldCharType="begin"/>
    </w:r>
    <w:r>
      <w:instrText xml:space="preserve"> TITLE  \* MERGEFORMAT </w:instrText>
    </w:r>
    <w:r>
      <w:fldChar w:fldCharType="separate"/>
    </w:r>
    <w:r w:rsidR="0026097A">
      <w:t>ECE/TRANS/WP.15/AC.1/2019/22/Add.1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7A" w:rsidRPr="00037854" w:rsidRDefault="001F5D68" w:rsidP="00037854">
    <w:pPr>
      <w:pStyle w:val="Header"/>
      <w:jc w:val="right"/>
    </w:pPr>
    <w:r>
      <w:fldChar w:fldCharType="begin"/>
    </w:r>
    <w:r>
      <w:instrText xml:space="preserve"> TITLE  \* MERGEFORMAT </w:instrText>
    </w:r>
    <w:r>
      <w:fldChar w:fldCharType="separate"/>
    </w:r>
    <w:r w:rsidR="0026097A">
      <w:t>ECE/TRANS/WP.15/AC.1/2019/22/Add.1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C7673D"/>
    <w:multiLevelType w:val="hybridMultilevel"/>
    <w:tmpl w:val="B3DC6B6C"/>
    <w:lvl w:ilvl="0" w:tplc="F72E3562">
      <w:start w:val="2"/>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3425C"/>
    <w:multiLevelType w:val="hybridMultilevel"/>
    <w:tmpl w:val="1808362A"/>
    <w:lvl w:ilvl="0" w:tplc="44365B6C">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5"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6" w15:restartNumberingAfterBreak="0">
    <w:nsid w:val="2A52526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1FE1893"/>
    <w:multiLevelType w:val="hybridMultilevel"/>
    <w:tmpl w:val="C778032C"/>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18" w15:restartNumberingAfterBreak="0">
    <w:nsid w:val="327A290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10BF2"/>
    <w:multiLevelType w:val="hybridMultilevel"/>
    <w:tmpl w:val="F56C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15:restartNumberingAfterBreak="0">
    <w:nsid w:val="4AD80147"/>
    <w:multiLevelType w:val="hybridMultilevel"/>
    <w:tmpl w:val="4C06D99E"/>
    <w:lvl w:ilvl="0" w:tplc="44365B6C">
      <w:start w:val="1"/>
      <w:numFmt w:val="bullet"/>
      <w:lvlText w:val="-"/>
      <w:lvlJc w:val="left"/>
      <w:pPr>
        <w:ind w:left="1854"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2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18D07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9A6C5A"/>
    <w:multiLevelType w:val="hybridMultilevel"/>
    <w:tmpl w:val="2E445E3E"/>
    <w:lvl w:ilvl="0" w:tplc="A24A73F6">
      <w:start w:val="1"/>
      <w:numFmt w:val="bullet"/>
      <w:lvlText w:val=""/>
      <w:lvlJc w:val="left"/>
      <w:pPr>
        <w:ind w:left="2988" w:hanging="360"/>
      </w:pPr>
      <w:rPr>
        <w:rFonts w:ascii="Symbol" w:hAnsi="Symbol" w:hint="default"/>
      </w:rPr>
    </w:lvl>
    <w:lvl w:ilvl="1" w:tplc="100C0003" w:tentative="1">
      <w:start w:val="1"/>
      <w:numFmt w:val="bullet"/>
      <w:lvlText w:val="o"/>
      <w:lvlJc w:val="left"/>
      <w:pPr>
        <w:ind w:left="3708" w:hanging="360"/>
      </w:pPr>
      <w:rPr>
        <w:rFonts w:ascii="Courier New" w:hAnsi="Courier New" w:cs="Courier New" w:hint="default"/>
      </w:rPr>
    </w:lvl>
    <w:lvl w:ilvl="2" w:tplc="100C0005" w:tentative="1">
      <w:start w:val="1"/>
      <w:numFmt w:val="bullet"/>
      <w:lvlText w:val=""/>
      <w:lvlJc w:val="left"/>
      <w:pPr>
        <w:ind w:left="4428" w:hanging="360"/>
      </w:pPr>
      <w:rPr>
        <w:rFonts w:ascii="Wingdings" w:hAnsi="Wingdings" w:hint="default"/>
      </w:rPr>
    </w:lvl>
    <w:lvl w:ilvl="3" w:tplc="100C0001" w:tentative="1">
      <w:start w:val="1"/>
      <w:numFmt w:val="bullet"/>
      <w:lvlText w:val=""/>
      <w:lvlJc w:val="left"/>
      <w:pPr>
        <w:ind w:left="5148" w:hanging="360"/>
      </w:pPr>
      <w:rPr>
        <w:rFonts w:ascii="Symbol" w:hAnsi="Symbol" w:hint="default"/>
      </w:rPr>
    </w:lvl>
    <w:lvl w:ilvl="4" w:tplc="100C0003" w:tentative="1">
      <w:start w:val="1"/>
      <w:numFmt w:val="bullet"/>
      <w:lvlText w:val="o"/>
      <w:lvlJc w:val="left"/>
      <w:pPr>
        <w:ind w:left="5868" w:hanging="360"/>
      </w:pPr>
      <w:rPr>
        <w:rFonts w:ascii="Courier New" w:hAnsi="Courier New" w:cs="Courier New" w:hint="default"/>
      </w:rPr>
    </w:lvl>
    <w:lvl w:ilvl="5" w:tplc="100C0005" w:tentative="1">
      <w:start w:val="1"/>
      <w:numFmt w:val="bullet"/>
      <w:lvlText w:val=""/>
      <w:lvlJc w:val="left"/>
      <w:pPr>
        <w:ind w:left="6588" w:hanging="360"/>
      </w:pPr>
      <w:rPr>
        <w:rFonts w:ascii="Wingdings" w:hAnsi="Wingdings" w:hint="default"/>
      </w:rPr>
    </w:lvl>
    <w:lvl w:ilvl="6" w:tplc="100C0001" w:tentative="1">
      <w:start w:val="1"/>
      <w:numFmt w:val="bullet"/>
      <w:lvlText w:val=""/>
      <w:lvlJc w:val="left"/>
      <w:pPr>
        <w:ind w:left="7308" w:hanging="360"/>
      </w:pPr>
      <w:rPr>
        <w:rFonts w:ascii="Symbol" w:hAnsi="Symbol" w:hint="default"/>
      </w:rPr>
    </w:lvl>
    <w:lvl w:ilvl="7" w:tplc="100C0003" w:tentative="1">
      <w:start w:val="1"/>
      <w:numFmt w:val="bullet"/>
      <w:lvlText w:val="o"/>
      <w:lvlJc w:val="left"/>
      <w:pPr>
        <w:ind w:left="8028" w:hanging="360"/>
      </w:pPr>
      <w:rPr>
        <w:rFonts w:ascii="Courier New" w:hAnsi="Courier New" w:cs="Courier New" w:hint="default"/>
      </w:rPr>
    </w:lvl>
    <w:lvl w:ilvl="8" w:tplc="100C0005" w:tentative="1">
      <w:start w:val="1"/>
      <w:numFmt w:val="bullet"/>
      <w:lvlText w:val=""/>
      <w:lvlJc w:val="left"/>
      <w:pPr>
        <w:ind w:left="8748" w:hanging="360"/>
      </w:pPr>
      <w:rPr>
        <w:rFonts w:ascii="Wingdings" w:hAnsi="Wingdings" w:hint="default"/>
      </w:r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3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3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num>
  <w:num w:numId="19">
    <w:abstractNumId w:val="13"/>
  </w:num>
  <w:num w:numId="20">
    <w:abstractNumId w:val="32"/>
  </w:num>
  <w:num w:numId="21">
    <w:abstractNumId w:val="16"/>
  </w:num>
  <w:num w:numId="22">
    <w:abstractNumId w:val="28"/>
  </w:num>
  <w:num w:numId="23">
    <w:abstractNumId w:val="18"/>
  </w:num>
  <w:num w:numId="24">
    <w:abstractNumId w:val="10"/>
  </w:num>
  <w:num w:numId="25">
    <w:abstractNumId w:val="31"/>
  </w:num>
  <w:num w:numId="26">
    <w:abstractNumId w:val="23"/>
  </w:num>
  <w:num w:numId="27">
    <w:abstractNumId w:val="14"/>
  </w:num>
  <w:num w:numId="28">
    <w:abstractNumId w:val="17"/>
  </w:num>
  <w:num w:numId="29">
    <w:abstractNumId w:val="29"/>
  </w:num>
  <w:num w:numId="30">
    <w:abstractNumId w:val="22"/>
  </w:num>
  <w:num w:numId="31">
    <w:abstractNumId w:val="12"/>
  </w:num>
  <w:num w:numId="32">
    <w:abstractNumId w:val="15"/>
  </w:num>
  <w:num w:numId="33">
    <w:abstractNumId w:val="24"/>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trackRevisions/>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037854"/>
    <w:rsid w:val="0001207F"/>
    <w:rsid w:val="00017C07"/>
    <w:rsid w:val="00017F94"/>
    <w:rsid w:val="00023842"/>
    <w:rsid w:val="000334F9"/>
    <w:rsid w:val="00037854"/>
    <w:rsid w:val="0004639C"/>
    <w:rsid w:val="0007796D"/>
    <w:rsid w:val="000942EE"/>
    <w:rsid w:val="000A52BF"/>
    <w:rsid w:val="000B7790"/>
    <w:rsid w:val="000D3EE9"/>
    <w:rsid w:val="000D62F3"/>
    <w:rsid w:val="00111F2F"/>
    <w:rsid w:val="00124E6E"/>
    <w:rsid w:val="001433FD"/>
    <w:rsid w:val="0014365E"/>
    <w:rsid w:val="001541D3"/>
    <w:rsid w:val="00156B77"/>
    <w:rsid w:val="00176178"/>
    <w:rsid w:val="00177140"/>
    <w:rsid w:val="001D400F"/>
    <w:rsid w:val="001F525A"/>
    <w:rsid w:val="001F5D68"/>
    <w:rsid w:val="00223272"/>
    <w:rsid w:val="00240333"/>
    <w:rsid w:val="0024779E"/>
    <w:rsid w:val="0026097A"/>
    <w:rsid w:val="002832AC"/>
    <w:rsid w:val="002C7B99"/>
    <w:rsid w:val="002D7C93"/>
    <w:rsid w:val="00361A7A"/>
    <w:rsid w:val="0037241C"/>
    <w:rsid w:val="003819FF"/>
    <w:rsid w:val="003A5025"/>
    <w:rsid w:val="00441C3B"/>
    <w:rsid w:val="00446B0A"/>
    <w:rsid w:val="00446FE5"/>
    <w:rsid w:val="00452396"/>
    <w:rsid w:val="00455080"/>
    <w:rsid w:val="00471288"/>
    <w:rsid w:val="0049687C"/>
    <w:rsid w:val="004E468C"/>
    <w:rsid w:val="005316B0"/>
    <w:rsid w:val="005505B7"/>
    <w:rsid w:val="00573BE5"/>
    <w:rsid w:val="00586ED3"/>
    <w:rsid w:val="00596AA9"/>
    <w:rsid w:val="005A2C08"/>
    <w:rsid w:val="005B4D0F"/>
    <w:rsid w:val="005D6614"/>
    <w:rsid w:val="00614605"/>
    <w:rsid w:val="00703D0F"/>
    <w:rsid w:val="00706363"/>
    <w:rsid w:val="007158BB"/>
    <w:rsid w:val="0071601D"/>
    <w:rsid w:val="0075410D"/>
    <w:rsid w:val="007A62E6"/>
    <w:rsid w:val="0080684C"/>
    <w:rsid w:val="008204DA"/>
    <w:rsid w:val="008535AD"/>
    <w:rsid w:val="00871C75"/>
    <w:rsid w:val="008767E8"/>
    <w:rsid w:val="008776DC"/>
    <w:rsid w:val="00883605"/>
    <w:rsid w:val="008A2A0E"/>
    <w:rsid w:val="008B483E"/>
    <w:rsid w:val="008E6043"/>
    <w:rsid w:val="00961E7B"/>
    <w:rsid w:val="009705C8"/>
    <w:rsid w:val="009C1CF4"/>
    <w:rsid w:val="009F02C9"/>
    <w:rsid w:val="00A23C89"/>
    <w:rsid w:val="00A30353"/>
    <w:rsid w:val="00A62D91"/>
    <w:rsid w:val="00A90D54"/>
    <w:rsid w:val="00AA113A"/>
    <w:rsid w:val="00AC3823"/>
    <w:rsid w:val="00AE323C"/>
    <w:rsid w:val="00AF774C"/>
    <w:rsid w:val="00B00181"/>
    <w:rsid w:val="00B00B0D"/>
    <w:rsid w:val="00B24576"/>
    <w:rsid w:val="00B40927"/>
    <w:rsid w:val="00B50E25"/>
    <w:rsid w:val="00B64918"/>
    <w:rsid w:val="00B765F7"/>
    <w:rsid w:val="00B847A6"/>
    <w:rsid w:val="00B926A4"/>
    <w:rsid w:val="00BA0CA9"/>
    <w:rsid w:val="00C02897"/>
    <w:rsid w:val="00C1626B"/>
    <w:rsid w:val="00C42334"/>
    <w:rsid w:val="00C66A47"/>
    <w:rsid w:val="00C7616F"/>
    <w:rsid w:val="00CB16B5"/>
    <w:rsid w:val="00CE0608"/>
    <w:rsid w:val="00D3439C"/>
    <w:rsid w:val="00D44CF3"/>
    <w:rsid w:val="00D46C8C"/>
    <w:rsid w:val="00DA57DD"/>
    <w:rsid w:val="00DB1831"/>
    <w:rsid w:val="00DD3BFD"/>
    <w:rsid w:val="00DE239D"/>
    <w:rsid w:val="00DF431C"/>
    <w:rsid w:val="00DF6678"/>
    <w:rsid w:val="00E0063A"/>
    <w:rsid w:val="00E428C8"/>
    <w:rsid w:val="00EB4D25"/>
    <w:rsid w:val="00EF2E22"/>
    <w:rsid w:val="00F0592C"/>
    <w:rsid w:val="00F06ED4"/>
    <w:rsid w:val="00F43289"/>
    <w:rsid w:val="00F660DF"/>
    <w:rsid w:val="00F95C08"/>
    <w:rsid w:val="00FB6D76"/>
    <w:rsid w:val="00FD1581"/>
    <w:rsid w:val="00FE3F4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950A9FA-2773-43CA-A9BF-30B73E4C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1207F"/>
    <w:rPr>
      <w:rFonts w:ascii="Times New Roman" w:hAnsi="Times New Roman" w:cs="Times New Roman"/>
      <w:b/>
      <w:sz w:val="28"/>
      <w:szCs w:val="20"/>
      <w:lang w:eastAsia="en-US"/>
    </w:rPr>
  </w:style>
  <w:style w:type="paragraph" w:customStyle="1" w:styleId="H1G">
    <w:name w:val="_ H_1_G"/>
    <w:basedOn w:val="Normal"/>
    <w:next w:val="Normal"/>
    <w:link w:val="H1GCar"/>
    <w:qFormat/>
    <w:rsid w:val="0080684C"/>
    <w:pPr>
      <w:keepNext/>
      <w:keepLines/>
      <w:tabs>
        <w:tab w:val="right" w:pos="851"/>
      </w:tabs>
      <w:spacing w:before="360" w:after="240" w:line="270" w:lineRule="exact"/>
      <w:ind w:left="1134" w:right="1134" w:hanging="1134"/>
    </w:pPr>
    <w:rPr>
      <w:b/>
      <w:sz w:val="24"/>
    </w:rPr>
  </w:style>
  <w:style w:type="character" w:customStyle="1" w:styleId="H1GCar">
    <w:name w:val="_ H_1_G Car"/>
    <w:link w:val="H1G"/>
    <w:rsid w:val="00124E6E"/>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037854"/>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59"/>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iPriority w:val="99"/>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33FD"/>
    <w:rPr>
      <w:rFonts w:ascii="Tahoma" w:hAnsi="Tahoma" w:cs="Tahoma"/>
      <w:sz w:val="16"/>
      <w:szCs w:val="16"/>
      <w:lang w:eastAsia="en-US"/>
    </w:rPr>
  </w:style>
  <w:style w:type="paragraph" w:customStyle="1" w:styleId="H1">
    <w:name w:val="_ H_1"/>
    <w:basedOn w:val="Normal"/>
    <w:next w:val="Normal"/>
    <w:qFormat/>
    <w:rsid w:val="00037854"/>
    <w:pPr>
      <w:keepNext/>
      <w:keepLines/>
      <w:kinsoku/>
      <w:overflowPunct/>
      <w:autoSpaceDE/>
      <w:autoSpaceDN/>
      <w:adjustRightInd/>
      <w:snapToGrid/>
      <w:spacing w:line="270" w:lineRule="exact"/>
      <w:outlineLvl w:val="0"/>
    </w:pPr>
    <w:rPr>
      <w:rFonts w:eastAsia="Calibri"/>
      <w:b/>
      <w:spacing w:val="4"/>
      <w:w w:val="103"/>
      <w:kern w:val="14"/>
      <w:sz w:val="24"/>
      <w:szCs w:val="22"/>
      <w:lang w:val="fr-CA" w:eastAsia="en-US"/>
    </w:rPr>
  </w:style>
  <w:style w:type="character" w:customStyle="1" w:styleId="H1GChar">
    <w:name w:val="_ H_1_G Char"/>
    <w:rsid w:val="00124E6E"/>
    <w:rPr>
      <w:b/>
      <w:sz w:val="24"/>
    </w:rPr>
  </w:style>
  <w:style w:type="paragraph" w:customStyle="1" w:styleId="p1">
    <w:name w:val="p1"/>
    <w:basedOn w:val="Normal"/>
    <w:rsid w:val="00124E6E"/>
    <w:pPr>
      <w:suppressAutoHyphens w:val="0"/>
      <w:kinsoku/>
      <w:overflowPunct/>
      <w:autoSpaceDE/>
      <w:autoSpaceDN/>
      <w:adjustRightInd/>
      <w:snapToGrid/>
      <w:spacing w:line="240" w:lineRule="auto"/>
    </w:pPr>
    <w:rPr>
      <w:rFonts w:eastAsiaTheme="minorHAnsi"/>
      <w:sz w:val="17"/>
      <w:szCs w:val="17"/>
      <w:lang w:val="en-US" w:eastAsia="en-US"/>
    </w:rPr>
  </w:style>
  <w:style w:type="paragraph" w:customStyle="1" w:styleId="TableParagraph">
    <w:name w:val="Table Paragraph"/>
    <w:basedOn w:val="Normal"/>
    <w:uiPriority w:val="1"/>
    <w:qFormat/>
    <w:rsid w:val="00124E6E"/>
    <w:pPr>
      <w:widowControl w:val="0"/>
      <w:suppressAutoHyphens w:val="0"/>
      <w:kinsoku/>
      <w:overflowPunct/>
      <w:adjustRightInd/>
      <w:snapToGrid/>
      <w:spacing w:line="240" w:lineRule="auto"/>
      <w:jc w:val="center"/>
    </w:pPr>
    <w:rPr>
      <w:sz w:val="22"/>
      <w:szCs w:val="22"/>
      <w:lang w:val="en-US" w:eastAsia="en-US"/>
    </w:rPr>
  </w:style>
  <w:style w:type="character" w:customStyle="1" w:styleId="SingleTxtGZchnZchn">
    <w:name w:val="_ Single Txt_G Zchn Zchn"/>
    <w:rsid w:val="00124E6E"/>
    <w:rPr>
      <w:lang w:eastAsia="en-US"/>
    </w:rPr>
  </w:style>
  <w:style w:type="character" w:styleId="CommentReference">
    <w:name w:val="annotation reference"/>
    <w:basedOn w:val="DefaultParagraphFont"/>
    <w:semiHidden/>
    <w:unhideWhenUsed/>
    <w:rsid w:val="00124E6E"/>
    <w:rPr>
      <w:sz w:val="16"/>
      <w:szCs w:val="16"/>
    </w:rPr>
  </w:style>
  <w:style w:type="paragraph" w:styleId="CommentText">
    <w:name w:val="annotation text"/>
    <w:basedOn w:val="Normal"/>
    <w:link w:val="CommentTextChar"/>
    <w:uiPriority w:val="99"/>
    <w:semiHidden/>
    <w:unhideWhenUsed/>
    <w:rsid w:val="00124E6E"/>
    <w:pPr>
      <w:kinsoku/>
      <w:overflowPunct/>
      <w:autoSpaceDE/>
      <w:autoSpaceDN/>
      <w:adjustRightInd/>
      <w:snapToGrid/>
      <w:spacing w:line="240" w:lineRule="auto"/>
    </w:pPr>
    <w:rPr>
      <w:lang w:eastAsia="en-US"/>
    </w:rPr>
  </w:style>
  <w:style w:type="character" w:customStyle="1" w:styleId="CommentTextChar">
    <w:name w:val="Comment Text Char"/>
    <w:basedOn w:val="DefaultParagraphFont"/>
    <w:link w:val="CommentText"/>
    <w:uiPriority w:val="99"/>
    <w:semiHidden/>
    <w:rsid w:val="00124E6E"/>
    <w:rPr>
      <w:lang w:eastAsia="en-US"/>
    </w:rPr>
  </w:style>
  <w:style w:type="character" w:customStyle="1" w:styleId="CommentSubjectChar">
    <w:name w:val="Comment Subject Char"/>
    <w:basedOn w:val="CommentTextChar"/>
    <w:link w:val="CommentSubject"/>
    <w:semiHidden/>
    <w:rsid w:val="00124E6E"/>
    <w:rPr>
      <w:b/>
      <w:bCs/>
      <w:lang w:eastAsia="en-US"/>
    </w:rPr>
  </w:style>
  <w:style w:type="paragraph" w:styleId="CommentSubject">
    <w:name w:val="annotation subject"/>
    <w:basedOn w:val="CommentText"/>
    <w:next w:val="CommentText"/>
    <w:link w:val="CommentSubjectChar"/>
    <w:semiHidden/>
    <w:unhideWhenUsed/>
    <w:rsid w:val="00124E6E"/>
    <w:rPr>
      <w:b/>
      <w:bCs/>
    </w:rPr>
  </w:style>
  <w:style w:type="character" w:customStyle="1" w:styleId="SingleTxtGCar">
    <w:name w:val="_ Single Txt_G Car"/>
    <w:locked/>
    <w:rsid w:val="00124E6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10</TotalTime>
  <Pages>35</Pages>
  <Words>13831</Words>
  <Characters>78840</Characters>
  <Application>Microsoft Office Word</Application>
  <DocSecurity>0</DocSecurity>
  <Lines>657</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ECE/TRANS/WP.15/AC.1/2019/22/Add.1</vt:lpstr>
      <vt:lpstr>ECE/EX/22</vt:lpstr>
    </vt:vector>
  </TitlesOfParts>
  <Company>DCM</Company>
  <LinksUpToDate>false</LinksUpToDate>
  <CharactersWithSpaces>92487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ECE/TRANS/WP.15/AC.1/2019/22/Add.1</dc:title>
  <dc:subject>FINAL</dc:subject>
  <dc:creator>UNECE</dc:creator>
  <cp:keywords/>
  <dc:description/>
  <cp:lastModifiedBy>Editorial</cp:lastModifiedBy>
  <cp:revision>5</cp:revision>
  <cp:lastPrinted>2019-06-17T13:52:00Z</cp:lastPrinted>
  <dcterms:created xsi:type="dcterms:W3CDTF">2019-06-26T10:41:00Z</dcterms:created>
  <dcterms:modified xsi:type="dcterms:W3CDTF">2019-06-26T10:52:00Z</dcterms:modified>
</cp:coreProperties>
</file>