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367E6A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367E6A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367E6A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367E6A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367E6A" w:rsidRDefault="00907659" w:rsidP="00907659">
            <w:pPr>
              <w:jc w:val="right"/>
              <w:rPr>
                <w:lang w:val="fr-FR"/>
              </w:rPr>
            </w:pPr>
            <w:r w:rsidRPr="00907659">
              <w:rPr>
                <w:sz w:val="40"/>
                <w:lang w:val="fr-FR"/>
              </w:rPr>
              <w:t>ECE</w:t>
            </w:r>
            <w:r>
              <w:rPr>
                <w:lang w:val="fr-FR"/>
              </w:rPr>
              <w:t>/TRANS/WP.15/AC.1/2019/3</w:t>
            </w:r>
          </w:p>
        </w:tc>
      </w:tr>
      <w:tr w:rsidR="003D1DF3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367E6A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67E6A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Default="00907659" w:rsidP="00907659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 xml:space="preserve">. </w:t>
            </w:r>
            <w:proofErr w:type="gramStart"/>
            <w:r>
              <w:rPr>
                <w:lang w:val="fr-FR"/>
              </w:rPr>
              <w:t>générale</w:t>
            </w:r>
            <w:proofErr w:type="gramEnd"/>
          </w:p>
          <w:p w:rsidR="00907659" w:rsidRDefault="00907659" w:rsidP="00907659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3A7D63">
              <w:rPr>
                <w:lang w:val="fr-FR"/>
              </w:rPr>
              <w:t>7</w:t>
            </w:r>
            <w:r>
              <w:rPr>
                <w:lang w:val="fr-FR"/>
              </w:rPr>
              <w:t xml:space="preserve"> décembre 2018</w:t>
            </w:r>
          </w:p>
          <w:p w:rsidR="00907659" w:rsidRDefault="00907659" w:rsidP="00907659">
            <w:pPr>
              <w:spacing w:line="240" w:lineRule="exact"/>
              <w:rPr>
                <w:lang w:val="fr-FR"/>
              </w:rPr>
            </w:pPr>
          </w:p>
          <w:p w:rsidR="00907659" w:rsidRPr="00367E6A" w:rsidRDefault="00907659" w:rsidP="00907659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 xml:space="preserve">Original: français </w:t>
            </w:r>
          </w:p>
        </w:tc>
      </w:tr>
    </w:tbl>
    <w:p w:rsidR="00FF1DBD" w:rsidRPr="00367E6A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:rsidR="00B93E72" w:rsidRPr="00367E6A" w:rsidRDefault="00B93E72" w:rsidP="00B93E72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B93E72" w:rsidRPr="00367E6A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</w:t>
      </w:r>
      <w:r w:rsidR="00FA6422" w:rsidRPr="00367E6A">
        <w:rPr>
          <w:b/>
          <w:sz w:val="24"/>
          <w:szCs w:val="24"/>
          <w:lang w:val="fr-FR"/>
        </w:rPr>
        <w:t xml:space="preserve"> </w:t>
      </w:r>
      <w:r w:rsidRPr="00367E6A">
        <w:rPr>
          <w:b/>
          <w:sz w:val="24"/>
          <w:szCs w:val="24"/>
          <w:lang w:val="fr-FR"/>
        </w:rPr>
        <w:t>de marchandises dangereuses</w:t>
      </w:r>
    </w:p>
    <w:p w:rsidR="00DF7ED3" w:rsidRPr="00926E87" w:rsidRDefault="00DF7ED3" w:rsidP="00DF7ED3">
      <w:pPr>
        <w:spacing w:before="120"/>
        <w:rPr>
          <w:b/>
        </w:rPr>
      </w:pPr>
      <w:r w:rsidRPr="00926E87">
        <w:rPr>
          <w:b/>
        </w:rPr>
        <w:t>Réunion commune de la Commission d’experts</w:t>
      </w:r>
      <w:r>
        <w:rPr>
          <w:b/>
        </w:rPr>
        <w:t xml:space="preserve"> </w:t>
      </w:r>
      <w:r w:rsidRPr="00926E87">
        <w:rPr>
          <w:b/>
        </w:rPr>
        <w:t>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t xml:space="preserve"> </w:t>
      </w:r>
      <w:r w:rsidRPr="00926E87">
        <w:rPr>
          <w:b/>
        </w:rPr>
        <w:t>du Groupe de travail</w:t>
      </w:r>
      <w:r>
        <w:rPr>
          <w:b/>
        </w:rPr>
        <w:br/>
      </w:r>
      <w:r w:rsidRPr="00926E87">
        <w:rPr>
          <w:b/>
        </w:rPr>
        <w:t>des transports</w:t>
      </w:r>
      <w:r>
        <w:rPr>
          <w:b/>
        </w:rPr>
        <w:t xml:space="preserve"> </w:t>
      </w:r>
      <w:r w:rsidRPr="00926E87">
        <w:rPr>
          <w:b/>
        </w:rPr>
        <w:t>de marchandises dangereuses</w:t>
      </w:r>
    </w:p>
    <w:p w:rsidR="00DF7ED3" w:rsidRDefault="00DF7ED3" w:rsidP="00DF7ED3">
      <w:r>
        <w:t>Berne, 18-22 mars 2019</w:t>
      </w:r>
    </w:p>
    <w:p w:rsidR="000312C0" w:rsidRPr="00DF7ED3" w:rsidRDefault="00B93E72" w:rsidP="00B93E72">
      <w:pPr>
        <w:rPr>
          <w:b/>
          <w:bCs/>
          <w:lang w:val="fr-FR"/>
        </w:rPr>
      </w:pPr>
      <w:r w:rsidRPr="00367E6A">
        <w:rPr>
          <w:lang w:val="fr-FR"/>
        </w:rPr>
        <w:t xml:space="preserve">Point </w:t>
      </w:r>
      <w:r w:rsidR="00DF7ED3">
        <w:rPr>
          <w:lang w:val="fr-FR"/>
        </w:rPr>
        <w:t>2</w:t>
      </w:r>
      <w:r w:rsidRPr="00367E6A">
        <w:rPr>
          <w:lang w:val="fr-FR"/>
        </w:rPr>
        <w:t xml:space="preserve"> de l’ordre du jour provisoire</w:t>
      </w:r>
      <w:r w:rsidR="00DF7ED3">
        <w:rPr>
          <w:lang w:val="fr-FR"/>
        </w:rPr>
        <w:br/>
      </w:r>
      <w:r w:rsidR="00DF7ED3" w:rsidRPr="00DF7ED3">
        <w:rPr>
          <w:b/>
          <w:bCs/>
          <w:lang w:val="fr-FR"/>
        </w:rPr>
        <w:t>Citernes</w:t>
      </w:r>
    </w:p>
    <w:p w:rsidR="005B76A3" w:rsidRDefault="008544D2" w:rsidP="008544D2">
      <w:pPr>
        <w:pStyle w:val="HChG"/>
      </w:pPr>
      <w:r>
        <w:tab/>
      </w:r>
      <w:r>
        <w:tab/>
        <w:t>Application du 6.7.1.3 : transport d’un produit classé sous le numéro ONU 3160 en citerne mobile T50</w:t>
      </w:r>
    </w:p>
    <w:p w:rsidR="008544D2" w:rsidRDefault="008544D2" w:rsidP="008544D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de la Belgique</w:t>
      </w:r>
      <w:r w:rsidRPr="008544D2">
        <w:rPr>
          <w:rStyle w:val="FootnoteReference"/>
          <w:sz w:val="20"/>
          <w:vertAlign w:val="baseline"/>
        </w:rPr>
        <w:footnoteReference w:customMarkFollows="1" w:id="2"/>
        <w:t>*</w:t>
      </w:r>
      <w:r w:rsidR="00DF7ED3" w:rsidRPr="00DF7ED3">
        <w:rPr>
          <w:rStyle w:val="FootnoteReference"/>
          <w:sz w:val="20"/>
        </w:rPr>
        <w:t>,</w:t>
      </w:r>
      <w:r w:rsidR="00DF7ED3">
        <w:rPr>
          <w:sz w:val="20"/>
        </w:rPr>
        <w:t xml:space="preserve"> </w:t>
      </w:r>
      <w:r w:rsidR="00DF7ED3" w:rsidRPr="00DF7ED3">
        <w:rPr>
          <w:rStyle w:val="FootnoteReference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8544D2" w:rsidTr="008544D2">
        <w:trPr>
          <w:jc w:val="center"/>
        </w:trPr>
        <w:tc>
          <w:tcPr>
            <w:tcW w:w="9637" w:type="dxa"/>
            <w:shd w:val="clear" w:color="auto" w:fill="auto"/>
          </w:tcPr>
          <w:p w:rsidR="008544D2" w:rsidRPr="008544D2" w:rsidRDefault="008544D2" w:rsidP="008544D2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8544D2">
              <w:rPr>
                <w:i/>
                <w:sz w:val="24"/>
                <w:lang w:val="fr-FR"/>
              </w:rPr>
              <w:t xml:space="preserve">Résumé </w:t>
            </w:r>
          </w:p>
        </w:tc>
      </w:tr>
      <w:tr w:rsidR="008544D2" w:rsidTr="008544D2">
        <w:trPr>
          <w:jc w:val="center"/>
        </w:trPr>
        <w:tc>
          <w:tcPr>
            <w:tcW w:w="9637" w:type="dxa"/>
            <w:shd w:val="clear" w:color="auto" w:fill="auto"/>
          </w:tcPr>
          <w:p w:rsidR="008544D2" w:rsidRDefault="008544D2" w:rsidP="008544D2">
            <w:pPr>
              <w:ind w:left="2835" w:hanging="1842"/>
              <w:rPr>
                <w:lang w:val="fr-FR"/>
              </w:rPr>
            </w:pPr>
            <w:r w:rsidRPr="008544D2">
              <w:rPr>
                <w:b/>
                <w:bCs/>
                <w:lang w:val="fr-FR"/>
              </w:rPr>
              <w:t>Résumé analytique :</w:t>
            </w:r>
            <w:r w:rsidRPr="008544D2">
              <w:rPr>
                <w:lang w:val="fr-FR"/>
              </w:rPr>
              <w:tab/>
              <w:t>Demande d’avis de la Belgique suite à une demande d’agrément provisoire pour le transport d’une matière du numéro ONU 3160 en citerne mobile T50.</w:t>
            </w:r>
          </w:p>
        </w:tc>
      </w:tr>
      <w:tr w:rsidR="008544D2" w:rsidTr="008544D2">
        <w:trPr>
          <w:jc w:val="center"/>
        </w:trPr>
        <w:tc>
          <w:tcPr>
            <w:tcW w:w="9637" w:type="dxa"/>
            <w:shd w:val="clear" w:color="auto" w:fill="auto"/>
          </w:tcPr>
          <w:p w:rsidR="008544D2" w:rsidRPr="008544D2" w:rsidRDefault="008544D2" w:rsidP="008544D2">
            <w:pPr>
              <w:ind w:left="2835" w:hanging="1842"/>
              <w:rPr>
                <w:b/>
                <w:bCs/>
                <w:lang w:val="fr-FR"/>
              </w:rPr>
            </w:pPr>
            <w:r>
              <w:rPr>
                <w:b/>
              </w:rPr>
              <w:t>Mesures à prendre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-</w:t>
            </w:r>
          </w:p>
        </w:tc>
      </w:tr>
      <w:tr w:rsidR="008544D2" w:rsidTr="008544D2">
        <w:trPr>
          <w:jc w:val="center"/>
        </w:trPr>
        <w:tc>
          <w:tcPr>
            <w:tcW w:w="9637" w:type="dxa"/>
            <w:shd w:val="clear" w:color="auto" w:fill="auto"/>
          </w:tcPr>
          <w:p w:rsidR="008544D2" w:rsidRDefault="008544D2" w:rsidP="008544D2">
            <w:pPr>
              <w:ind w:left="2835" w:hanging="1842"/>
              <w:rPr>
                <w:b/>
              </w:rPr>
            </w:pPr>
            <w:r>
              <w:rPr>
                <w:b/>
              </w:rPr>
              <w:t>Documents de référence :</w:t>
            </w:r>
            <w:r>
              <w:rPr>
                <w:b/>
              </w:rPr>
              <w:tab/>
              <w:t>-</w:t>
            </w:r>
          </w:p>
        </w:tc>
      </w:tr>
      <w:tr w:rsidR="008544D2" w:rsidTr="008544D2">
        <w:trPr>
          <w:jc w:val="center"/>
        </w:trPr>
        <w:tc>
          <w:tcPr>
            <w:tcW w:w="9637" w:type="dxa"/>
            <w:shd w:val="clear" w:color="auto" w:fill="auto"/>
          </w:tcPr>
          <w:p w:rsidR="008544D2" w:rsidRDefault="008544D2" w:rsidP="008544D2">
            <w:pPr>
              <w:rPr>
                <w:lang w:val="fr-FR"/>
              </w:rPr>
            </w:pPr>
          </w:p>
        </w:tc>
      </w:tr>
    </w:tbl>
    <w:p w:rsidR="008544D2" w:rsidRDefault="008544D2" w:rsidP="008544D2">
      <w:pPr>
        <w:rPr>
          <w:lang w:val="fr-FR"/>
        </w:rPr>
      </w:pPr>
    </w:p>
    <w:p w:rsidR="00C076AD" w:rsidRDefault="00C076AD" w:rsidP="00C076AD">
      <w:pPr>
        <w:pStyle w:val="SingleTxtG"/>
      </w:pPr>
      <w:r>
        <w:t>1.</w:t>
      </w:r>
      <w:r>
        <w:tab/>
        <w:t xml:space="preserve">En tant que pays d’origine d’un transport, la Belgique a reçu une demande </w:t>
      </w:r>
      <w:r w:rsidRPr="00D90087">
        <w:t>d’agrément provisoire</w:t>
      </w:r>
      <w:r>
        <w:t xml:space="preserve"> (voir 6.7.1.3)</w:t>
      </w:r>
      <w:r w:rsidRPr="00D90087">
        <w:t xml:space="preserve"> pour le transport</w:t>
      </w:r>
      <w:r>
        <w:t xml:space="preserve"> par rail et par route de </w:t>
      </w:r>
      <w:proofErr w:type="spellStart"/>
      <w:r>
        <w:t>t</w:t>
      </w:r>
      <w:r w:rsidRPr="00BD4510">
        <w:t>rifluorochloroethylene</w:t>
      </w:r>
      <w:proofErr w:type="spellEnd"/>
      <w:r w:rsidRPr="00BD4510">
        <w:t xml:space="preserve"> classé sous </w:t>
      </w:r>
      <w:r>
        <w:t>le numéro ONU</w:t>
      </w:r>
      <w:r w:rsidRPr="00BD4510">
        <w:t xml:space="preserve"> 3160 </w:t>
      </w:r>
      <w:r>
        <w:t>GAZ LIQUEFIE TOXIQUE, INFLAMMABLE, N.S.A.</w:t>
      </w:r>
      <w:r w:rsidRPr="00BD4510">
        <w:t xml:space="preserve"> </w:t>
      </w:r>
      <w:r w:rsidRPr="00033E51">
        <w:t xml:space="preserve">en citerne mobile T50 </w:t>
      </w:r>
      <w:r w:rsidRPr="00BD4510">
        <w:t xml:space="preserve">alors que ce n’est pas </w:t>
      </w:r>
      <w:r>
        <w:t>autorisé</w:t>
      </w:r>
      <w:r w:rsidRPr="00BD4510">
        <w:t xml:space="preserve"> par le RID/ADR.</w:t>
      </w:r>
    </w:p>
    <w:p w:rsidR="00C076AD" w:rsidRPr="008544D2" w:rsidRDefault="00C076AD" w:rsidP="00C076AD">
      <w:pPr>
        <w:pStyle w:val="SingleTxtG"/>
        <w:rPr>
          <w:lang w:val="fr-FR"/>
        </w:rPr>
      </w:pPr>
      <w:r>
        <w:rPr>
          <w:iCs/>
        </w:rPr>
        <w:t>2.</w:t>
      </w:r>
      <w:r>
        <w:rPr>
          <w:iCs/>
        </w:rPr>
        <w:tab/>
        <w:t xml:space="preserve">Le transport de ce produit est autorisé en transport maritime par un agrément provisoire, en vertu du 6.7.1.3 du Code IMDG, délivré </w:t>
      </w:r>
      <w:r w:rsidR="007F528A">
        <w:t>par le Ministère des transports des États-Unis d’Amérique [</w:t>
      </w:r>
      <w:proofErr w:type="spellStart"/>
      <w:r w:rsidR="007F528A">
        <w:t>Department</w:t>
      </w:r>
      <w:proofErr w:type="spellEnd"/>
      <w:r w:rsidR="007F528A">
        <w:t xml:space="preserve"> of Transportation (DOT)]</w:t>
      </w:r>
      <w:r>
        <w:rPr>
          <w:iCs/>
        </w:rPr>
        <w:t xml:space="preserve"> (DOT-SP 14193, voir </w:t>
      </w:r>
      <w:hyperlink r:id="rId8" w:history="1">
        <w:r w:rsidRPr="00DB4B65">
          <w:rPr>
            <w:rStyle w:val="Hyperlink"/>
            <w:iCs/>
          </w:rPr>
          <w:t>https://www.phmsa.dot.gov/approvals-and-permits/hazmat/special-permits-list</w:t>
        </w:r>
      </w:hyperlink>
      <w:r>
        <w:rPr>
          <w:iCs/>
        </w:rPr>
        <w:t>.</w:t>
      </w:r>
    </w:p>
    <w:p w:rsidR="00BF06B0" w:rsidRDefault="00C076AD" w:rsidP="00C076AD">
      <w:pPr>
        <w:pStyle w:val="SingleTxtG"/>
      </w:pPr>
      <w:r>
        <w:t>3.</w:t>
      </w:r>
      <w:r>
        <w:tab/>
        <w:t>En plus des exigences</w:t>
      </w:r>
      <w:r w:rsidRPr="00D5159F">
        <w:t xml:space="preserve"> applicables aux citernes mobiles T50</w:t>
      </w:r>
      <w:r>
        <w:t>, cet agrément impose :</w:t>
      </w:r>
    </w:p>
    <w:p w:rsidR="00C076AD" w:rsidRDefault="00C076AD" w:rsidP="00C076AD">
      <w:pPr>
        <w:pStyle w:val="SingleTxtG"/>
      </w:pPr>
      <w:r>
        <w:lastRenderedPageBreak/>
        <w:t>-</w:t>
      </w:r>
      <w:r>
        <w:tab/>
        <w:t>une pression</w:t>
      </w:r>
      <w:r w:rsidRPr="00D5159F">
        <w:t xml:space="preserve"> minimale</w:t>
      </w:r>
      <w:r>
        <w:t xml:space="preserve"> d’épreuve de 1,5 fois la pression de calcul (tandis que le 6.7.3.3.2 impose seulement une pression minimale d’épreuve de 1,3 </w:t>
      </w:r>
      <w:r w:rsidRPr="00676105">
        <w:t>fois la pression de calcul</w:t>
      </w:r>
      <w:r>
        <w:t>)</w:t>
      </w:r>
      <w:r w:rsidR="00AB280C">
        <w:t> ;</w:t>
      </w:r>
    </w:p>
    <w:p w:rsidR="00C076AD" w:rsidRDefault="00C076AD" w:rsidP="00C076AD">
      <w:pPr>
        <w:pStyle w:val="SingleTxtG"/>
      </w:pPr>
      <w:r>
        <w:t>-</w:t>
      </w:r>
      <w:r>
        <w:tab/>
      </w:r>
      <w:r w:rsidR="00AB280C">
        <w:t>u</w:t>
      </w:r>
      <w:r>
        <w:t>ne isolation</w:t>
      </w:r>
      <w:r w:rsidR="00AB280C">
        <w:t>.</w:t>
      </w:r>
    </w:p>
    <w:p w:rsidR="00C076AD" w:rsidRDefault="00C076AD" w:rsidP="00C076AD">
      <w:pPr>
        <w:pStyle w:val="SingleTxtG"/>
        <w:rPr>
          <w:iCs/>
        </w:rPr>
      </w:pPr>
      <w:r>
        <w:rPr>
          <w:iCs/>
        </w:rPr>
        <w:t>4.</w:t>
      </w:r>
      <w:r>
        <w:rPr>
          <w:iCs/>
        </w:rPr>
        <w:tab/>
        <w:t xml:space="preserve">Le RID/ADR autorise le transport des marchandises du numéro ONU 3160 en citerne </w:t>
      </w:r>
      <w:proofErr w:type="spellStart"/>
      <w:r>
        <w:rPr>
          <w:iCs/>
        </w:rPr>
        <w:t>P</w:t>
      </w:r>
      <w:r w:rsidR="00AB280C">
        <w:rPr>
          <w:iCs/>
        </w:rPr>
        <w:t>x</w:t>
      </w:r>
      <w:r>
        <w:rPr>
          <w:iCs/>
        </w:rPr>
        <w:t>BH</w:t>
      </w:r>
      <w:proofErr w:type="spellEnd"/>
      <w:r>
        <w:rPr>
          <w:iCs/>
        </w:rPr>
        <w:t xml:space="preserve"> (pour </w:t>
      </w:r>
      <w:r w:rsidR="00AB280C">
        <w:rPr>
          <w:iCs/>
        </w:rPr>
        <w:t>x</w:t>
      </w:r>
      <w:r>
        <w:rPr>
          <w:iCs/>
        </w:rPr>
        <w:t>, voir 4.3.3.2.3), à condition que la CL</w:t>
      </w:r>
      <w:r w:rsidRPr="00406D3A">
        <w:rPr>
          <w:iCs/>
          <w:vertAlign w:val="subscript"/>
        </w:rPr>
        <w:t>50</w:t>
      </w:r>
      <w:r>
        <w:rPr>
          <w:iCs/>
        </w:rPr>
        <w:t xml:space="preserve"> ≥ 200 ppm, ce qui est le cas du </w:t>
      </w:r>
      <w:proofErr w:type="spellStart"/>
      <w:r w:rsidRPr="001D3528">
        <w:rPr>
          <w:iCs/>
        </w:rPr>
        <w:t>trifluorochloroethylene</w:t>
      </w:r>
      <w:proofErr w:type="spellEnd"/>
      <w:r>
        <w:rPr>
          <w:iCs/>
        </w:rPr>
        <w:t xml:space="preserve"> (CL</w:t>
      </w:r>
      <w:r w:rsidRPr="001D3528">
        <w:rPr>
          <w:iCs/>
          <w:vertAlign w:val="subscript"/>
        </w:rPr>
        <w:t>50</w:t>
      </w:r>
      <w:r>
        <w:rPr>
          <w:iCs/>
        </w:rPr>
        <w:t xml:space="preserve"> = 1000 ppm).</w:t>
      </w:r>
    </w:p>
    <w:p w:rsidR="00C076AD" w:rsidRDefault="00C076AD" w:rsidP="00C076AD">
      <w:pPr>
        <w:pStyle w:val="SingleTxtG"/>
        <w:rPr>
          <w:iCs/>
        </w:rPr>
      </w:pPr>
      <w:r>
        <w:rPr>
          <w:iCs/>
        </w:rPr>
        <w:t>5.</w:t>
      </w:r>
      <w:r>
        <w:rPr>
          <w:iCs/>
        </w:rPr>
        <w:tab/>
      </w:r>
      <w:r w:rsidR="00AB280C">
        <w:rPr>
          <w:iCs/>
        </w:rPr>
        <w:t>Pour donner suite à</w:t>
      </w:r>
      <w:r>
        <w:rPr>
          <w:iCs/>
        </w:rPr>
        <w:t xml:space="preserve"> cette demande, la Belgique souhaiterait recevoir l’avis du groupe de travail des citernes sur les questions suivantes :</w:t>
      </w:r>
    </w:p>
    <w:p w:rsidR="00C076AD" w:rsidRDefault="007F528A" w:rsidP="007F528A">
      <w:pPr>
        <w:pStyle w:val="Bullet1G"/>
      </w:pPr>
      <w:r>
        <w:t xml:space="preserve">Question 1 : </w:t>
      </w:r>
      <w:r w:rsidR="00C076AD">
        <w:t>Que signifie « agrément provisoire » au 6.7.3.1 ? S’agit-il de couvrir la période nécessaire à une adaptation de la réglementation ?</w:t>
      </w:r>
    </w:p>
    <w:p w:rsidR="00C076AD" w:rsidRDefault="007F528A" w:rsidP="00AB280C">
      <w:pPr>
        <w:pStyle w:val="Bullet1G"/>
      </w:pPr>
      <w:r>
        <w:t>Question 2 :</w:t>
      </w:r>
      <w:r w:rsidR="00AB280C">
        <w:t xml:space="preserve"> </w:t>
      </w:r>
      <w:r w:rsidR="00C076AD">
        <w:t xml:space="preserve">Y a-t-il une raison technique expliquant le fait que certaines matières sont autorisées en citerne </w:t>
      </w:r>
      <w:proofErr w:type="spellStart"/>
      <w:r w:rsidR="00C076AD">
        <w:t>P</w:t>
      </w:r>
      <w:r w:rsidR="00AB280C">
        <w:t>x</w:t>
      </w:r>
      <w:r w:rsidR="00C076AD">
        <w:t>BH</w:t>
      </w:r>
      <w:proofErr w:type="spellEnd"/>
      <w:r w:rsidR="00C076AD">
        <w:t xml:space="preserve"> et pas en citerne mobile T50 (voir liste en annexe) ?</w:t>
      </w:r>
    </w:p>
    <w:p w:rsidR="00C076AD" w:rsidRDefault="007F528A" w:rsidP="007F528A">
      <w:pPr>
        <w:pStyle w:val="Bullet1G"/>
      </w:pPr>
      <w:r>
        <w:t>Question 3 :</w:t>
      </w:r>
      <w:r w:rsidR="00AB280C">
        <w:t xml:space="preserve"> </w:t>
      </w:r>
      <w:r w:rsidR="00C076AD">
        <w:t>Est-il envisageable d’introduire le code T50 dans la colonne 10 du tableau A pour le numéro ONU 3160, avec la même restriction que pour les citernes terrestres</w:t>
      </w:r>
      <w:r w:rsidR="00AB280C">
        <w:t>, c’est à dire</w:t>
      </w:r>
      <w:r w:rsidR="00C076AD">
        <w:t xml:space="preserve"> si la </w:t>
      </w:r>
      <w:bookmarkStart w:id="0" w:name="_Hlk531351458"/>
      <w:r w:rsidR="00C076AD" w:rsidRPr="00457434">
        <w:t>CL</w:t>
      </w:r>
      <w:r w:rsidR="00C076AD" w:rsidRPr="00DF7ED3">
        <w:rPr>
          <w:vertAlign w:val="subscript"/>
        </w:rPr>
        <w:t>50</w:t>
      </w:r>
      <w:r w:rsidR="00C076AD" w:rsidRPr="00457434">
        <w:t xml:space="preserve"> ≥ 200 ppm</w:t>
      </w:r>
      <w:r w:rsidR="00C076AD">
        <w:t> </w:t>
      </w:r>
      <w:bookmarkEnd w:id="0"/>
      <w:r w:rsidR="00C076AD">
        <w:t>?</w:t>
      </w:r>
    </w:p>
    <w:p w:rsidR="00C076AD" w:rsidRDefault="007F528A" w:rsidP="007F528A">
      <w:pPr>
        <w:pStyle w:val="Bullet1G"/>
      </w:pPr>
      <w:r>
        <w:t>Question 4 :</w:t>
      </w:r>
      <w:r w:rsidR="00AB280C">
        <w:t xml:space="preserve"> </w:t>
      </w:r>
      <w:r w:rsidR="00C076AD">
        <w:t xml:space="preserve">S’agissant d’une rubrique collective, y-a-t-il d’autres restrictions à prévoir (en plus de la </w:t>
      </w:r>
      <w:r w:rsidR="00C076AD" w:rsidRPr="004F7709">
        <w:t>CL</w:t>
      </w:r>
      <w:r w:rsidR="00C076AD" w:rsidRPr="00DF7ED3">
        <w:rPr>
          <w:vertAlign w:val="subscript"/>
        </w:rPr>
        <w:t>50</w:t>
      </w:r>
      <w:r w:rsidR="00C076AD" w:rsidRPr="004F7709">
        <w:t xml:space="preserve"> ≥ 200 ppm</w:t>
      </w:r>
      <w:r w:rsidR="00C076AD">
        <w:t>) pour autoriser le transport</w:t>
      </w:r>
      <w:r w:rsidR="00C076AD" w:rsidRPr="008E28D3">
        <w:t xml:space="preserve"> </w:t>
      </w:r>
      <w:r w:rsidR="00C076AD">
        <w:t>des gaz liquéfiés toxiques et inflammables du numéro ONU 3160 </w:t>
      </w:r>
      <w:r w:rsidR="00C076AD" w:rsidRPr="008E28D3">
        <w:t>en citerne mobile T50</w:t>
      </w:r>
      <w:r w:rsidR="00DF7ED3">
        <w:t> </w:t>
      </w:r>
      <w:r w:rsidR="00C076AD">
        <w:t>?</w:t>
      </w:r>
    </w:p>
    <w:p w:rsidR="00C076AD" w:rsidRDefault="007F528A" w:rsidP="00C076AD">
      <w:pPr>
        <w:pStyle w:val="SingleTxtG"/>
        <w:rPr>
          <w:iCs/>
        </w:rPr>
      </w:pPr>
      <w:r>
        <w:rPr>
          <w:iCs/>
        </w:rPr>
        <w:t>6.</w:t>
      </w:r>
      <w:r>
        <w:rPr>
          <w:iCs/>
        </w:rPr>
        <w:tab/>
      </w:r>
      <w:r w:rsidR="00C076AD">
        <w:rPr>
          <w:iCs/>
        </w:rPr>
        <w:t>En fonction des réponses obtenues, la Belgique décidera s’il convient de donner une suite favorable à la demande qui lui a été faite et, le cas échéant, introduira une proposition de modification de la réglementation au sous-comité de l’ONU.</w:t>
      </w:r>
    </w:p>
    <w:p w:rsidR="00AB280C" w:rsidRDefault="00AB280C">
      <w:pPr>
        <w:suppressAutoHyphens w:val="0"/>
        <w:spacing w:line="240" w:lineRule="auto"/>
        <w:rPr>
          <w:iCs/>
        </w:rPr>
      </w:pPr>
      <w:r>
        <w:rPr>
          <w:iCs/>
        </w:rPr>
        <w:br w:type="page"/>
      </w:r>
    </w:p>
    <w:p w:rsidR="00AB280C" w:rsidRPr="00AB280C" w:rsidRDefault="00AB280C" w:rsidP="00AB280C">
      <w:pPr>
        <w:pStyle w:val="HChG"/>
      </w:pPr>
      <w:r w:rsidRPr="00AB280C">
        <w:lastRenderedPageBreak/>
        <w:t>Annex</w:t>
      </w:r>
    </w:p>
    <w:p w:rsidR="00AB280C" w:rsidRDefault="00AB280C" w:rsidP="00AB280C">
      <w:pPr>
        <w:pStyle w:val="HChG"/>
      </w:pPr>
      <w:r>
        <w:tab/>
      </w:r>
      <w:r>
        <w:tab/>
      </w:r>
      <w:r w:rsidRPr="00AB280C">
        <w:t>Gaz 2TF admis en citerne RID/ADR mais pas en citerne mobile</w:t>
      </w:r>
    </w:p>
    <w:tbl>
      <w:tblPr>
        <w:tblStyle w:val="TableGrid"/>
        <w:tblW w:w="9791" w:type="dxa"/>
        <w:jc w:val="center"/>
        <w:tblLook w:val="04A0" w:firstRow="1" w:lastRow="0" w:firstColumn="1" w:lastColumn="0" w:noHBand="0" w:noVBand="1"/>
      </w:tblPr>
      <w:tblGrid>
        <w:gridCol w:w="534"/>
        <w:gridCol w:w="1580"/>
        <w:gridCol w:w="594"/>
        <w:gridCol w:w="961"/>
        <w:gridCol w:w="804"/>
        <w:gridCol w:w="831"/>
        <w:gridCol w:w="923"/>
        <w:gridCol w:w="610"/>
        <w:gridCol w:w="911"/>
        <w:gridCol w:w="923"/>
        <w:gridCol w:w="1120"/>
      </w:tblGrid>
      <w:tr w:rsidR="007A39B1" w:rsidRPr="00D81377" w:rsidTr="007A39B1">
        <w:trPr>
          <w:jc w:val="center"/>
        </w:trPr>
        <w:tc>
          <w:tcPr>
            <w:tcW w:w="53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No ONU</w:t>
            </w:r>
          </w:p>
        </w:tc>
        <w:tc>
          <w:tcPr>
            <w:tcW w:w="1580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Nom et description</w:t>
            </w:r>
          </w:p>
        </w:tc>
        <w:tc>
          <w:tcPr>
            <w:tcW w:w="59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Classe</w:t>
            </w:r>
          </w:p>
        </w:tc>
        <w:tc>
          <w:tcPr>
            <w:tcW w:w="96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Code de classification</w:t>
            </w:r>
          </w:p>
        </w:tc>
        <w:tc>
          <w:tcPr>
            <w:tcW w:w="80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Etiquettes</w:t>
            </w:r>
          </w:p>
        </w:tc>
        <w:tc>
          <w:tcPr>
            <w:tcW w:w="83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Citernes mobiles et conteneurs pour vrac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Dispositions spéciales</w:t>
            </w:r>
          </w:p>
        </w:tc>
        <w:tc>
          <w:tcPr>
            <w:tcW w:w="610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Code-citerne</w:t>
            </w:r>
          </w:p>
        </w:tc>
        <w:tc>
          <w:tcPr>
            <w:tcW w:w="91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Dispositions spéciales</w:t>
            </w:r>
          </w:p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ADR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Dispositions spéciales</w:t>
            </w:r>
          </w:p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RID</w:t>
            </w:r>
          </w:p>
        </w:tc>
        <w:tc>
          <w:tcPr>
            <w:tcW w:w="1120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Numéro d’identification du danger</w:t>
            </w:r>
          </w:p>
        </w:tc>
      </w:tr>
      <w:tr w:rsidR="007A39B1" w:rsidRPr="00D81377" w:rsidTr="007A39B1">
        <w:trPr>
          <w:jc w:val="center"/>
        </w:trPr>
        <w:tc>
          <w:tcPr>
            <w:tcW w:w="53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(1)</w:t>
            </w:r>
          </w:p>
        </w:tc>
        <w:tc>
          <w:tcPr>
            <w:tcW w:w="1580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(3)</w:t>
            </w:r>
          </w:p>
        </w:tc>
        <w:tc>
          <w:tcPr>
            <w:tcW w:w="59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(3a)</w:t>
            </w:r>
          </w:p>
        </w:tc>
        <w:tc>
          <w:tcPr>
            <w:tcW w:w="96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(3b)</w:t>
            </w:r>
          </w:p>
        </w:tc>
        <w:tc>
          <w:tcPr>
            <w:tcW w:w="80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(5)</w:t>
            </w:r>
          </w:p>
        </w:tc>
        <w:tc>
          <w:tcPr>
            <w:tcW w:w="83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(10)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(11)</w:t>
            </w:r>
          </w:p>
        </w:tc>
        <w:tc>
          <w:tcPr>
            <w:tcW w:w="610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(12)</w:t>
            </w:r>
          </w:p>
        </w:tc>
        <w:tc>
          <w:tcPr>
            <w:tcW w:w="91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(13)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(13)</w:t>
            </w:r>
          </w:p>
        </w:tc>
        <w:tc>
          <w:tcPr>
            <w:tcW w:w="1120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(20)</w:t>
            </w:r>
          </w:p>
        </w:tc>
      </w:tr>
      <w:tr w:rsidR="007A39B1" w:rsidRPr="00D81377" w:rsidTr="007A39B1">
        <w:trPr>
          <w:jc w:val="center"/>
        </w:trPr>
        <w:tc>
          <w:tcPr>
            <w:tcW w:w="53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1026</w:t>
            </w:r>
          </w:p>
        </w:tc>
        <w:tc>
          <w:tcPr>
            <w:tcW w:w="158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CYANOGÈNE</w:t>
            </w:r>
          </w:p>
        </w:tc>
        <w:tc>
          <w:tcPr>
            <w:tcW w:w="59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2TF</w:t>
            </w:r>
          </w:p>
        </w:tc>
        <w:tc>
          <w:tcPr>
            <w:tcW w:w="80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2.3+2.1</w:t>
            </w:r>
            <w:r w:rsidRPr="00D81377">
              <w:rPr>
                <w:sz w:val="18"/>
                <w:szCs w:val="18"/>
              </w:rPr>
              <w:br/>
              <w:t>(+13)</w:t>
            </w:r>
          </w:p>
        </w:tc>
        <w:tc>
          <w:tcPr>
            <w:tcW w:w="83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proofErr w:type="spellStart"/>
            <w:r w:rsidRPr="00D81377">
              <w:rPr>
                <w:sz w:val="18"/>
                <w:szCs w:val="18"/>
              </w:rPr>
              <w:t>PxBH</w:t>
            </w:r>
            <w:proofErr w:type="spellEnd"/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61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TA4</w:t>
            </w:r>
          </w:p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TT9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TU38 TE22 TE25 TA4 TT9 TM6</w:t>
            </w:r>
          </w:p>
        </w:tc>
        <w:tc>
          <w:tcPr>
            <w:tcW w:w="1120" w:type="dxa"/>
          </w:tcPr>
          <w:p w:rsidR="007A39B1" w:rsidRPr="00D81377" w:rsidRDefault="00D81377" w:rsidP="00D81377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263</w:t>
            </w:r>
          </w:p>
        </w:tc>
      </w:tr>
      <w:tr w:rsidR="007A39B1" w:rsidRPr="00D81377" w:rsidTr="007A39B1">
        <w:trPr>
          <w:jc w:val="center"/>
        </w:trPr>
        <w:tc>
          <w:tcPr>
            <w:tcW w:w="53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1053</w:t>
            </w:r>
          </w:p>
        </w:tc>
        <w:tc>
          <w:tcPr>
            <w:tcW w:w="158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SULFURE D'HYDROGÈNE</w:t>
            </w:r>
          </w:p>
        </w:tc>
        <w:tc>
          <w:tcPr>
            <w:tcW w:w="59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2TF</w:t>
            </w:r>
          </w:p>
        </w:tc>
        <w:tc>
          <w:tcPr>
            <w:tcW w:w="80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2.3+2.1</w:t>
            </w:r>
            <w:r w:rsidRPr="00D81377">
              <w:rPr>
                <w:sz w:val="18"/>
                <w:szCs w:val="18"/>
              </w:rPr>
              <w:br/>
              <w:t>(+13)</w:t>
            </w:r>
          </w:p>
        </w:tc>
        <w:tc>
          <w:tcPr>
            <w:tcW w:w="83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proofErr w:type="spellStart"/>
            <w:r w:rsidRPr="00D81377">
              <w:rPr>
                <w:sz w:val="18"/>
                <w:szCs w:val="18"/>
              </w:rPr>
              <w:t>PxDH</w:t>
            </w:r>
            <w:proofErr w:type="spellEnd"/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61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TA4</w:t>
            </w:r>
          </w:p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 xml:space="preserve">TT9 </w:t>
            </w:r>
          </w:p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TT10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TU38 TE22 TE25 TA4 TT9 TT10 TM6</w:t>
            </w:r>
          </w:p>
        </w:tc>
        <w:tc>
          <w:tcPr>
            <w:tcW w:w="1120" w:type="dxa"/>
          </w:tcPr>
          <w:p w:rsidR="007A39B1" w:rsidRPr="00D81377" w:rsidRDefault="00D81377" w:rsidP="00D81377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263</w:t>
            </w:r>
          </w:p>
        </w:tc>
      </w:tr>
      <w:tr w:rsidR="007A39B1" w:rsidRPr="00D81377" w:rsidTr="007A39B1">
        <w:trPr>
          <w:jc w:val="center"/>
        </w:trPr>
        <w:tc>
          <w:tcPr>
            <w:tcW w:w="53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2189</w:t>
            </w:r>
          </w:p>
        </w:tc>
        <w:tc>
          <w:tcPr>
            <w:tcW w:w="158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DICHLOROSILANE</w:t>
            </w:r>
          </w:p>
        </w:tc>
        <w:tc>
          <w:tcPr>
            <w:tcW w:w="59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2TFC</w:t>
            </w:r>
          </w:p>
        </w:tc>
        <w:tc>
          <w:tcPr>
            <w:tcW w:w="80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2.3+2.1+8</w:t>
            </w:r>
            <w:r w:rsidRPr="00D81377">
              <w:rPr>
                <w:sz w:val="18"/>
                <w:szCs w:val="18"/>
              </w:rPr>
              <w:br/>
              <w:t>(+13)</w:t>
            </w:r>
          </w:p>
        </w:tc>
        <w:tc>
          <w:tcPr>
            <w:tcW w:w="831" w:type="dxa"/>
          </w:tcPr>
          <w:p w:rsidR="007A39B1" w:rsidRPr="00D81377" w:rsidRDefault="007A39B1" w:rsidP="007A39B1">
            <w:pPr>
              <w:jc w:val="center"/>
              <w:rPr>
                <w:b/>
                <w:bCs/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proofErr w:type="spellStart"/>
            <w:r w:rsidRPr="00D81377">
              <w:rPr>
                <w:sz w:val="18"/>
                <w:szCs w:val="18"/>
              </w:rPr>
              <w:t>PxBH</w:t>
            </w:r>
            <w:proofErr w:type="spellEnd"/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61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TA4</w:t>
            </w:r>
          </w:p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TT9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TU38 TE22 TE25 TA4 TT9 TM6</w:t>
            </w:r>
          </w:p>
        </w:tc>
        <w:tc>
          <w:tcPr>
            <w:tcW w:w="1120" w:type="dxa"/>
          </w:tcPr>
          <w:p w:rsidR="007A39B1" w:rsidRPr="00D81377" w:rsidRDefault="00D81377" w:rsidP="00D81377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263</w:t>
            </w:r>
          </w:p>
        </w:tc>
      </w:tr>
      <w:tr w:rsidR="007A39B1" w:rsidRPr="00D81377" w:rsidTr="007A39B1">
        <w:trPr>
          <w:jc w:val="center"/>
        </w:trPr>
        <w:tc>
          <w:tcPr>
            <w:tcW w:w="53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2204</w:t>
            </w:r>
          </w:p>
        </w:tc>
        <w:tc>
          <w:tcPr>
            <w:tcW w:w="158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SULFURE DE CARBONYLE</w:t>
            </w:r>
          </w:p>
        </w:tc>
        <w:tc>
          <w:tcPr>
            <w:tcW w:w="59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2TF</w:t>
            </w:r>
          </w:p>
        </w:tc>
        <w:tc>
          <w:tcPr>
            <w:tcW w:w="80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2.3+2.1</w:t>
            </w:r>
            <w:r w:rsidRPr="00D81377">
              <w:rPr>
                <w:sz w:val="18"/>
                <w:szCs w:val="18"/>
              </w:rPr>
              <w:br/>
              <w:t>(+13)</w:t>
            </w:r>
          </w:p>
        </w:tc>
        <w:tc>
          <w:tcPr>
            <w:tcW w:w="83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proofErr w:type="spellStart"/>
            <w:r w:rsidRPr="00D81377">
              <w:rPr>
                <w:sz w:val="18"/>
                <w:szCs w:val="18"/>
              </w:rPr>
              <w:t>PxBH</w:t>
            </w:r>
            <w:proofErr w:type="spellEnd"/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61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TA4</w:t>
            </w:r>
          </w:p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TT9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TU38 TE22 TA4 TT9 TM6</w:t>
            </w:r>
          </w:p>
        </w:tc>
        <w:tc>
          <w:tcPr>
            <w:tcW w:w="1120" w:type="dxa"/>
          </w:tcPr>
          <w:p w:rsidR="007A39B1" w:rsidRPr="00D81377" w:rsidRDefault="00D81377" w:rsidP="00D81377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263</w:t>
            </w:r>
          </w:p>
        </w:tc>
      </w:tr>
      <w:tr w:rsidR="007A39B1" w:rsidRPr="00D81377" w:rsidTr="007A39B1">
        <w:trPr>
          <w:jc w:val="center"/>
        </w:trPr>
        <w:tc>
          <w:tcPr>
            <w:tcW w:w="53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3160</w:t>
            </w:r>
          </w:p>
        </w:tc>
        <w:tc>
          <w:tcPr>
            <w:tcW w:w="158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GAZ LIQUÉFIÉ TOXIQUE, INFLAMMABLE, N.S.A.</w:t>
            </w:r>
          </w:p>
        </w:tc>
        <w:tc>
          <w:tcPr>
            <w:tcW w:w="59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2TF</w:t>
            </w:r>
          </w:p>
        </w:tc>
        <w:tc>
          <w:tcPr>
            <w:tcW w:w="80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2.3+2.1</w:t>
            </w:r>
            <w:r w:rsidRPr="00D81377">
              <w:rPr>
                <w:sz w:val="18"/>
                <w:szCs w:val="18"/>
              </w:rPr>
              <w:br/>
              <w:t>(+13)</w:t>
            </w:r>
          </w:p>
        </w:tc>
        <w:tc>
          <w:tcPr>
            <w:tcW w:w="83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proofErr w:type="spellStart"/>
            <w:r w:rsidRPr="00D81377">
              <w:rPr>
                <w:sz w:val="18"/>
                <w:szCs w:val="18"/>
              </w:rPr>
              <w:t>PxBH</w:t>
            </w:r>
            <w:proofErr w:type="spellEnd"/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61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TU6</w:t>
            </w:r>
          </w:p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TA4</w:t>
            </w:r>
          </w:p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TT9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TU6 TU38 TE22 TE25 TA4 TT9 TM6</w:t>
            </w:r>
          </w:p>
        </w:tc>
        <w:tc>
          <w:tcPr>
            <w:tcW w:w="1120" w:type="dxa"/>
          </w:tcPr>
          <w:p w:rsidR="007A39B1" w:rsidRPr="00D81377" w:rsidRDefault="00D81377" w:rsidP="00D81377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263</w:t>
            </w:r>
          </w:p>
        </w:tc>
      </w:tr>
      <w:tr w:rsidR="007A39B1" w:rsidRPr="00D81377" w:rsidTr="007A39B1">
        <w:trPr>
          <w:jc w:val="center"/>
        </w:trPr>
        <w:tc>
          <w:tcPr>
            <w:tcW w:w="53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3300</w:t>
            </w:r>
          </w:p>
        </w:tc>
        <w:tc>
          <w:tcPr>
            <w:tcW w:w="158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OXYDE D'ÉTHYLÈNE ET DIOXYDE DE CARBONE EN MÉLANGE contenant plus de 87% d'oxyde d'éthylène</w:t>
            </w:r>
          </w:p>
        </w:tc>
        <w:tc>
          <w:tcPr>
            <w:tcW w:w="59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2TF</w:t>
            </w:r>
          </w:p>
        </w:tc>
        <w:tc>
          <w:tcPr>
            <w:tcW w:w="80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2.3+2.1</w:t>
            </w:r>
            <w:r w:rsidRPr="00D81377">
              <w:rPr>
                <w:sz w:val="18"/>
                <w:szCs w:val="18"/>
              </w:rPr>
              <w:br/>
              <w:t>(+13)</w:t>
            </w:r>
          </w:p>
        </w:tc>
        <w:tc>
          <w:tcPr>
            <w:tcW w:w="83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proofErr w:type="spellStart"/>
            <w:r w:rsidRPr="00D81377">
              <w:rPr>
                <w:sz w:val="18"/>
                <w:szCs w:val="18"/>
              </w:rPr>
              <w:t>PxBH</w:t>
            </w:r>
            <w:proofErr w:type="spellEnd"/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61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TA4</w:t>
            </w:r>
          </w:p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TT9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TU38 TE22 TE25 TA4 TT9 TM6</w:t>
            </w:r>
          </w:p>
        </w:tc>
        <w:tc>
          <w:tcPr>
            <w:tcW w:w="1120" w:type="dxa"/>
          </w:tcPr>
          <w:p w:rsidR="007A39B1" w:rsidRPr="00D81377" w:rsidRDefault="00D81377" w:rsidP="00D81377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263</w:t>
            </w:r>
          </w:p>
        </w:tc>
      </w:tr>
      <w:tr w:rsidR="007A39B1" w:rsidRPr="00D81377" w:rsidTr="007A39B1">
        <w:trPr>
          <w:jc w:val="center"/>
        </w:trPr>
        <w:tc>
          <w:tcPr>
            <w:tcW w:w="53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3355</w:t>
            </w:r>
          </w:p>
        </w:tc>
        <w:tc>
          <w:tcPr>
            <w:tcW w:w="158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GAZ INSECTICIDE TOXIQUE INFLAMMABLE, N.S.A.</w:t>
            </w:r>
          </w:p>
        </w:tc>
        <w:tc>
          <w:tcPr>
            <w:tcW w:w="59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2TF</w:t>
            </w:r>
          </w:p>
        </w:tc>
        <w:tc>
          <w:tcPr>
            <w:tcW w:w="804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2.3+2.1</w:t>
            </w:r>
            <w:r w:rsidRPr="00D81377">
              <w:rPr>
                <w:sz w:val="18"/>
                <w:szCs w:val="18"/>
              </w:rPr>
              <w:br/>
              <w:t>(+13)</w:t>
            </w:r>
          </w:p>
        </w:tc>
        <w:tc>
          <w:tcPr>
            <w:tcW w:w="83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proofErr w:type="spellStart"/>
            <w:r w:rsidRPr="00D81377">
              <w:rPr>
                <w:sz w:val="18"/>
                <w:szCs w:val="18"/>
              </w:rPr>
              <w:t>PxBH</w:t>
            </w:r>
            <w:proofErr w:type="spellEnd"/>
            <w:r w:rsidRPr="00D81377">
              <w:rPr>
                <w:sz w:val="18"/>
                <w:szCs w:val="18"/>
              </w:rPr>
              <w:t>(M)</w:t>
            </w:r>
          </w:p>
        </w:tc>
        <w:tc>
          <w:tcPr>
            <w:tcW w:w="610" w:type="dxa"/>
          </w:tcPr>
          <w:p w:rsidR="007A39B1" w:rsidRPr="00D81377" w:rsidRDefault="007A39B1" w:rsidP="007A39B1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TU6</w:t>
            </w:r>
          </w:p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TA4</w:t>
            </w:r>
          </w:p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TT9</w:t>
            </w:r>
          </w:p>
        </w:tc>
        <w:tc>
          <w:tcPr>
            <w:tcW w:w="923" w:type="dxa"/>
          </w:tcPr>
          <w:p w:rsidR="007A39B1" w:rsidRPr="00D81377" w:rsidRDefault="007A39B1" w:rsidP="007A39B1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TU6 TU38 TE22 TE25 TA4 TT9 TM6</w:t>
            </w:r>
          </w:p>
        </w:tc>
        <w:tc>
          <w:tcPr>
            <w:tcW w:w="1120" w:type="dxa"/>
          </w:tcPr>
          <w:p w:rsidR="007A39B1" w:rsidRPr="00D81377" w:rsidRDefault="00D81377" w:rsidP="00D81377">
            <w:pPr>
              <w:jc w:val="center"/>
              <w:rPr>
                <w:sz w:val="18"/>
                <w:szCs w:val="18"/>
              </w:rPr>
            </w:pPr>
            <w:r w:rsidRPr="00D81377">
              <w:rPr>
                <w:sz w:val="18"/>
                <w:szCs w:val="18"/>
              </w:rPr>
              <w:t>263</w:t>
            </w:r>
          </w:p>
        </w:tc>
      </w:tr>
    </w:tbl>
    <w:p w:rsidR="00C076AD" w:rsidRPr="00C076AD" w:rsidRDefault="00C076AD" w:rsidP="00C076AD">
      <w:pPr>
        <w:pStyle w:val="SingleTxtG"/>
        <w:spacing w:before="240" w:after="0"/>
        <w:jc w:val="center"/>
        <w:rPr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sectPr w:rsidR="00C076AD" w:rsidRPr="00C076AD" w:rsidSect="009076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59" w:rsidRDefault="00907659"/>
  </w:endnote>
  <w:endnote w:type="continuationSeparator" w:id="0">
    <w:p w:rsidR="00907659" w:rsidRDefault="00907659"/>
  </w:endnote>
  <w:endnote w:type="continuationNotice" w:id="1">
    <w:p w:rsidR="00907659" w:rsidRDefault="00907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59" w:rsidRPr="00907659" w:rsidRDefault="00907659" w:rsidP="00907659">
    <w:pPr>
      <w:pStyle w:val="Footer"/>
      <w:tabs>
        <w:tab w:val="right" w:pos="9638"/>
      </w:tabs>
      <w:rPr>
        <w:sz w:val="18"/>
      </w:rPr>
    </w:pPr>
    <w:r w:rsidRPr="00907659">
      <w:rPr>
        <w:b/>
        <w:sz w:val="18"/>
      </w:rPr>
      <w:fldChar w:fldCharType="begin"/>
    </w:r>
    <w:r w:rsidRPr="00907659">
      <w:rPr>
        <w:b/>
        <w:sz w:val="18"/>
      </w:rPr>
      <w:instrText xml:space="preserve"> PAGE  \* MERGEFORMAT </w:instrText>
    </w:r>
    <w:r w:rsidRPr="00907659">
      <w:rPr>
        <w:b/>
        <w:sz w:val="18"/>
      </w:rPr>
      <w:fldChar w:fldCharType="separate"/>
    </w:r>
    <w:r w:rsidRPr="00907659">
      <w:rPr>
        <w:b/>
        <w:noProof/>
        <w:sz w:val="18"/>
      </w:rPr>
      <w:t>2</w:t>
    </w:r>
    <w:r w:rsidRPr="0090765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B7" w:rsidRPr="00907659" w:rsidRDefault="00907659" w:rsidP="00907659">
    <w:pPr>
      <w:pStyle w:val="Footer"/>
      <w:tabs>
        <w:tab w:val="right" w:pos="9638"/>
      </w:tabs>
      <w:rPr>
        <w:sz w:val="18"/>
      </w:rPr>
    </w:pPr>
    <w:r>
      <w:tab/>
    </w:r>
    <w:r w:rsidRPr="00907659">
      <w:rPr>
        <w:b/>
        <w:sz w:val="18"/>
      </w:rPr>
      <w:fldChar w:fldCharType="begin"/>
    </w:r>
    <w:r w:rsidRPr="00907659">
      <w:rPr>
        <w:b/>
        <w:sz w:val="18"/>
      </w:rPr>
      <w:instrText xml:space="preserve"> PAGE  \* MERGEFORMAT </w:instrText>
    </w:r>
    <w:r w:rsidRPr="00907659">
      <w:rPr>
        <w:b/>
        <w:sz w:val="18"/>
      </w:rPr>
      <w:fldChar w:fldCharType="separate"/>
    </w:r>
    <w:r w:rsidRPr="00907659">
      <w:rPr>
        <w:b/>
        <w:noProof/>
        <w:sz w:val="18"/>
      </w:rPr>
      <w:t>3</w:t>
    </w:r>
    <w:r w:rsidRPr="00907659">
      <w:rPr>
        <w:b/>
        <w:sz w:val="18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5F" w:rsidRDefault="00355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59" w:rsidRPr="00D27D5E" w:rsidRDefault="0090765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7659" w:rsidRPr="00A80554" w:rsidRDefault="00907659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907659" w:rsidRDefault="00907659"/>
  </w:footnote>
  <w:footnote w:id="2">
    <w:p w:rsidR="008544D2" w:rsidRPr="008544D2" w:rsidRDefault="008544D2">
      <w:pPr>
        <w:pStyle w:val="FootnoteText"/>
      </w:pPr>
      <w:r>
        <w:rPr>
          <w:rStyle w:val="FootnoteReference"/>
        </w:rPr>
        <w:tab/>
      </w:r>
      <w:r w:rsidRPr="00DF7ED3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4809ED">
        <w:rPr>
          <w:szCs w:val="18"/>
        </w:rPr>
        <w:t>Conformément au programme de travail du Comité des</w:t>
      </w:r>
      <w:r>
        <w:rPr>
          <w:szCs w:val="18"/>
        </w:rPr>
        <w:t xml:space="preserve"> transports intérieurs pour 2018-2019 (ECE/TRANS</w:t>
      </w:r>
      <w:r w:rsidRPr="004809ED">
        <w:rPr>
          <w:szCs w:val="18"/>
        </w:rPr>
        <w:t>/</w:t>
      </w:r>
      <w:r>
        <w:rPr>
          <w:szCs w:val="18"/>
        </w:rPr>
        <w:t>WP.15/237, annexe V, (</w:t>
      </w:r>
      <w:r w:rsidRPr="004809ED">
        <w:rPr>
          <w:szCs w:val="18"/>
        </w:rPr>
        <w:t>9.2)</w:t>
      </w:r>
      <w:r>
        <w:rPr>
          <w:szCs w:val="18"/>
        </w:rPr>
        <w:t>)</w:t>
      </w:r>
      <w:r w:rsidRPr="004809ED">
        <w:rPr>
          <w:szCs w:val="18"/>
        </w:rPr>
        <w:t>.</w:t>
      </w:r>
    </w:p>
  </w:footnote>
  <w:footnote w:id="3">
    <w:p w:rsidR="00DF7ED3" w:rsidRPr="00DF7ED3" w:rsidRDefault="00DF7ED3">
      <w:pPr>
        <w:pStyle w:val="FootnoteText"/>
      </w:pPr>
      <w:r>
        <w:rPr>
          <w:rStyle w:val="FootnoteReference"/>
        </w:rPr>
        <w:tab/>
      </w:r>
      <w:r w:rsidRPr="00DF7ED3">
        <w:rPr>
          <w:rStyle w:val="FootnoteReference"/>
          <w:sz w:val="20"/>
        </w:rPr>
        <w:t>**</w:t>
      </w:r>
      <w:r>
        <w:tab/>
      </w:r>
      <w:r>
        <w:rPr>
          <w:lang w:val="fr-FR"/>
        </w:rPr>
        <w:t>Diffusée par l’Organisation intergouvernementale pour les transports internationaux ferroviaires (OTIF) sous la cote OTIF/RID/RC/2019/3.</w:t>
      </w:r>
      <w:r>
        <w:rPr>
          <w:rStyle w:val="FootnoteReference"/>
          <w:sz w:val="20"/>
          <w:vertAlign w:val="baselin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59" w:rsidRPr="00907659" w:rsidRDefault="00907659">
    <w:pPr>
      <w:pStyle w:val="Header"/>
    </w:pPr>
    <w:r>
      <w:t>ECE/TRANS/WP.15/AC.1/2019/3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59" w:rsidRPr="00907659" w:rsidRDefault="00907659" w:rsidP="00907659">
    <w:pPr>
      <w:pStyle w:val="Header"/>
      <w:jc w:val="right"/>
    </w:pPr>
    <w:r>
      <w:t>ECE/TRANS/WP.15/AC.1/2019/3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5F" w:rsidRDefault="00355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59"/>
    <w:rsid w:val="00016AC5"/>
    <w:rsid w:val="00030ADE"/>
    <w:rsid w:val="000312C0"/>
    <w:rsid w:val="000964C7"/>
    <w:rsid w:val="000B34CA"/>
    <w:rsid w:val="000F41F2"/>
    <w:rsid w:val="00135C0D"/>
    <w:rsid w:val="00154636"/>
    <w:rsid w:val="00160540"/>
    <w:rsid w:val="0017182C"/>
    <w:rsid w:val="00177007"/>
    <w:rsid w:val="00186EE9"/>
    <w:rsid w:val="00192EEB"/>
    <w:rsid w:val="001A20FB"/>
    <w:rsid w:val="001B6F40"/>
    <w:rsid w:val="001D7F8A"/>
    <w:rsid w:val="001E3FEB"/>
    <w:rsid w:val="001E4A02"/>
    <w:rsid w:val="00223B89"/>
    <w:rsid w:val="00225A8C"/>
    <w:rsid w:val="00232C61"/>
    <w:rsid w:val="002659F1"/>
    <w:rsid w:val="00271C7C"/>
    <w:rsid w:val="00287E79"/>
    <w:rsid w:val="002928F9"/>
    <w:rsid w:val="002A5D07"/>
    <w:rsid w:val="003016B7"/>
    <w:rsid w:val="00330F9C"/>
    <w:rsid w:val="00340C35"/>
    <w:rsid w:val="003515AA"/>
    <w:rsid w:val="0035525F"/>
    <w:rsid w:val="00367E6A"/>
    <w:rsid w:val="00370E0F"/>
    <w:rsid w:val="00374106"/>
    <w:rsid w:val="003976D5"/>
    <w:rsid w:val="003A7D63"/>
    <w:rsid w:val="003D1DF3"/>
    <w:rsid w:val="003D46A7"/>
    <w:rsid w:val="003D6C68"/>
    <w:rsid w:val="003D76E4"/>
    <w:rsid w:val="00414425"/>
    <w:rsid w:val="004159D0"/>
    <w:rsid w:val="004249E7"/>
    <w:rsid w:val="00426DA1"/>
    <w:rsid w:val="00434168"/>
    <w:rsid w:val="00497A70"/>
    <w:rsid w:val="004D53B7"/>
    <w:rsid w:val="00543D5E"/>
    <w:rsid w:val="00571F41"/>
    <w:rsid w:val="0059410B"/>
    <w:rsid w:val="00595BE4"/>
    <w:rsid w:val="005B738F"/>
    <w:rsid w:val="005B76A3"/>
    <w:rsid w:val="005E5D1F"/>
    <w:rsid w:val="00603391"/>
    <w:rsid w:val="006049FD"/>
    <w:rsid w:val="00611D43"/>
    <w:rsid w:val="00612D48"/>
    <w:rsid w:val="00616B45"/>
    <w:rsid w:val="00630D9B"/>
    <w:rsid w:val="00631953"/>
    <w:rsid w:val="006439EC"/>
    <w:rsid w:val="006A047B"/>
    <w:rsid w:val="006B4590"/>
    <w:rsid w:val="006C340C"/>
    <w:rsid w:val="006E5FC7"/>
    <w:rsid w:val="0070347C"/>
    <w:rsid w:val="007176C1"/>
    <w:rsid w:val="00783F37"/>
    <w:rsid w:val="00790F2F"/>
    <w:rsid w:val="007A39B1"/>
    <w:rsid w:val="007A6076"/>
    <w:rsid w:val="007F528A"/>
    <w:rsid w:val="007F55CB"/>
    <w:rsid w:val="00812C1A"/>
    <w:rsid w:val="008317F6"/>
    <w:rsid w:val="00844750"/>
    <w:rsid w:val="008544D2"/>
    <w:rsid w:val="008B44C4"/>
    <w:rsid w:val="008B7879"/>
    <w:rsid w:val="008C2211"/>
    <w:rsid w:val="008D3919"/>
    <w:rsid w:val="008E7FAE"/>
    <w:rsid w:val="00907659"/>
    <w:rsid w:val="00911BF7"/>
    <w:rsid w:val="00926E87"/>
    <w:rsid w:val="00952FDB"/>
    <w:rsid w:val="00977EC8"/>
    <w:rsid w:val="009B18A3"/>
    <w:rsid w:val="009D3A8C"/>
    <w:rsid w:val="009E01B8"/>
    <w:rsid w:val="009E7956"/>
    <w:rsid w:val="00A1547F"/>
    <w:rsid w:val="00A2492E"/>
    <w:rsid w:val="00A31F07"/>
    <w:rsid w:val="00A41235"/>
    <w:rsid w:val="00A70163"/>
    <w:rsid w:val="00A80554"/>
    <w:rsid w:val="00AA72C3"/>
    <w:rsid w:val="00AB280C"/>
    <w:rsid w:val="00AC67A1"/>
    <w:rsid w:val="00AC7977"/>
    <w:rsid w:val="00AE352C"/>
    <w:rsid w:val="00B32E2D"/>
    <w:rsid w:val="00B4466B"/>
    <w:rsid w:val="00B61990"/>
    <w:rsid w:val="00B6602A"/>
    <w:rsid w:val="00B85D99"/>
    <w:rsid w:val="00B93E72"/>
    <w:rsid w:val="00B94939"/>
    <w:rsid w:val="00BF0556"/>
    <w:rsid w:val="00BF06B0"/>
    <w:rsid w:val="00C076AD"/>
    <w:rsid w:val="00C24B53"/>
    <w:rsid w:val="00C261F8"/>
    <w:rsid w:val="00C33100"/>
    <w:rsid w:val="00C940E9"/>
    <w:rsid w:val="00CB6267"/>
    <w:rsid w:val="00CD1A71"/>
    <w:rsid w:val="00CD1FBB"/>
    <w:rsid w:val="00D016B5"/>
    <w:rsid w:val="00D034F1"/>
    <w:rsid w:val="00D11B17"/>
    <w:rsid w:val="00D27D5E"/>
    <w:rsid w:val="00D60301"/>
    <w:rsid w:val="00D81377"/>
    <w:rsid w:val="00DA57D4"/>
    <w:rsid w:val="00DB4793"/>
    <w:rsid w:val="00DE01E3"/>
    <w:rsid w:val="00DE6D90"/>
    <w:rsid w:val="00DF002F"/>
    <w:rsid w:val="00DF7ED3"/>
    <w:rsid w:val="00E0244D"/>
    <w:rsid w:val="00E55D71"/>
    <w:rsid w:val="00E81E94"/>
    <w:rsid w:val="00E82607"/>
    <w:rsid w:val="00EA31C2"/>
    <w:rsid w:val="00EE2EA3"/>
    <w:rsid w:val="00F01516"/>
    <w:rsid w:val="00F57129"/>
    <w:rsid w:val="00FA5A79"/>
    <w:rsid w:val="00FA6422"/>
    <w:rsid w:val="00FB00CB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42645AAF-C216-4ADE-AFAE-8A520BEC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basedOn w:val="DefaultParagraphFont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0964C7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0964C7"/>
    <w:rPr>
      <w:color w:val="auto"/>
      <w:u w:val="none"/>
    </w:rPr>
  </w:style>
  <w:style w:type="paragraph" w:customStyle="1" w:styleId="Default">
    <w:name w:val="Default"/>
    <w:rsid w:val="007A3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msa.dot.gov/approvals-and-permits/hazmat/special-permits-lis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52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Editorial</dc:creator>
  <cp:lastModifiedBy>Editorial</cp:lastModifiedBy>
  <cp:revision>5</cp:revision>
  <cp:lastPrinted>2009-10-06T13:35:00Z</cp:lastPrinted>
  <dcterms:created xsi:type="dcterms:W3CDTF">2018-12-27T10:42:00Z</dcterms:created>
  <dcterms:modified xsi:type="dcterms:W3CDTF">2018-12-27T12:51:00Z</dcterms:modified>
</cp:coreProperties>
</file>