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42EC6" w:rsidRPr="00FF658F" w:rsidTr="001456F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42EC6" w:rsidRPr="00FF658F" w:rsidRDefault="00D42EC6" w:rsidP="001456FA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D42EC6" w:rsidRPr="00FF658F" w:rsidRDefault="00D42EC6" w:rsidP="003176D7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 w:rsidR="009373E0">
              <w:rPr>
                <w:b/>
                <w:sz w:val="40"/>
                <w:szCs w:val="40"/>
              </w:rPr>
              <w:t>30</w:t>
            </w:r>
          </w:p>
        </w:tc>
      </w:tr>
      <w:tr w:rsidR="00D42EC6" w:rsidRPr="00FF658F" w:rsidTr="001456FA">
        <w:trPr>
          <w:cantSplit/>
          <w:trHeight w:hRule="exact" w:val="3972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42EC6" w:rsidRDefault="00D42EC6" w:rsidP="001456FA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:rsidR="00D42EC6" w:rsidRPr="008F31D2" w:rsidRDefault="00D42EC6" w:rsidP="001456F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D42EC6" w:rsidRDefault="00D42EC6" w:rsidP="001456F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:rsidR="00D42EC6" w:rsidRPr="008F31D2" w:rsidRDefault="00D42EC6" w:rsidP="001456FA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D42EC6" w:rsidRPr="008D7010" w:rsidRDefault="00D42EC6" w:rsidP="001456F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Thirty-fifth </w:t>
            </w:r>
            <w:r w:rsidRPr="008D7010">
              <w:rPr>
                <w:b/>
              </w:rPr>
              <w:t>session</w:t>
            </w:r>
          </w:p>
          <w:p w:rsidR="00D42EC6" w:rsidRDefault="00D42EC6" w:rsidP="001456FA">
            <w:r w:rsidRPr="008D7010">
              <w:t xml:space="preserve">Geneva, </w:t>
            </w:r>
            <w:r>
              <w:t>26-30 August 2019</w:t>
            </w:r>
          </w:p>
          <w:p w:rsidR="00D42EC6" w:rsidRDefault="00D42EC6" w:rsidP="001456FA">
            <w:r>
              <w:t>Item 3 (</w:t>
            </w:r>
            <w:r w:rsidR="003176D7">
              <w:t>c</w:t>
            </w:r>
            <w:r>
              <w:t>) of the provisional agenda</w:t>
            </w:r>
          </w:p>
          <w:p w:rsidR="00D42EC6" w:rsidRPr="00FF658F" w:rsidRDefault="00D42EC6" w:rsidP="00D941CC">
            <w:pPr>
              <w:rPr>
                <w:b/>
              </w:rPr>
            </w:pPr>
            <w:r>
              <w:rPr>
                <w:b/>
                <w:bCs/>
              </w:rPr>
              <w:t>Implementation of the European Agreement concerning the International Carriage of Dangerous Goods by Inland Waterways (ADN):</w:t>
            </w:r>
            <w:r>
              <w:rPr>
                <w:b/>
                <w:bCs/>
              </w:rPr>
              <w:br/>
            </w:r>
            <w:r w:rsidR="004A3ADA">
              <w:rPr>
                <w:b/>
                <w:bCs/>
              </w:rPr>
              <w:t>i</w:t>
            </w:r>
            <w:r w:rsidR="00D941CC">
              <w:rPr>
                <w:b/>
                <w:bCs/>
              </w:rPr>
              <w:t>nterpretation</w:t>
            </w:r>
            <w:r w:rsidR="004A3ADA">
              <w:rPr>
                <w:b/>
                <w:bCs/>
              </w:rPr>
              <w:t xml:space="preserve"> </w:t>
            </w:r>
            <w:r w:rsidR="004A3ADA" w:rsidRPr="004A3ADA">
              <w:rPr>
                <w:b/>
                <w:bCs/>
              </w:rPr>
              <w:t>of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42EC6" w:rsidRPr="00FF658F" w:rsidRDefault="00D42EC6" w:rsidP="001456FA">
            <w:pPr>
              <w:spacing w:before="120"/>
              <w:rPr>
                <w:lang w:eastAsia="en-GB"/>
              </w:rPr>
            </w:pPr>
          </w:p>
          <w:p w:rsidR="00D42EC6" w:rsidRPr="00FF658F" w:rsidRDefault="004A3ADA" w:rsidP="003176D7">
            <w:pPr>
              <w:spacing w:before="120"/>
              <w:ind w:left="853"/>
            </w:pPr>
            <w:r>
              <w:t>15</w:t>
            </w:r>
            <w:r w:rsidR="003176D7">
              <w:t xml:space="preserve"> </w:t>
            </w:r>
            <w:r w:rsidR="00D42EC6">
              <w:t>August 2019</w:t>
            </w:r>
            <w:r w:rsidR="00D42EC6">
              <w:br/>
              <w:t>English</w:t>
            </w:r>
          </w:p>
        </w:tc>
      </w:tr>
    </w:tbl>
    <w:p w:rsidR="00D42EC6" w:rsidRDefault="00D42EC6" w:rsidP="006A1C45">
      <w:pPr>
        <w:pStyle w:val="HChG"/>
      </w:pPr>
      <w:r>
        <w:tab/>
      </w:r>
      <w:r>
        <w:tab/>
      </w:r>
      <w:r w:rsidR="003176D7">
        <w:t>Information on EN 60079-20</w:t>
      </w:r>
    </w:p>
    <w:p w:rsidR="00D42EC6" w:rsidRPr="0099218A" w:rsidRDefault="00D42EC6" w:rsidP="00D42EC6">
      <w:pPr>
        <w:pStyle w:val="H1G"/>
      </w:pPr>
      <w:r>
        <w:tab/>
      </w:r>
      <w:r>
        <w:tab/>
      </w:r>
      <w:r w:rsidR="006A1C45">
        <w:rPr>
          <w:bCs/>
        </w:rPr>
        <w:t xml:space="preserve">Transmitted by the </w:t>
      </w:r>
      <w:r w:rsidR="003176D7">
        <w:rPr>
          <w:bCs/>
        </w:rPr>
        <w:t>European Commission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A1C45" w:rsidTr="006E5E26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A1C45" w:rsidRDefault="006A1C45" w:rsidP="006E5E26">
            <w:pPr>
              <w:spacing w:line="240" w:lineRule="auto"/>
            </w:pPr>
          </w:p>
        </w:tc>
      </w:tr>
      <w:tr w:rsidR="006A1C45" w:rsidTr="006E5E26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A1C45" w:rsidRDefault="006A1C45" w:rsidP="009373E0">
            <w:pPr>
              <w:pStyle w:val="SingleTxtG"/>
              <w:tabs>
                <w:tab w:val="left" w:pos="1969"/>
              </w:tabs>
              <w:ind w:left="0" w:right="9"/>
            </w:pPr>
            <w:r w:rsidRPr="00A70193">
              <w:rPr>
                <w:b/>
                <w:bCs/>
              </w:rPr>
              <w:t>Related document:</w:t>
            </w:r>
            <w:r>
              <w:tab/>
            </w:r>
            <w:r w:rsidR="004A3ADA">
              <w:t>Informal document INF.</w:t>
            </w:r>
            <w:r w:rsidR="003176D7">
              <w:t>16</w:t>
            </w:r>
            <w:r w:rsidR="001A0C7F">
              <w:t xml:space="preserve"> </w:t>
            </w:r>
            <w:r w:rsidR="004A3ADA">
              <w:t xml:space="preserve">- </w:t>
            </w:r>
            <w:r w:rsidR="00D941CC">
              <w:t xml:space="preserve">Proposal of adaptation of ADN 8.3.5 </w:t>
            </w:r>
            <w:r w:rsidR="009373E0">
              <w:tab/>
            </w:r>
            <w:r w:rsidR="009373E0">
              <w:tab/>
            </w:r>
            <w:r w:rsidR="00D941CC">
              <w:t>“Work on board”</w:t>
            </w:r>
          </w:p>
        </w:tc>
      </w:tr>
      <w:tr w:rsidR="006A1C45" w:rsidTr="006E5E26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A1C45" w:rsidRDefault="006A1C45" w:rsidP="006E5E26">
            <w:pPr>
              <w:spacing w:line="240" w:lineRule="auto"/>
            </w:pPr>
          </w:p>
        </w:tc>
      </w:tr>
    </w:tbl>
    <w:p w:rsidR="00446FE5" w:rsidRDefault="004A3ADA" w:rsidP="004A3ADA">
      <w:pPr>
        <w:pStyle w:val="SingleTxtG"/>
        <w:spacing w:before="240"/>
      </w:pPr>
      <w:r>
        <w:t>1.</w:t>
      </w:r>
      <w:r>
        <w:tab/>
      </w:r>
      <w:r w:rsidR="005F69E6">
        <w:t xml:space="preserve">The Annex to the EBU/ESO informal document proposing an adaptation of ADN 8.3.5 “Work on board” mentions several times EN IEC 60079. </w:t>
      </w:r>
    </w:p>
    <w:p w:rsidR="005F69E6" w:rsidRPr="006E2E07" w:rsidRDefault="004A3ADA" w:rsidP="004A3ADA">
      <w:pPr>
        <w:pStyle w:val="SingleTxtG"/>
      </w:pPr>
      <w:r>
        <w:t>2.</w:t>
      </w:r>
      <w:r>
        <w:tab/>
      </w:r>
      <w:r w:rsidR="005F69E6">
        <w:t xml:space="preserve">The European Commission hereby wishes to inform the ADN Safety Committee </w:t>
      </w:r>
      <w:proofErr w:type="gramStart"/>
      <w:r w:rsidR="005F69E6">
        <w:t>with regard to</w:t>
      </w:r>
      <w:proofErr w:type="gramEnd"/>
      <w:r w:rsidR="005F69E6">
        <w:t xml:space="preserve"> the publication of the </w:t>
      </w:r>
      <w:r w:rsidR="005F69E6" w:rsidRPr="005F69E6">
        <w:t>Commission Implementing Decision (EU) 2019/1202 of 12</w:t>
      </w:r>
      <w:r w:rsidR="009373E0">
        <w:t> </w:t>
      </w:r>
      <w:r w:rsidR="005F69E6" w:rsidRPr="005F69E6">
        <w:t>July 2019 on the harmonised standards for equipment and protective systems intended for use in potentially explosive atmospheres drafted in support of Directive 2014/34/EU of the European Parliament and of the Council</w:t>
      </w:r>
      <w:r w:rsidR="005F69E6">
        <w:rPr>
          <w:rStyle w:val="FootnoteReference"/>
        </w:rPr>
        <w:footnoteReference w:id="2"/>
      </w:r>
      <w:r w:rsidR="005F69E6">
        <w:t xml:space="preserve">. </w:t>
      </w:r>
    </w:p>
    <w:p w:rsidR="006E2E07" w:rsidRPr="006E2E07" w:rsidRDefault="004A3ADA" w:rsidP="004A3ADA">
      <w:pPr>
        <w:pStyle w:val="SingleTxtG"/>
      </w:pPr>
      <w:r>
        <w:t>3.</w:t>
      </w:r>
      <w:r>
        <w:tab/>
      </w:r>
      <w:r w:rsidR="006E2E07">
        <w:t>T</w:t>
      </w:r>
      <w:r w:rsidR="006E2E07" w:rsidRPr="006E2E07">
        <w:t xml:space="preserve">he reference to harmonised standard ‘EN IEC 60079-0:2018, Explosive atmospheres </w:t>
      </w:r>
      <w:r w:rsidR="00624401">
        <w:t>–</w:t>
      </w:r>
      <w:r w:rsidR="006E2E07" w:rsidRPr="006E2E07">
        <w:t xml:space="preserve"> Part 0: Equipment </w:t>
      </w:r>
      <w:r w:rsidR="00624401">
        <w:t>–</w:t>
      </w:r>
      <w:r w:rsidR="006E2E07" w:rsidRPr="006E2E07">
        <w:t xml:space="preserve"> General requirements (IEC 60079-0:2017)’ drafted in support of Directive 2014/34/EU</w:t>
      </w:r>
      <w:r w:rsidR="006E2E07">
        <w:t xml:space="preserve"> </w:t>
      </w:r>
      <w:r w:rsidR="006E2E07" w:rsidRPr="006E2E07">
        <w:t xml:space="preserve">is </w:t>
      </w:r>
      <w:r w:rsidR="006E2E07">
        <w:t>thus</w:t>
      </w:r>
      <w:r w:rsidR="006E2E07" w:rsidRPr="006E2E07">
        <w:t xml:space="preserve"> published in the Officia</w:t>
      </w:r>
      <w:r w:rsidR="006E2E07">
        <w:t xml:space="preserve">l Journal of the European Union. </w:t>
      </w:r>
    </w:p>
    <w:p w:rsidR="006E2E07" w:rsidRPr="008D598B" w:rsidRDefault="004A3ADA" w:rsidP="004A3ADA">
      <w:pPr>
        <w:pStyle w:val="SingleTxtG"/>
      </w:pPr>
      <w:r>
        <w:t>4.</w:t>
      </w:r>
      <w:r>
        <w:tab/>
      </w:r>
      <w:r w:rsidR="006E2E07" w:rsidRPr="006E2E07">
        <w:t>The reference to harmonised standard ‘EN 60079-0:2012 + A11:2013, Explosive atmospheres - Part 0: Equipment - General requirements (IEC 60079-0:2011 Modified +</w:t>
      </w:r>
      <w:r w:rsidR="00624401">
        <w:t> </w:t>
      </w:r>
      <w:r w:rsidR="006E2E07" w:rsidRPr="006E2E07">
        <w:t>IS1:2013)’</w:t>
      </w:r>
      <w:r w:rsidR="006E2E07">
        <w:t xml:space="preserve"> is withdrawn</w:t>
      </w:r>
      <w:r w:rsidR="006E2E07" w:rsidRPr="006E2E07">
        <w:t xml:space="preserve"> as from 6 July 2021</w:t>
      </w:r>
      <w:r w:rsidR="006E2E07">
        <w:t xml:space="preserve">. </w:t>
      </w:r>
      <w:bookmarkStart w:id="0" w:name="_GoBack"/>
      <w:bookmarkEnd w:id="0"/>
    </w:p>
    <w:p w:rsidR="008D598B" w:rsidRPr="008D598B" w:rsidRDefault="004A3ADA" w:rsidP="004A3ADA">
      <w:pPr>
        <w:pStyle w:val="SingleTxtG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</w:r>
      <w:r w:rsidR="008D598B" w:rsidRPr="008D598B">
        <w:rPr>
          <w:szCs w:val="22"/>
        </w:rPr>
        <w:t>The Commission communication in the framework of the implementation of Directive 2014/34/EU of the European Parliament and of the Council on the harmonisation of the laws of the Member States relating to equipment and protective systems intended for use in potentially explosive atmospheres</w:t>
      </w:r>
      <w:r w:rsidR="008D598B" w:rsidRPr="008D598B">
        <w:rPr>
          <w:rStyle w:val="FootnoteReference"/>
          <w:sz w:val="22"/>
          <w:szCs w:val="22"/>
        </w:rPr>
        <w:footnoteReference w:id="3"/>
      </w:r>
      <w:r w:rsidR="008D598B" w:rsidRPr="008D598B">
        <w:rPr>
          <w:szCs w:val="22"/>
        </w:rPr>
        <w:t xml:space="preserve"> is still valid. </w:t>
      </w:r>
      <w:r w:rsidR="001A0C7F">
        <w:rPr>
          <w:szCs w:val="22"/>
        </w:rPr>
        <w:t xml:space="preserve">It mentions several </w:t>
      </w:r>
      <w:r w:rsidR="00880F82" w:rsidRPr="00880F82">
        <w:rPr>
          <w:szCs w:val="22"/>
        </w:rPr>
        <w:t>parts of the series of standards</w:t>
      </w:r>
      <w:r w:rsidR="001A0C7F">
        <w:rPr>
          <w:szCs w:val="22"/>
        </w:rPr>
        <w:t xml:space="preserve"> of the EN 60079, which might be relevant for the activity of the ADN Safety Committee. The dates of cessation of presumption of conformity of superseded standards</w:t>
      </w:r>
      <w:r w:rsidR="00695AE4">
        <w:rPr>
          <w:szCs w:val="22"/>
        </w:rPr>
        <w:t>/parts of the series of standards</w:t>
      </w:r>
      <w:r w:rsidR="001A0C7F">
        <w:rPr>
          <w:szCs w:val="22"/>
        </w:rPr>
        <w:t xml:space="preserve"> are also stipulated therein. </w:t>
      </w:r>
    </w:p>
    <w:p w:rsidR="003E5A90" w:rsidRPr="003E5A90" w:rsidRDefault="00A70193" w:rsidP="00A70193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5A90" w:rsidRPr="003E5A90" w:rsidSect="00822D40">
      <w:headerReference w:type="even" r:id="rId8"/>
      <w:footerReference w:type="even" r:id="rId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EC6" w:rsidRDefault="00D42EC6" w:rsidP="00F95C08">
      <w:pPr>
        <w:spacing w:line="240" w:lineRule="auto"/>
      </w:pPr>
    </w:p>
  </w:endnote>
  <w:endnote w:type="continuationSeparator" w:id="0">
    <w:p w:rsidR="00D42EC6" w:rsidRPr="00AC3823" w:rsidRDefault="00D42EC6" w:rsidP="00AC3823">
      <w:pPr>
        <w:pStyle w:val="Footer"/>
      </w:pPr>
    </w:p>
  </w:endnote>
  <w:endnote w:type="continuationNotice" w:id="1">
    <w:p w:rsidR="00D42EC6" w:rsidRDefault="00D42E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95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E0F" w:rsidRDefault="00C97E0F">
        <w:pPr>
          <w:pStyle w:val="Footer"/>
        </w:pPr>
        <w:r w:rsidRPr="00C97E0F">
          <w:rPr>
            <w:b/>
            <w:bCs/>
          </w:rPr>
          <w:fldChar w:fldCharType="begin"/>
        </w:r>
        <w:r w:rsidRPr="00C97E0F">
          <w:rPr>
            <w:b/>
            <w:bCs/>
          </w:rPr>
          <w:instrText xml:space="preserve"> PAGE   \* MERGEFORMAT </w:instrText>
        </w:r>
        <w:r w:rsidRPr="00C97E0F">
          <w:rPr>
            <w:b/>
            <w:bCs/>
          </w:rPr>
          <w:fldChar w:fldCharType="separate"/>
        </w:r>
        <w:r w:rsidR="003176D7">
          <w:rPr>
            <w:b/>
            <w:bCs/>
            <w:noProof/>
          </w:rPr>
          <w:t>2</w:t>
        </w:r>
        <w:r w:rsidRPr="00C97E0F">
          <w:rPr>
            <w:b/>
            <w:bCs/>
            <w:noProof/>
          </w:rPr>
          <w:fldChar w:fldCharType="end"/>
        </w:r>
      </w:p>
    </w:sdtContent>
  </w:sdt>
  <w:p w:rsidR="00C97E0F" w:rsidRDefault="00C9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EC6" w:rsidRPr="00AC3823" w:rsidRDefault="00D42EC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2EC6" w:rsidRPr="00AC3823" w:rsidRDefault="00D42EC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42EC6" w:rsidRPr="00AC3823" w:rsidRDefault="00D42EC6">
      <w:pPr>
        <w:spacing w:line="240" w:lineRule="auto"/>
        <w:rPr>
          <w:sz w:val="2"/>
          <w:szCs w:val="2"/>
        </w:rPr>
      </w:pPr>
    </w:p>
  </w:footnote>
  <w:footnote w:id="2">
    <w:p w:rsidR="005F69E6" w:rsidRPr="009373E0" w:rsidRDefault="009373E0">
      <w:pPr>
        <w:pStyle w:val="FootnoteText"/>
      </w:pPr>
      <w:r>
        <w:tab/>
      </w:r>
      <w:r w:rsidR="005F69E6">
        <w:rPr>
          <w:rStyle w:val="FootnoteReference"/>
        </w:rPr>
        <w:footnoteRef/>
      </w:r>
      <w:r>
        <w:tab/>
      </w:r>
      <w:hyperlink r:id="rId1" w:history="1">
        <w:r w:rsidR="005F69E6" w:rsidRPr="009373E0">
          <w:rPr>
            <w:rStyle w:val="Hyperlink"/>
            <w:i/>
            <w:color w:val="auto"/>
          </w:rPr>
          <w:t>OJ L 189, 15.7.2019, p. 71</w:t>
        </w:r>
      </w:hyperlink>
    </w:p>
  </w:footnote>
  <w:footnote w:id="3">
    <w:p w:rsidR="008D598B" w:rsidRDefault="009373E0">
      <w:pPr>
        <w:pStyle w:val="FootnoteText"/>
      </w:pPr>
      <w:r w:rsidRPr="009373E0">
        <w:tab/>
      </w:r>
      <w:r w:rsidR="008D598B" w:rsidRPr="009373E0">
        <w:rPr>
          <w:rStyle w:val="FootnoteReference"/>
        </w:rPr>
        <w:footnoteRef/>
      </w:r>
      <w:r w:rsidRPr="009373E0">
        <w:tab/>
      </w:r>
      <w:r w:rsidR="008D598B" w:rsidRPr="009373E0">
        <w:t xml:space="preserve"> </w:t>
      </w:r>
      <w:hyperlink r:id="rId2" w:history="1">
        <w:r w:rsidR="008D598B" w:rsidRPr="009373E0">
          <w:rPr>
            <w:rStyle w:val="Hyperlink"/>
            <w:i/>
            <w:color w:val="auto"/>
          </w:rPr>
          <w:t>OJ C 371, 12.10.2018, p. 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0F" w:rsidRPr="00C97E0F" w:rsidRDefault="00C97E0F">
    <w:pPr>
      <w:pStyle w:val="Header"/>
      <w:rPr>
        <w:lang w:val="fr-CH"/>
      </w:rPr>
    </w:pPr>
    <w:r>
      <w:rPr>
        <w:lang w:val="fr-CH"/>
      </w:rPr>
      <w:t>INF.29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3CE52EB"/>
    <w:multiLevelType w:val="hybridMultilevel"/>
    <w:tmpl w:val="AC1E7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A5762D2"/>
    <w:multiLevelType w:val="hybridMultilevel"/>
    <w:tmpl w:val="70981922"/>
    <w:lvl w:ilvl="0" w:tplc="035C459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42EC6"/>
    <w:rsid w:val="00017F94"/>
    <w:rsid w:val="00023842"/>
    <w:rsid w:val="000334F9"/>
    <w:rsid w:val="0007796D"/>
    <w:rsid w:val="000B7790"/>
    <w:rsid w:val="000C390E"/>
    <w:rsid w:val="00103267"/>
    <w:rsid w:val="00111F2F"/>
    <w:rsid w:val="00132D46"/>
    <w:rsid w:val="0014365E"/>
    <w:rsid w:val="0014660A"/>
    <w:rsid w:val="00150DB2"/>
    <w:rsid w:val="00176178"/>
    <w:rsid w:val="001A0C7F"/>
    <w:rsid w:val="001F525A"/>
    <w:rsid w:val="00223272"/>
    <w:rsid w:val="0024779E"/>
    <w:rsid w:val="00291F1D"/>
    <w:rsid w:val="0029407C"/>
    <w:rsid w:val="003176D7"/>
    <w:rsid w:val="00350987"/>
    <w:rsid w:val="00353ED5"/>
    <w:rsid w:val="00382A1F"/>
    <w:rsid w:val="00390178"/>
    <w:rsid w:val="003D1AD0"/>
    <w:rsid w:val="003E5A90"/>
    <w:rsid w:val="00446FE5"/>
    <w:rsid w:val="00452396"/>
    <w:rsid w:val="004A3ADA"/>
    <w:rsid w:val="004D1CEB"/>
    <w:rsid w:val="005505B7"/>
    <w:rsid w:val="00573BE5"/>
    <w:rsid w:val="00586ED3"/>
    <w:rsid w:val="00596AA9"/>
    <w:rsid w:val="005F69E6"/>
    <w:rsid w:val="006122C4"/>
    <w:rsid w:val="00624401"/>
    <w:rsid w:val="00695AE4"/>
    <w:rsid w:val="006A1C45"/>
    <w:rsid w:val="006E2C9B"/>
    <w:rsid w:val="006E2E07"/>
    <w:rsid w:val="0071601D"/>
    <w:rsid w:val="0076624F"/>
    <w:rsid w:val="00766CEC"/>
    <w:rsid w:val="0079527C"/>
    <w:rsid w:val="007A62E6"/>
    <w:rsid w:val="007D0A06"/>
    <w:rsid w:val="00804FD5"/>
    <w:rsid w:val="0080684C"/>
    <w:rsid w:val="00815502"/>
    <w:rsid w:val="00822D40"/>
    <w:rsid w:val="00871C75"/>
    <w:rsid w:val="008776DC"/>
    <w:rsid w:val="00880F82"/>
    <w:rsid w:val="008D598B"/>
    <w:rsid w:val="008F2A1D"/>
    <w:rsid w:val="0093050C"/>
    <w:rsid w:val="009373E0"/>
    <w:rsid w:val="00957790"/>
    <w:rsid w:val="009705C8"/>
    <w:rsid w:val="00A12AB5"/>
    <w:rsid w:val="00A70193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97E0F"/>
    <w:rsid w:val="00CB2A85"/>
    <w:rsid w:val="00CF3AE1"/>
    <w:rsid w:val="00D3439C"/>
    <w:rsid w:val="00D40AEB"/>
    <w:rsid w:val="00D42EC6"/>
    <w:rsid w:val="00D941CC"/>
    <w:rsid w:val="00DA22F4"/>
    <w:rsid w:val="00DB1831"/>
    <w:rsid w:val="00DD3BFD"/>
    <w:rsid w:val="00DF6678"/>
    <w:rsid w:val="00E22CF2"/>
    <w:rsid w:val="00E33F14"/>
    <w:rsid w:val="00E52D9F"/>
    <w:rsid w:val="00EA0659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838C7C"/>
  <w15:chartTrackingRefBased/>
  <w15:docId w15:val="{B6F910CE-71CE-4CFD-B8B6-C8A9CF3C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EC6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</w:pPr>
  </w:style>
  <w:style w:type="paragraph" w:customStyle="1" w:styleId="Default">
    <w:name w:val="Default"/>
    <w:rsid w:val="00D42EC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GB" w:eastAsia="de-DE"/>
    </w:rPr>
  </w:style>
  <w:style w:type="paragraph" w:styleId="ListParagraph">
    <w:name w:val="List Paragraph"/>
    <w:basedOn w:val="Normal"/>
    <w:uiPriority w:val="1"/>
    <w:qFormat/>
    <w:rsid w:val="00D42EC6"/>
    <w:pPr>
      <w:widowControl w:val="0"/>
      <w:suppressAutoHyphens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N/TXT/?uri=CELEX:52018XC1012(02)" TargetMode="External"/><Relationship Id="rId1" Type="http://schemas.openxmlformats.org/officeDocument/2006/relationships/hyperlink" Target="http://data.europa.eu/eli/dec_impl/2019/1202/o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7457-691C-48D1-B1F5-79039A2C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5</cp:revision>
  <cp:lastPrinted>2014-05-14T10:59:00Z</cp:lastPrinted>
  <dcterms:created xsi:type="dcterms:W3CDTF">2019-08-14T14:38:00Z</dcterms:created>
  <dcterms:modified xsi:type="dcterms:W3CDTF">2019-08-14T14:42:00Z</dcterms:modified>
</cp:coreProperties>
</file>