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97CFEE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D6D2801" w14:textId="77777777" w:rsidR="00F35BAF" w:rsidRPr="00DB58B5" w:rsidRDefault="00F35BAF" w:rsidP="00003D9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A4835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4F2CF9" w14:textId="77777777" w:rsidR="00F35BAF" w:rsidRPr="00DB58B5" w:rsidRDefault="00003D97" w:rsidP="00003D97">
            <w:pPr>
              <w:jc w:val="right"/>
            </w:pPr>
            <w:r w:rsidRPr="00003D97">
              <w:rPr>
                <w:sz w:val="40"/>
              </w:rPr>
              <w:t>ECE</w:t>
            </w:r>
            <w:r>
              <w:t>/TRANS/WP.11/2019/2</w:t>
            </w:r>
          </w:p>
        </w:tc>
      </w:tr>
      <w:tr w:rsidR="00F35BAF" w:rsidRPr="00DB58B5" w14:paraId="0AFE233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4B074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696DD57" wp14:editId="54B6361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64280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619080" w14:textId="77777777" w:rsidR="00F35BAF" w:rsidRDefault="00003D97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AF18286" w14:textId="77777777" w:rsidR="00003D97" w:rsidRDefault="00003D97" w:rsidP="00003D97">
            <w:pPr>
              <w:spacing w:line="240" w:lineRule="exact"/>
            </w:pPr>
            <w:r>
              <w:t>24 juillet 2019</w:t>
            </w:r>
          </w:p>
          <w:p w14:paraId="5E292A9D" w14:textId="77777777" w:rsidR="00003D97" w:rsidRDefault="00003D97" w:rsidP="00003D97">
            <w:pPr>
              <w:spacing w:line="240" w:lineRule="exact"/>
            </w:pPr>
            <w:r>
              <w:t>Français</w:t>
            </w:r>
          </w:p>
          <w:p w14:paraId="6C54C45D" w14:textId="77777777" w:rsidR="00003D97" w:rsidRPr="00DB58B5" w:rsidRDefault="00003D97" w:rsidP="00003D97">
            <w:pPr>
              <w:spacing w:line="240" w:lineRule="exact"/>
            </w:pPr>
            <w:r>
              <w:t>Original : anglais</w:t>
            </w:r>
          </w:p>
        </w:tc>
      </w:tr>
    </w:tbl>
    <w:p w14:paraId="529AB3F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3F6547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13DF67" w14:textId="77777777" w:rsidR="00003D97" w:rsidRPr="00813CCC" w:rsidRDefault="00003D97" w:rsidP="00526F2B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eastAsia="fr-FR"/>
        </w:rPr>
      </w:pPr>
      <w:r w:rsidRPr="00813CCC">
        <w:rPr>
          <w:rFonts w:eastAsia="Times New Roman"/>
          <w:b/>
          <w:sz w:val="24"/>
          <w:szCs w:val="24"/>
          <w:lang w:eastAsia="fr-FR"/>
        </w:rPr>
        <w:t>Groupe de travail du transport des denrées périssables</w:t>
      </w:r>
    </w:p>
    <w:p w14:paraId="516E61C3" w14:textId="77777777" w:rsidR="00003D97" w:rsidRPr="00813CCC" w:rsidRDefault="00003D97" w:rsidP="00526F2B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eastAsia="fr-FR"/>
        </w:rPr>
      </w:pPr>
      <w:r w:rsidRPr="00813CCC">
        <w:rPr>
          <w:rFonts w:eastAsia="Times New Roman"/>
          <w:b/>
          <w:lang w:eastAsia="fr-FR"/>
        </w:rPr>
        <w:t>Soixante-quinzième session</w:t>
      </w:r>
    </w:p>
    <w:p w14:paraId="12A94CAF" w14:textId="77777777" w:rsidR="00003D97" w:rsidRPr="00813CCC" w:rsidRDefault="00003D97" w:rsidP="00526F2B">
      <w:pPr>
        <w:kinsoku/>
        <w:overflowPunct/>
        <w:autoSpaceDE/>
        <w:autoSpaceDN/>
        <w:adjustRightInd/>
        <w:snapToGrid/>
        <w:rPr>
          <w:rFonts w:eastAsia="Times New Roman"/>
          <w:lang w:eastAsia="fr-FR"/>
        </w:rPr>
      </w:pPr>
      <w:r w:rsidRPr="00813CCC">
        <w:rPr>
          <w:rFonts w:eastAsia="Times New Roman"/>
          <w:lang w:eastAsia="fr-FR"/>
        </w:rPr>
        <w:t>Genève, 8-11 octobre 2019</w:t>
      </w:r>
    </w:p>
    <w:p w14:paraId="03EF9D0F" w14:textId="77777777" w:rsidR="00003D97" w:rsidRPr="00813CCC" w:rsidRDefault="00003D97" w:rsidP="00526F2B">
      <w:pPr>
        <w:kinsoku/>
        <w:overflowPunct/>
        <w:autoSpaceDE/>
        <w:autoSpaceDN/>
        <w:adjustRightInd/>
        <w:snapToGrid/>
        <w:rPr>
          <w:rFonts w:eastAsia="Times New Roman"/>
          <w:lang w:eastAsia="fr-FR"/>
        </w:rPr>
      </w:pPr>
      <w:r w:rsidRPr="00813CCC">
        <w:rPr>
          <w:rFonts w:eastAsia="Times New Roman"/>
          <w:lang w:eastAsia="fr-FR"/>
        </w:rPr>
        <w:t>Point 5 b) de l’ordre du jour provisoire</w:t>
      </w:r>
    </w:p>
    <w:p w14:paraId="1A6906DE" w14:textId="77777777" w:rsidR="00003D97" w:rsidRPr="00813CCC" w:rsidRDefault="00003D97" w:rsidP="00526F2B">
      <w:pPr>
        <w:kinsoku/>
        <w:overflowPunct/>
        <w:autoSpaceDE/>
        <w:autoSpaceDN/>
        <w:adjustRightInd/>
        <w:snapToGrid/>
        <w:spacing w:line="276" w:lineRule="auto"/>
        <w:rPr>
          <w:rFonts w:eastAsia="Times New Roman"/>
          <w:b/>
          <w:lang w:eastAsia="fr-FR"/>
        </w:rPr>
      </w:pPr>
      <w:r w:rsidRPr="00813CCC">
        <w:rPr>
          <w:rFonts w:eastAsia="Times New Roman"/>
          <w:b/>
          <w:lang w:eastAsia="fr-FR"/>
        </w:rPr>
        <w:t>Propositions d’amendements à l’ATP :</w:t>
      </w:r>
    </w:p>
    <w:p w14:paraId="4A3931E3" w14:textId="77777777" w:rsidR="00003D97" w:rsidRPr="00813CCC" w:rsidRDefault="00003D97" w:rsidP="00526F2B">
      <w:pPr>
        <w:kinsoku/>
        <w:overflowPunct/>
        <w:autoSpaceDE/>
        <w:autoSpaceDN/>
        <w:adjustRightInd/>
        <w:snapToGrid/>
        <w:spacing w:line="276" w:lineRule="auto"/>
        <w:rPr>
          <w:rFonts w:eastAsia="Times New Roman"/>
          <w:b/>
          <w:lang w:eastAsia="fr-FR"/>
        </w:rPr>
      </w:pPr>
      <w:r w:rsidRPr="00813CCC">
        <w:rPr>
          <w:rFonts w:eastAsia="Times New Roman"/>
          <w:b/>
          <w:lang w:eastAsia="fr-FR"/>
        </w:rPr>
        <w:t>Nouvelles propositions</w:t>
      </w:r>
    </w:p>
    <w:p w14:paraId="0F3BB6FF" w14:textId="77777777" w:rsidR="00003D97" w:rsidRPr="00003D97" w:rsidRDefault="00003D97" w:rsidP="00526F2B">
      <w:pPr>
        <w:pStyle w:val="HChG"/>
      </w:pPr>
      <w:r w:rsidRPr="00003D97">
        <w:rPr>
          <w:lang w:val="fr-FR"/>
        </w:rPr>
        <w:tab/>
      </w:r>
      <w:r w:rsidRPr="00003D97">
        <w:rPr>
          <w:lang w:val="fr-FR"/>
        </w:rPr>
        <w:tab/>
        <w:t>Proposition d’amendement à la section 2 de l’annexe 1 : définition des dispositifs thermiques</w:t>
      </w:r>
    </w:p>
    <w:p w14:paraId="00E80CD6" w14:textId="77777777" w:rsidR="00003D97" w:rsidRDefault="00003D97" w:rsidP="00526F2B">
      <w:pPr>
        <w:pStyle w:val="H1G"/>
        <w:rPr>
          <w:lang w:val="fr-FR"/>
        </w:rPr>
      </w:pPr>
      <w:r w:rsidRPr="00003D97">
        <w:rPr>
          <w:lang w:val="fr-FR"/>
        </w:rPr>
        <w:tab/>
      </w:r>
      <w:r w:rsidRPr="00003D97">
        <w:rPr>
          <w:lang w:val="fr-FR"/>
        </w:rPr>
        <w:tab/>
        <w:t>Communication du Gouvernement allemand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3400"/>
        <w:gridCol w:w="6228"/>
      </w:tblGrid>
      <w:tr w:rsidR="00526F2B" w14:paraId="1BF763C2" w14:textId="77777777" w:rsidTr="00526F2B">
        <w:trPr>
          <w:jc w:val="center"/>
        </w:trPr>
        <w:tc>
          <w:tcPr>
            <w:tcW w:w="9642" w:type="dxa"/>
            <w:gridSpan w:val="2"/>
            <w:shd w:val="clear" w:color="auto" w:fill="auto"/>
          </w:tcPr>
          <w:p w14:paraId="61412A0F" w14:textId="77777777" w:rsidR="00526F2B" w:rsidRDefault="00526F2B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526F2B" w14:paraId="3416844E" w14:textId="77777777" w:rsidTr="00526F2B">
        <w:trPr>
          <w:jc w:val="center"/>
        </w:trPr>
        <w:tc>
          <w:tcPr>
            <w:tcW w:w="34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BAD467" w14:textId="77777777" w:rsidR="00526F2B" w:rsidRDefault="00003D97">
            <w:pPr>
              <w:pStyle w:val="SingleTxtG"/>
              <w:ind w:right="27"/>
            </w:pPr>
            <w:r w:rsidRPr="00003D97">
              <w:rPr>
                <w:b/>
                <w:bCs/>
                <w:lang w:val="fr-FR"/>
              </w:rPr>
              <w:t>Résumé analytique</w:t>
            </w:r>
            <w:r w:rsidR="00526F2B">
              <w:rPr>
                <w:b/>
                <w:bCs/>
                <w:lang w:val="fr-FR"/>
              </w:rPr>
              <w:t> </w:t>
            </w:r>
            <w:r w:rsidRPr="00003D97">
              <w:rPr>
                <w:b/>
                <w:bCs/>
                <w:lang w:val="fr-FR"/>
              </w:rPr>
              <w:t>:</w:t>
            </w:r>
          </w:p>
        </w:tc>
        <w:tc>
          <w:tcPr>
            <w:tcW w:w="6238" w:type="dxa"/>
            <w:tcBorders>
              <w:left w:val="nil"/>
            </w:tcBorders>
            <w:shd w:val="clear" w:color="auto" w:fill="auto"/>
          </w:tcPr>
          <w:p w14:paraId="267365D6" w14:textId="77777777" w:rsidR="00526F2B" w:rsidRDefault="00003D97" w:rsidP="00082266">
            <w:pPr>
              <w:pStyle w:val="SingleTxtG"/>
              <w:ind w:left="136"/>
            </w:pPr>
            <w:r w:rsidRPr="00003D97">
              <w:rPr>
                <w:lang w:val="fr-FR"/>
              </w:rPr>
              <w:t>Dans l’ATP, le terme « dispositifs » est employé pour désigner les « dispositifs thermiques » qui peuvent être source de froid ou de chaleur. Toutefois, une définition appropriée fait défaut et devrait donc être ajoutée.</w:t>
            </w:r>
          </w:p>
        </w:tc>
      </w:tr>
      <w:tr w:rsidR="00526F2B" w14:paraId="632C30D0" w14:textId="77777777" w:rsidTr="00526F2B">
        <w:trPr>
          <w:jc w:val="center"/>
        </w:trPr>
        <w:tc>
          <w:tcPr>
            <w:tcW w:w="34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DE7BB3" w14:textId="77777777" w:rsidR="00526F2B" w:rsidRDefault="00003D97" w:rsidP="00526F2B">
            <w:pPr>
              <w:pStyle w:val="SingleTxtG"/>
              <w:ind w:right="-7"/>
            </w:pPr>
            <w:r w:rsidRPr="00003D97">
              <w:rPr>
                <w:b/>
                <w:bCs/>
                <w:lang w:val="fr-FR"/>
              </w:rPr>
              <w:t>Mesure à prendre :</w:t>
            </w:r>
          </w:p>
        </w:tc>
        <w:tc>
          <w:tcPr>
            <w:tcW w:w="6238" w:type="dxa"/>
            <w:tcBorders>
              <w:left w:val="nil"/>
            </w:tcBorders>
            <w:shd w:val="clear" w:color="auto" w:fill="auto"/>
          </w:tcPr>
          <w:p w14:paraId="183C7A4A" w14:textId="77777777" w:rsidR="00526F2B" w:rsidRDefault="00003D97" w:rsidP="00082266">
            <w:pPr>
              <w:pStyle w:val="SingleTxtG"/>
              <w:ind w:left="136"/>
            </w:pPr>
            <w:r w:rsidRPr="00003D97">
              <w:rPr>
                <w:lang w:val="fr-FR"/>
              </w:rPr>
              <w:t xml:space="preserve">Modifier </w:t>
            </w:r>
            <w:r w:rsidR="00813CCC" w:rsidRPr="00813CCC">
              <w:rPr>
                <w:lang w:val="fr-FR"/>
              </w:rPr>
              <w:t>la section 2 de l’annexe 1</w:t>
            </w:r>
            <w:r w:rsidRPr="00003D97">
              <w:rPr>
                <w:lang w:val="fr-FR"/>
              </w:rPr>
              <w:t>.</w:t>
            </w:r>
          </w:p>
        </w:tc>
      </w:tr>
      <w:tr w:rsidR="00526F2B" w14:paraId="706730C0" w14:textId="77777777" w:rsidTr="00526F2B">
        <w:trPr>
          <w:jc w:val="center"/>
        </w:trPr>
        <w:tc>
          <w:tcPr>
            <w:tcW w:w="34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5983CA" w14:textId="77777777" w:rsidR="00526F2B" w:rsidRDefault="00003D97" w:rsidP="00526F2B">
            <w:pPr>
              <w:pStyle w:val="SingleTxtG"/>
              <w:ind w:right="0"/>
            </w:pPr>
            <w:r w:rsidRPr="00003D97">
              <w:rPr>
                <w:b/>
                <w:bCs/>
                <w:lang w:val="fr-FR"/>
              </w:rPr>
              <w:t>Documents de référence :</w:t>
            </w:r>
          </w:p>
        </w:tc>
        <w:tc>
          <w:tcPr>
            <w:tcW w:w="6238" w:type="dxa"/>
            <w:tcBorders>
              <w:left w:val="nil"/>
            </w:tcBorders>
            <w:shd w:val="clear" w:color="auto" w:fill="auto"/>
          </w:tcPr>
          <w:p w14:paraId="5221A942" w14:textId="77777777" w:rsidR="00526F2B" w:rsidRPr="00526F2B" w:rsidRDefault="00003D97" w:rsidP="00082266">
            <w:pPr>
              <w:pStyle w:val="SingleTxtG"/>
              <w:ind w:left="136"/>
              <w:rPr>
                <w:spacing w:val="-2"/>
              </w:rPr>
            </w:pPr>
            <w:r w:rsidRPr="00003D97">
              <w:rPr>
                <w:spacing w:val="-2"/>
                <w:lang w:val="fr-FR"/>
              </w:rPr>
              <w:t>ECE/TRANS/WP.11/2018/21 et ECE/TRANS/WP.11/2015/17</w:t>
            </w:r>
          </w:p>
        </w:tc>
      </w:tr>
      <w:tr w:rsidR="00526F2B" w14:paraId="699B1FA2" w14:textId="77777777" w:rsidTr="00526F2B">
        <w:trPr>
          <w:jc w:val="center"/>
        </w:trPr>
        <w:tc>
          <w:tcPr>
            <w:tcW w:w="9642" w:type="dxa"/>
            <w:gridSpan w:val="2"/>
            <w:shd w:val="clear" w:color="auto" w:fill="auto"/>
          </w:tcPr>
          <w:p w14:paraId="41C6258B" w14:textId="77777777" w:rsidR="00526F2B" w:rsidRDefault="00526F2B"/>
        </w:tc>
      </w:tr>
    </w:tbl>
    <w:p w14:paraId="7F197765" w14:textId="77777777" w:rsidR="00003D97" w:rsidRPr="00003D97" w:rsidRDefault="00003D97" w:rsidP="00526F2B">
      <w:pPr>
        <w:pStyle w:val="HChG"/>
      </w:pPr>
      <w:r w:rsidRPr="00003D97">
        <w:rPr>
          <w:lang w:val="fr-FR"/>
        </w:rPr>
        <w:tab/>
      </w:r>
      <w:r w:rsidRPr="00003D97">
        <w:rPr>
          <w:lang w:val="fr-FR"/>
        </w:rPr>
        <w:tab/>
        <w:t>Introduction</w:t>
      </w:r>
    </w:p>
    <w:p w14:paraId="0F064CF7" w14:textId="77777777" w:rsidR="00003D97" w:rsidRPr="00003D97" w:rsidRDefault="00003D97" w:rsidP="00003D97">
      <w:pPr>
        <w:pStyle w:val="SingleTxtG"/>
      </w:pPr>
      <w:r w:rsidRPr="00003D97">
        <w:rPr>
          <w:lang w:val="fr-FR"/>
        </w:rPr>
        <w:t>1.</w:t>
      </w:r>
      <w:r w:rsidRPr="00003D97">
        <w:rPr>
          <w:lang w:val="fr-FR"/>
        </w:rPr>
        <w:tab/>
        <w:t>Dans l’ATP, le terme « dispositifs » est employé pour désigner les « dispositifs thermiques » qui peuvent être source de froid ou de chaleur. Toutefois, une définition appropriée fait défaut.</w:t>
      </w:r>
    </w:p>
    <w:p w14:paraId="7FC3492A" w14:textId="77777777" w:rsidR="00003D97" w:rsidRPr="00003D97" w:rsidRDefault="00003D97" w:rsidP="00003D97">
      <w:pPr>
        <w:pStyle w:val="SingleTxtG"/>
      </w:pPr>
      <w:r w:rsidRPr="00003D97">
        <w:rPr>
          <w:lang w:val="fr-FR"/>
        </w:rPr>
        <w:t>2.</w:t>
      </w:r>
      <w:r w:rsidRPr="00003D97">
        <w:rPr>
          <w:lang w:val="fr-FR"/>
        </w:rPr>
        <w:tab/>
        <w:t>L’absence de définition a déjà donné lieu à des malentendus. Les dispositifs ont, par exemple, été traités comme des engins alors que ces derniers sont clairement définis comme une caisse isotherme avec ou sans dispositif thermique.</w:t>
      </w:r>
    </w:p>
    <w:p w14:paraId="01DABB42" w14:textId="77777777" w:rsidR="00003D97" w:rsidRPr="00003D97" w:rsidRDefault="00003D97" w:rsidP="00003D97">
      <w:pPr>
        <w:pStyle w:val="SingleTxtG"/>
      </w:pPr>
      <w:r w:rsidRPr="00003D97">
        <w:rPr>
          <w:lang w:val="fr-FR"/>
        </w:rPr>
        <w:t>3.</w:t>
      </w:r>
      <w:r w:rsidRPr="00003D97">
        <w:rPr>
          <w:lang w:val="fr-FR"/>
        </w:rPr>
        <w:tab/>
        <w:t>Il convient donc d’ajouter une définition appropriée du terme « dispositifs » dans l’ATP.</w:t>
      </w:r>
    </w:p>
    <w:p w14:paraId="3F4E9523" w14:textId="77777777" w:rsidR="00003D97" w:rsidRPr="00003D97" w:rsidRDefault="00003D97" w:rsidP="00526F2B">
      <w:pPr>
        <w:pStyle w:val="HChG"/>
      </w:pPr>
      <w:r w:rsidRPr="00003D97">
        <w:rPr>
          <w:lang w:val="fr-FR"/>
        </w:rPr>
        <w:lastRenderedPageBreak/>
        <w:tab/>
      </w:r>
      <w:r w:rsidRPr="00003D97">
        <w:rPr>
          <w:lang w:val="fr-FR"/>
        </w:rPr>
        <w:tab/>
        <w:t>Proposition d’amendement</w:t>
      </w:r>
    </w:p>
    <w:p w14:paraId="44BC4878" w14:textId="77777777" w:rsidR="00003D97" w:rsidRPr="00003D97" w:rsidRDefault="00003D97" w:rsidP="00003D97">
      <w:pPr>
        <w:pStyle w:val="SingleTxtG"/>
      </w:pPr>
      <w:r w:rsidRPr="00003D97">
        <w:rPr>
          <w:lang w:val="fr-FR"/>
        </w:rPr>
        <w:t>4.</w:t>
      </w:r>
      <w:r w:rsidRPr="00003D97">
        <w:rPr>
          <w:lang w:val="fr-FR"/>
        </w:rPr>
        <w:tab/>
        <w:t>Insérer une nouvelle section 2, qui se lit comme suit</w:t>
      </w:r>
      <w:r w:rsidR="00526F2B">
        <w:rPr>
          <w:lang w:val="fr-FR"/>
        </w:rPr>
        <w:t> </w:t>
      </w:r>
      <w:r w:rsidRPr="00003D97">
        <w:rPr>
          <w:lang w:val="fr-FR"/>
        </w:rPr>
        <w:t>:</w:t>
      </w:r>
    </w:p>
    <w:p w14:paraId="0634EB87" w14:textId="77777777" w:rsidR="00003D97" w:rsidRPr="00003D97" w:rsidRDefault="00003D97" w:rsidP="00913470">
      <w:pPr>
        <w:pStyle w:val="SingleTxtG"/>
        <w:ind w:left="2268" w:hanging="567"/>
        <w:rPr>
          <w:b/>
          <w:bCs/>
        </w:rPr>
      </w:pPr>
      <w:r w:rsidRPr="00003D97">
        <w:rPr>
          <w:lang w:val="fr-FR"/>
        </w:rPr>
        <w:t>2.</w:t>
      </w:r>
      <w:r w:rsidRPr="00003D97">
        <w:rPr>
          <w:lang w:val="fr-FR"/>
        </w:rPr>
        <w:tab/>
      </w:r>
      <w:r w:rsidRPr="00003D97">
        <w:rPr>
          <w:b/>
          <w:bCs/>
          <w:u w:val="single"/>
          <w:lang w:val="fr-FR"/>
        </w:rPr>
        <w:t>Dispositifs thermiques</w:t>
      </w:r>
      <w:r w:rsidRPr="00913470">
        <w:rPr>
          <w:b/>
          <w:bCs/>
          <w:lang w:val="fr-FR"/>
        </w:rPr>
        <w:t xml:space="preserve"> </w:t>
      </w:r>
      <w:r w:rsidRPr="00003D97">
        <w:rPr>
          <w:b/>
          <w:bCs/>
          <w:lang w:val="fr-FR"/>
        </w:rPr>
        <w:t>: appareils de réfrigération et/ou de chauffage tels que</w:t>
      </w:r>
      <w:r w:rsidR="00913470">
        <w:rPr>
          <w:b/>
          <w:bCs/>
          <w:lang w:val="fr-FR"/>
        </w:rPr>
        <w:t> </w:t>
      </w:r>
      <w:r w:rsidR="00913470">
        <w:rPr>
          <w:lang w:val="fr-FR"/>
        </w:rPr>
        <w:t>:</w:t>
      </w:r>
    </w:p>
    <w:p w14:paraId="373C5BE8" w14:textId="77777777" w:rsidR="00003D97" w:rsidRPr="00526F2B" w:rsidRDefault="00003D97" w:rsidP="001D44AB">
      <w:pPr>
        <w:pStyle w:val="Bullet2G"/>
        <w:numPr>
          <w:ilvl w:val="0"/>
          <w:numId w:val="14"/>
        </w:numPr>
        <w:tabs>
          <w:tab w:val="clear" w:pos="1701"/>
          <w:tab w:val="left" w:pos="2268"/>
        </w:tabs>
        <w:kinsoku/>
        <w:overflowPunct/>
        <w:autoSpaceDE/>
        <w:autoSpaceDN/>
        <w:adjustRightInd/>
        <w:snapToGrid/>
        <w:ind w:left="2268"/>
        <w:rPr>
          <w:b/>
        </w:rPr>
      </w:pPr>
      <w:proofErr w:type="gramStart"/>
      <w:r w:rsidRPr="00526F2B">
        <w:rPr>
          <w:b/>
        </w:rPr>
        <w:t>les</w:t>
      </w:r>
      <w:proofErr w:type="gramEnd"/>
      <w:r w:rsidRPr="00526F2B">
        <w:rPr>
          <w:b/>
        </w:rPr>
        <w:t xml:space="preserve"> engins réfrigérants,</w:t>
      </w:r>
    </w:p>
    <w:p w14:paraId="219EA029" w14:textId="77777777" w:rsidR="00003D97" w:rsidRPr="00526F2B" w:rsidRDefault="00003D97" w:rsidP="001D44AB">
      <w:pPr>
        <w:pStyle w:val="Bullet2G"/>
        <w:numPr>
          <w:ilvl w:val="0"/>
          <w:numId w:val="14"/>
        </w:numPr>
        <w:tabs>
          <w:tab w:val="clear" w:pos="1701"/>
          <w:tab w:val="left" w:pos="2268"/>
        </w:tabs>
        <w:kinsoku/>
        <w:overflowPunct/>
        <w:autoSpaceDE/>
        <w:autoSpaceDN/>
        <w:adjustRightInd/>
        <w:snapToGrid/>
        <w:ind w:left="2268"/>
        <w:rPr>
          <w:b/>
        </w:rPr>
      </w:pPr>
      <w:proofErr w:type="gramStart"/>
      <w:r w:rsidRPr="00526F2B">
        <w:rPr>
          <w:b/>
        </w:rPr>
        <w:t>les</w:t>
      </w:r>
      <w:proofErr w:type="gramEnd"/>
      <w:r w:rsidRPr="00526F2B">
        <w:rPr>
          <w:b/>
        </w:rPr>
        <w:t xml:space="preserve"> engins frigorifiques,</w:t>
      </w:r>
    </w:p>
    <w:p w14:paraId="5D73064E" w14:textId="77777777" w:rsidR="00003D97" w:rsidRPr="00526F2B" w:rsidRDefault="00003D97" w:rsidP="001D44AB">
      <w:pPr>
        <w:pStyle w:val="Bullet2G"/>
        <w:numPr>
          <w:ilvl w:val="0"/>
          <w:numId w:val="14"/>
        </w:numPr>
        <w:tabs>
          <w:tab w:val="clear" w:pos="1701"/>
          <w:tab w:val="left" w:pos="2268"/>
        </w:tabs>
        <w:kinsoku/>
        <w:overflowPunct/>
        <w:autoSpaceDE/>
        <w:autoSpaceDN/>
        <w:adjustRightInd/>
        <w:snapToGrid/>
        <w:ind w:left="2268"/>
        <w:rPr>
          <w:b/>
        </w:rPr>
      </w:pPr>
      <w:proofErr w:type="gramStart"/>
      <w:r w:rsidRPr="00526F2B">
        <w:rPr>
          <w:b/>
        </w:rPr>
        <w:t>les</w:t>
      </w:r>
      <w:proofErr w:type="gramEnd"/>
      <w:r w:rsidRPr="00526F2B">
        <w:rPr>
          <w:b/>
        </w:rPr>
        <w:t xml:space="preserve"> engins frigorifiques et calorifiques,</w:t>
      </w:r>
    </w:p>
    <w:p w14:paraId="20C5CE22" w14:textId="77777777" w:rsidR="00003D97" w:rsidRPr="00526F2B" w:rsidRDefault="00003D97" w:rsidP="001D44AB">
      <w:pPr>
        <w:pStyle w:val="Bullet2G"/>
        <w:numPr>
          <w:ilvl w:val="0"/>
          <w:numId w:val="14"/>
        </w:numPr>
        <w:tabs>
          <w:tab w:val="clear" w:pos="1701"/>
          <w:tab w:val="left" w:pos="2268"/>
        </w:tabs>
        <w:kinsoku/>
        <w:overflowPunct/>
        <w:autoSpaceDE/>
        <w:autoSpaceDN/>
        <w:adjustRightInd/>
        <w:snapToGrid/>
        <w:ind w:left="2268"/>
        <w:rPr>
          <w:b/>
        </w:rPr>
      </w:pPr>
      <w:proofErr w:type="gramStart"/>
      <w:r w:rsidRPr="00526F2B">
        <w:rPr>
          <w:b/>
        </w:rPr>
        <w:t>les</w:t>
      </w:r>
      <w:proofErr w:type="gramEnd"/>
      <w:r w:rsidRPr="00526F2B">
        <w:rPr>
          <w:b/>
        </w:rPr>
        <w:t xml:space="preserve"> engins calorifiques,</w:t>
      </w:r>
    </w:p>
    <w:p w14:paraId="5F81A220" w14:textId="77777777" w:rsidR="00003D97" w:rsidRPr="00526F2B" w:rsidRDefault="00003D97" w:rsidP="001D44AB">
      <w:pPr>
        <w:pStyle w:val="Bullet2G"/>
        <w:numPr>
          <w:ilvl w:val="0"/>
          <w:numId w:val="14"/>
        </w:numPr>
        <w:tabs>
          <w:tab w:val="clear" w:pos="1701"/>
          <w:tab w:val="left" w:pos="2268"/>
        </w:tabs>
        <w:kinsoku/>
        <w:overflowPunct/>
        <w:autoSpaceDE/>
        <w:autoSpaceDN/>
        <w:adjustRightInd/>
        <w:snapToGrid/>
        <w:ind w:left="2268"/>
        <w:rPr>
          <w:b/>
        </w:rPr>
      </w:pPr>
      <w:proofErr w:type="gramStart"/>
      <w:r w:rsidRPr="00526F2B">
        <w:rPr>
          <w:b/>
        </w:rPr>
        <w:t>les</w:t>
      </w:r>
      <w:proofErr w:type="gramEnd"/>
      <w:r w:rsidRPr="00526F2B">
        <w:rPr>
          <w:b/>
        </w:rPr>
        <w:t xml:space="preserve"> plaques eutectiques</w:t>
      </w:r>
      <w:r w:rsidR="006301A0">
        <w:rPr>
          <w:b/>
        </w:rPr>
        <w:t>,</w:t>
      </w:r>
      <w:r w:rsidRPr="00526F2B">
        <w:rPr>
          <w:b/>
        </w:rPr>
        <w:t xml:space="preserve"> ou </w:t>
      </w:r>
    </w:p>
    <w:p w14:paraId="0B35932C" w14:textId="77777777" w:rsidR="00003D97" w:rsidRPr="001D44AB" w:rsidRDefault="00003D97" w:rsidP="001D44AB">
      <w:pPr>
        <w:pStyle w:val="Bullet2G"/>
        <w:numPr>
          <w:ilvl w:val="0"/>
          <w:numId w:val="14"/>
        </w:numPr>
        <w:tabs>
          <w:tab w:val="clear" w:pos="1701"/>
          <w:tab w:val="left" w:pos="2268"/>
        </w:tabs>
        <w:kinsoku/>
        <w:overflowPunct/>
        <w:autoSpaceDE/>
        <w:autoSpaceDN/>
        <w:adjustRightInd/>
        <w:snapToGrid/>
        <w:ind w:left="2268"/>
        <w:rPr>
          <w:b/>
        </w:rPr>
      </w:pPr>
      <w:proofErr w:type="gramStart"/>
      <w:r w:rsidRPr="00526F2B">
        <w:rPr>
          <w:b/>
        </w:rPr>
        <w:t>les</w:t>
      </w:r>
      <w:proofErr w:type="gramEnd"/>
      <w:r w:rsidRPr="00526F2B">
        <w:rPr>
          <w:b/>
        </w:rPr>
        <w:t xml:space="preserve"> systèmes à gaz liquéfié.</w:t>
      </w:r>
    </w:p>
    <w:p w14:paraId="215BC7E4" w14:textId="77777777" w:rsidR="00003D97" w:rsidRPr="00003D97" w:rsidRDefault="00003D97" w:rsidP="00003D97">
      <w:pPr>
        <w:pStyle w:val="SingleTxtG"/>
      </w:pPr>
      <w:r w:rsidRPr="00003D97">
        <w:rPr>
          <w:lang w:val="fr-FR"/>
        </w:rPr>
        <w:t>5.</w:t>
      </w:r>
      <w:r w:rsidRPr="00003D97">
        <w:rPr>
          <w:lang w:val="fr-FR"/>
        </w:rPr>
        <w:tab/>
        <w:t>Renuméroter les sections suivantes en conséquence :</w:t>
      </w:r>
    </w:p>
    <w:p w14:paraId="5910458D" w14:textId="77777777" w:rsidR="00003D97" w:rsidRPr="00003D97" w:rsidRDefault="00003D97" w:rsidP="001D44AB">
      <w:pPr>
        <w:pStyle w:val="SingleTxtG"/>
        <w:ind w:firstLine="567"/>
        <w:rPr>
          <w:b/>
        </w:rPr>
      </w:pPr>
      <w:r w:rsidRPr="00003D97">
        <w:rPr>
          <w:lang w:val="fr-FR"/>
        </w:rPr>
        <w:t>3.</w:t>
      </w:r>
      <w:r w:rsidRPr="00003D97">
        <w:rPr>
          <w:lang w:val="fr-FR"/>
        </w:rPr>
        <w:tab/>
      </w:r>
      <w:r w:rsidRPr="00003D97">
        <w:rPr>
          <w:b/>
          <w:bCs/>
          <w:u w:val="single"/>
          <w:lang w:val="fr-FR"/>
        </w:rPr>
        <w:t>Engin réfrigérant.</w:t>
      </w:r>
    </w:p>
    <w:p w14:paraId="60491640" w14:textId="77777777" w:rsidR="00003D97" w:rsidRPr="00003D97" w:rsidRDefault="00003D97" w:rsidP="001D44AB">
      <w:pPr>
        <w:pStyle w:val="SingleTxtG"/>
        <w:ind w:firstLine="567"/>
        <w:rPr>
          <w:b/>
          <w:u w:val="single"/>
        </w:rPr>
      </w:pPr>
      <w:r w:rsidRPr="00003D97">
        <w:rPr>
          <w:lang w:val="fr-FR"/>
        </w:rPr>
        <w:t>4.</w:t>
      </w:r>
      <w:r w:rsidRPr="00003D97">
        <w:rPr>
          <w:lang w:val="fr-FR"/>
        </w:rPr>
        <w:tab/>
      </w:r>
      <w:r w:rsidRPr="00003D97">
        <w:rPr>
          <w:b/>
          <w:bCs/>
          <w:u w:val="single"/>
          <w:lang w:val="fr-FR"/>
        </w:rPr>
        <w:t>Engin frigorifique.</w:t>
      </w:r>
    </w:p>
    <w:p w14:paraId="6EE781E5" w14:textId="77777777" w:rsidR="00003D97" w:rsidRPr="00003D97" w:rsidRDefault="00003D97" w:rsidP="00913470">
      <w:pPr>
        <w:pStyle w:val="SingleTxtG"/>
        <w:ind w:left="1701"/>
      </w:pPr>
      <w:r w:rsidRPr="00003D97">
        <w:rPr>
          <w:lang w:val="fr-FR"/>
        </w:rPr>
        <w:t>etc.</w:t>
      </w:r>
    </w:p>
    <w:p w14:paraId="426F1691" w14:textId="77777777" w:rsidR="00003D97" w:rsidRDefault="00003D97" w:rsidP="00526F2B">
      <w:pPr>
        <w:pStyle w:val="HChG"/>
        <w:rPr>
          <w:lang w:val="fr-FR"/>
        </w:rPr>
      </w:pPr>
      <w:r w:rsidRPr="00003D97">
        <w:rPr>
          <w:lang w:val="fr-FR"/>
        </w:rPr>
        <w:tab/>
      </w:r>
      <w:r w:rsidRPr="00003D97">
        <w:rPr>
          <w:lang w:val="fr-FR"/>
        </w:rPr>
        <w:tab/>
        <w:t>Incidence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528"/>
      </w:tblGrid>
      <w:tr w:rsidR="00003D97" w:rsidRPr="004E14B8" w14:paraId="4D51D4FC" w14:textId="77777777" w:rsidTr="00526F2B">
        <w:tc>
          <w:tcPr>
            <w:tcW w:w="1985" w:type="dxa"/>
            <w:shd w:val="clear" w:color="auto" w:fill="auto"/>
          </w:tcPr>
          <w:p w14:paraId="3AC19390" w14:textId="77777777" w:rsidR="00003D97" w:rsidRPr="004E14B8" w:rsidRDefault="00003D97" w:rsidP="004E14B8">
            <w:pPr>
              <w:kinsoku/>
              <w:overflowPunct/>
              <w:autoSpaceDE/>
              <w:autoSpaceDN/>
              <w:adjustRightInd/>
              <w:snapToGrid/>
              <w:spacing w:after="120"/>
              <w:jc w:val="both"/>
              <w:rPr>
                <w:rFonts w:eastAsia="Times New Roman"/>
                <w:lang w:val="en-GB" w:eastAsia="fr-FR"/>
              </w:rPr>
            </w:pPr>
            <w:proofErr w:type="spellStart"/>
            <w:proofErr w:type="gramStart"/>
            <w:r w:rsidRPr="004E14B8">
              <w:rPr>
                <w:rFonts w:eastAsia="Times New Roman"/>
                <w:lang w:val="en-GB" w:eastAsia="fr-FR"/>
              </w:rPr>
              <w:t>Coût</w:t>
            </w:r>
            <w:proofErr w:type="spellEnd"/>
            <w:r w:rsidRPr="004E14B8">
              <w:rPr>
                <w:rFonts w:eastAsia="Times New Roman"/>
                <w:lang w:val="en-GB" w:eastAsia="fr-FR"/>
              </w:rPr>
              <w:t xml:space="preserve">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2F46E1D1" w14:textId="77777777" w:rsidR="00003D97" w:rsidRPr="004E14B8" w:rsidRDefault="00003D97" w:rsidP="004E14B8">
            <w:pPr>
              <w:kinsoku/>
              <w:overflowPunct/>
              <w:autoSpaceDE/>
              <w:autoSpaceDN/>
              <w:adjustRightInd/>
              <w:snapToGrid/>
              <w:spacing w:after="120"/>
              <w:jc w:val="both"/>
              <w:rPr>
                <w:rFonts w:eastAsia="Times New Roman"/>
                <w:lang w:val="en-GB" w:eastAsia="fr-FR"/>
              </w:rPr>
            </w:pPr>
            <w:r w:rsidRPr="004E14B8">
              <w:rPr>
                <w:rFonts w:eastAsia="Times New Roman"/>
                <w:lang w:val="en-GB" w:eastAsia="fr-FR"/>
              </w:rPr>
              <w:t>Aucune incidence.</w:t>
            </w:r>
          </w:p>
        </w:tc>
      </w:tr>
      <w:tr w:rsidR="00003D97" w:rsidRPr="004E14B8" w14:paraId="797931E5" w14:textId="77777777" w:rsidTr="00526F2B">
        <w:tc>
          <w:tcPr>
            <w:tcW w:w="1985" w:type="dxa"/>
            <w:shd w:val="clear" w:color="auto" w:fill="auto"/>
          </w:tcPr>
          <w:p w14:paraId="57649B04" w14:textId="77777777" w:rsidR="00003D97" w:rsidRPr="004E14B8" w:rsidRDefault="00003D97" w:rsidP="004E14B8">
            <w:pPr>
              <w:kinsoku/>
              <w:overflowPunct/>
              <w:autoSpaceDE/>
              <w:autoSpaceDN/>
              <w:adjustRightInd/>
              <w:snapToGrid/>
              <w:spacing w:after="120"/>
              <w:jc w:val="both"/>
              <w:rPr>
                <w:rFonts w:eastAsia="Times New Roman"/>
                <w:lang w:val="en-GB" w:eastAsia="fr-FR"/>
              </w:rPr>
            </w:pPr>
            <w:proofErr w:type="gramStart"/>
            <w:r w:rsidRPr="004E14B8">
              <w:rPr>
                <w:rFonts w:eastAsia="Times New Roman"/>
                <w:lang w:val="en-GB" w:eastAsia="fr-FR"/>
              </w:rPr>
              <w:t>Faisabilité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499BCFA1" w14:textId="77777777" w:rsidR="00003D97" w:rsidRPr="00813CCC" w:rsidRDefault="00003D97" w:rsidP="0085575B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13"/>
              <w:jc w:val="both"/>
              <w:rPr>
                <w:rFonts w:eastAsia="Times New Roman"/>
                <w:lang w:eastAsia="fr-FR"/>
              </w:rPr>
            </w:pPr>
            <w:r w:rsidRPr="00813CCC">
              <w:rPr>
                <w:rFonts w:eastAsia="Times New Roman"/>
                <w:lang w:eastAsia="fr-FR"/>
              </w:rPr>
              <w:t>L’amendement proposé peut aisément être introduit dans l’ATP. Il</w:t>
            </w:r>
            <w:r w:rsidR="00526F2B" w:rsidRPr="00813CCC">
              <w:rPr>
                <w:rFonts w:eastAsia="Times New Roman"/>
                <w:lang w:eastAsia="fr-FR"/>
              </w:rPr>
              <w:t> </w:t>
            </w:r>
            <w:r w:rsidRPr="00813CCC">
              <w:rPr>
                <w:rFonts w:eastAsia="Times New Roman"/>
                <w:lang w:eastAsia="fr-FR"/>
              </w:rPr>
              <w:t>n’est pas nécessaire de prévoir une période de transition.</w:t>
            </w:r>
          </w:p>
        </w:tc>
      </w:tr>
      <w:tr w:rsidR="00003D97" w:rsidRPr="004E14B8" w14:paraId="7662BA7A" w14:textId="77777777" w:rsidTr="00526F2B">
        <w:trPr>
          <w:trHeight w:val="192"/>
        </w:trPr>
        <w:tc>
          <w:tcPr>
            <w:tcW w:w="1985" w:type="dxa"/>
            <w:shd w:val="clear" w:color="auto" w:fill="auto"/>
          </w:tcPr>
          <w:p w14:paraId="397C194D" w14:textId="77777777" w:rsidR="00003D97" w:rsidRPr="004E14B8" w:rsidRDefault="00003D97" w:rsidP="004E14B8">
            <w:pPr>
              <w:kinsoku/>
              <w:overflowPunct/>
              <w:autoSpaceDE/>
              <w:autoSpaceDN/>
              <w:adjustRightInd/>
              <w:snapToGrid/>
              <w:spacing w:after="120"/>
              <w:jc w:val="both"/>
              <w:rPr>
                <w:rFonts w:eastAsia="Times New Roman"/>
                <w:lang w:val="en-GB" w:eastAsia="fr-FR"/>
              </w:rPr>
            </w:pPr>
            <w:r w:rsidRPr="004E14B8">
              <w:rPr>
                <w:rFonts w:eastAsia="Times New Roman"/>
                <w:lang w:val="en-GB" w:eastAsia="fr-FR"/>
              </w:rPr>
              <w:t xml:space="preserve">Application </w:t>
            </w:r>
            <w:proofErr w:type="gramStart"/>
            <w:r w:rsidRPr="004E14B8">
              <w:rPr>
                <w:rFonts w:eastAsia="Times New Roman"/>
                <w:lang w:val="en-GB" w:eastAsia="fr-FR"/>
              </w:rPr>
              <w:t>effective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68E3633B" w14:textId="77777777" w:rsidR="00003D97" w:rsidRPr="00813CCC" w:rsidRDefault="00003D97" w:rsidP="004E14B8">
            <w:pPr>
              <w:kinsoku/>
              <w:overflowPunct/>
              <w:autoSpaceDE/>
              <w:autoSpaceDN/>
              <w:adjustRightInd/>
              <w:snapToGrid/>
              <w:spacing w:after="120"/>
              <w:jc w:val="both"/>
              <w:rPr>
                <w:rFonts w:eastAsia="Times New Roman"/>
                <w:lang w:eastAsia="fr-FR"/>
              </w:rPr>
            </w:pPr>
            <w:r w:rsidRPr="00813CCC">
              <w:rPr>
                <w:rFonts w:eastAsia="Times New Roman"/>
                <w:lang w:eastAsia="fr-FR"/>
              </w:rPr>
              <w:t>Aucune difficulté n’est à prévoir.</w:t>
            </w:r>
          </w:p>
        </w:tc>
      </w:tr>
    </w:tbl>
    <w:p w14:paraId="4498D7AD" w14:textId="77777777" w:rsidR="00003D97" w:rsidRPr="00003D97" w:rsidRDefault="00003D97" w:rsidP="00003D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3D97" w:rsidRPr="00003D97" w:rsidSect="00003D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A65C" w14:textId="77777777" w:rsidR="009146FD" w:rsidRDefault="009146FD" w:rsidP="00F95C08">
      <w:pPr>
        <w:spacing w:line="240" w:lineRule="auto"/>
      </w:pPr>
    </w:p>
  </w:endnote>
  <w:endnote w:type="continuationSeparator" w:id="0">
    <w:p w14:paraId="6B0BD095" w14:textId="77777777" w:rsidR="009146FD" w:rsidRPr="00AC3823" w:rsidRDefault="009146FD" w:rsidP="00AC3823">
      <w:pPr>
        <w:pStyle w:val="Footer"/>
      </w:pPr>
    </w:p>
  </w:endnote>
  <w:endnote w:type="continuationNotice" w:id="1">
    <w:p w14:paraId="296E6BF0" w14:textId="77777777" w:rsidR="009146FD" w:rsidRDefault="009146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920F1" w14:textId="77777777" w:rsidR="00003D97" w:rsidRPr="00003D97" w:rsidRDefault="00003D97" w:rsidP="00003D97">
    <w:pPr>
      <w:pStyle w:val="Footer"/>
      <w:tabs>
        <w:tab w:val="right" w:pos="9638"/>
      </w:tabs>
    </w:pPr>
    <w:r w:rsidRPr="00003D97">
      <w:rPr>
        <w:b/>
        <w:sz w:val="18"/>
      </w:rPr>
      <w:fldChar w:fldCharType="begin"/>
    </w:r>
    <w:r w:rsidRPr="00003D97">
      <w:rPr>
        <w:b/>
        <w:sz w:val="18"/>
      </w:rPr>
      <w:instrText xml:space="preserve"> PAGE  \* MERGEFORMAT </w:instrText>
    </w:r>
    <w:r w:rsidRPr="00003D97">
      <w:rPr>
        <w:b/>
        <w:sz w:val="18"/>
      </w:rPr>
      <w:fldChar w:fldCharType="separate"/>
    </w:r>
    <w:r w:rsidR="00FD04A5">
      <w:rPr>
        <w:b/>
        <w:noProof/>
        <w:sz w:val="18"/>
      </w:rPr>
      <w:t>2</w:t>
    </w:r>
    <w:r w:rsidRPr="00003D97">
      <w:rPr>
        <w:b/>
        <w:sz w:val="18"/>
      </w:rPr>
      <w:fldChar w:fldCharType="end"/>
    </w:r>
    <w:r>
      <w:rPr>
        <w:b/>
        <w:sz w:val="18"/>
      </w:rPr>
      <w:tab/>
    </w:r>
    <w:r>
      <w:t>GE.19-12554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FDF3" w14:textId="77777777" w:rsidR="00003D97" w:rsidRPr="00003D97" w:rsidRDefault="00003D97" w:rsidP="00003D97">
    <w:pPr>
      <w:pStyle w:val="Footer"/>
      <w:tabs>
        <w:tab w:val="right" w:pos="9638"/>
      </w:tabs>
      <w:rPr>
        <w:b/>
        <w:sz w:val="18"/>
      </w:rPr>
    </w:pPr>
    <w:r>
      <w:t>GE.19-12554</w:t>
    </w:r>
    <w:r>
      <w:tab/>
    </w:r>
    <w:r w:rsidRPr="00003D97">
      <w:rPr>
        <w:b/>
        <w:sz w:val="18"/>
      </w:rPr>
      <w:fldChar w:fldCharType="begin"/>
    </w:r>
    <w:r w:rsidRPr="00003D97">
      <w:rPr>
        <w:b/>
        <w:sz w:val="18"/>
      </w:rPr>
      <w:instrText xml:space="preserve"> PAGE  \* MERGEFORMAT </w:instrText>
    </w:r>
    <w:r w:rsidRPr="00003D97">
      <w:rPr>
        <w:b/>
        <w:sz w:val="18"/>
      </w:rPr>
      <w:fldChar w:fldCharType="separate"/>
    </w:r>
    <w:r w:rsidRPr="00003D97">
      <w:rPr>
        <w:b/>
        <w:noProof/>
        <w:sz w:val="18"/>
      </w:rPr>
      <w:t>3</w:t>
    </w:r>
    <w:r w:rsidRPr="00003D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A6B6" w14:textId="77777777" w:rsidR="007F20FA" w:rsidRPr="00003D97" w:rsidRDefault="00003D97" w:rsidP="00003D9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C42BD3E" wp14:editId="4762C5A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12554  (</w:t>
    </w:r>
    <w:proofErr w:type="gramEnd"/>
    <w:r>
      <w:rPr>
        <w:sz w:val="20"/>
      </w:rPr>
      <w:t>F)    160819</w:t>
    </w:r>
    <w:r w:rsidR="00577E32">
      <w:rPr>
        <w:sz w:val="20"/>
      </w:rPr>
      <w:t xml:space="preserve">    200819</w:t>
    </w:r>
    <w:r>
      <w:rPr>
        <w:sz w:val="20"/>
      </w:rPr>
      <w:br/>
    </w:r>
    <w:r w:rsidRPr="00003D97">
      <w:rPr>
        <w:rFonts w:ascii="C39T30Lfz" w:hAnsi="C39T30Lfz"/>
        <w:sz w:val="56"/>
      </w:rPr>
      <w:t></w:t>
    </w:r>
    <w:r w:rsidRPr="00003D97">
      <w:rPr>
        <w:rFonts w:ascii="C39T30Lfz" w:hAnsi="C39T30Lfz"/>
        <w:sz w:val="56"/>
      </w:rPr>
      <w:t></w:t>
    </w:r>
    <w:r w:rsidRPr="00003D97">
      <w:rPr>
        <w:rFonts w:ascii="C39T30Lfz" w:hAnsi="C39T30Lfz"/>
        <w:sz w:val="56"/>
      </w:rPr>
      <w:t></w:t>
    </w:r>
    <w:r w:rsidRPr="00003D97">
      <w:rPr>
        <w:rFonts w:ascii="C39T30Lfz" w:hAnsi="C39T30Lfz"/>
        <w:sz w:val="56"/>
      </w:rPr>
      <w:t></w:t>
    </w:r>
    <w:r w:rsidRPr="00003D97">
      <w:rPr>
        <w:rFonts w:ascii="C39T30Lfz" w:hAnsi="C39T30Lfz"/>
        <w:sz w:val="56"/>
      </w:rPr>
      <w:t></w:t>
    </w:r>
    <w:r w:rsidRPr="00003D97">
      <w:rPr>
        <w:rFonts w:ascii="C39T30Lfz" w:hAnsi="C39T30Lfz"/>
        <w:sz w:val="56"/>
      </w:rPr>
      <w:t></w:t>
    </w:r>
    <w:r w:rsidRPr="00003D97">
      <w:rPr>
        <w:rFonts w:ascii="C39T30Lfz" w:hAnsi="C39T30Lfz"/>
        <w:sz w:val="56"/>
      </w:rPr>
      <w:t></w:t>
    </w:r>
    <w:r w:rsidRPr="00003D97">
      <w:rPr>
        <w:rFonts w:ascii="C39T30Lfz" w:hAnsi="C39T30Lfz"/>
        <w:sz w:val="56"/>
      </w:rPr>
      <w:t></w:t>
    </w:r>
    <w:r w:rsidRPr="00003D9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334527C7" wp14:editId="7F13D92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9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B267" w14:textId="77777777" w:rsidR="009146FD" w:rsidRPr="00AC3823" w:rsidRDefault="009146F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DF9421" w14:textId="77777777" w:rsidR="009146FD" w:rsidRPr="00AC3823" w:rsidRDefault="009146F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375D69" w14:textId="77777777" w:rsidR="009146FD" w:rsidRPr="00AC3823" w:rsidRDefault="009146F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F48E" w14:textId="1209C61C" w:rsidR="00003D97" w:rsidRPr="00003D97" w:rsidRDefault="002835C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C9CE" w14:textId="0CBCBD82" w:rsidR="00003D97" w:rsidRPr="00003D97" w:rsidRDefault="002835C4" w:rsidP="00003D9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FD"/>
    <w:rsid w:val="00003D97"/>
    <w:rsid w:val="00017F94"/>
    <w:rsid w:val="00023842"/>
    <w:rsid w:val="000334F9"/>
    <w:rsid w:val="00045FEB"/>
    <w:rsid w:val="0007796D"/>
    <w:rsid w:val="00082266"/>
    <w:rsid w:val="000B7790"/>
    <w:rsid w:val="00111F2F"/>
    <w:rsid w:val="0014365E"/>
    <w:rsid w:val="00143C66"/>
    <w:rsid w:val="00146FD5"/>
    <w:rsid w:val="00176178"/>
    <w:rsid w:val="001D44AB"/>
    <w:rsid w:val="001F525A"/>
    <w:rsid w:val="00223272"/>
    <w:rsid w:val="0024779E"/>
    <w:rsid w:val="00257168"/>
    <w:rsid w:val="002744B8"/>
    <w:rsid w:val="002832AC"/>
    <w:rsid w:val="002835C4"/>
    <w:rsid w:val="002D7C93"/>
    <w:rsid w:val="002F70BE"/>
    <w:rsid w:val="00305801"/>
    <w:rsid w:val="003916DE"/>
    <w:rsid w:val="00421996"/>
    <w:rsid w:val="00441C3B"/>
    <w:rsid w:val="00446FE5"/>
    <w:rsid w:val="00452396"/>
    <w:rsid w:val="004837D8"/>
    <w:rsid w:val="004E14B8"/>
    <w:rsid w:val="004E2EED"/>
    <w:rsid w:val="004E468C"/>
    <w:rsid w:val="00526F2B"/>
    <w:rsid w:val="005505B7"/>
    <w:rsid w:val="00573BE5"/>
    <w:rsid w:val="00577E32"/>
    <w:rsid w:val="00586ED3"/>
    <w:rsid w:val="00596AA9"/>
    <w:rsid w:val="006301A0"/>
    <w:rsid w:val="0071601D"/>
    <w:rsid w:val="007266D2"/>
    <w:rsid w:val="007A62E6"/>
    <w:rsid w:val="007F20FA"/>
    <w:rsid w:val="0080684C"/>
    <w:rsid w:val="00813CCC"/>
    <w:rsid w:val="008269C0"/>
    <w:rsid w:val="0085575B"/>
    <w:rsid w:val="00871C75"/>
    <w:rsid w:val="008776DC"/>
    <w:rsid w:val="00913470"/>
    <w:rsid w:val="009146FD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27B1"/>
    <w:rsid w:val="00B765F7"/>
    <w:rsid w:val="00BA0CA9"/>
    <w:rsid w:val="00C02897"/>
    <w:rsid w:val="00C84DA4"/>
    <w:rsid w:val="00C97039"/>
    <w:rsid w:val="00D3439C"/>
    <w:rsid w:val="00D92CCB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07BBB2"/>
  <w15:docId w15:val="{B3D1BC2C-C8ED-4A4D-A5FD-D31975F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26F2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ECE/TRANS/WP.11/2019/2</vt:lpstr>
      <vt:lpstr>ECE/TRANS/WP.11/2019/2</vt:lpstr>
    </vt:vector>
  </TitlesOfParts>
  <Company>DCM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ECE/TRANS/WP.11/2019/2</dc:title>
  <dc:subject/>
  <dc:creator>Ramzi TOUMA</dc:creator>
  <cp:keywords/>
  <cp:lastModifiedBy>Marie-Claude Collet</cp:lastModifiedBy>
  <cp:revision>3</cp:revision>
  <cp:lastPrinted>2019-08-20T15:55:00Z</cp:lastPrinted>
  <dcterms:created xsi:type="dcterms:W3CDTF">2019-08-20T15:55:00Z</dcterms:created>
  <dcterms:modified xsi:type="dcterms:W3CDTF">2019-08-20T15:55:00Z</dcterms:modified>
</cp:coreProperties>
</file>