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C055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C0554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0554D" w:rsidRDefault="00B56E9C" w:rsidP="00C0554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0554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F616E0" w:rsidP="001F58AD">
            <w:pPr>
              <w:jc w:val="right"/>
            </w:pPr>
            <w:r w:rsidRPr="00C0554D">
              <w:rPr>
                <w:sz w:val="40"/>
              </w:rPr>
              <w:t>ECE</w:t>
            </w:r>
            <w:r w:rsidR="00DE2745">
              <w:t>/TRANS/WP.11</w:t>
            </w:r>
            <w:r w:rsidR="003010D3">
              <w:t>/201</w:t>
            </w:r>
            <w:r w:rsidR="00A04806">
              <w:t>9</w:t>
            </w:r>
            <w:r w:rsidR="003010D3">
              <w:t>/</w:t>
            </w:r>
            <w:r w:rsidR="00A6096F">
              <w:t>3</w:t>
            </w:r>
          </w:p>
        </w:tc>
      </w:tr>
      <w:tr w:rsidR="00B56E9C" w:rsidTr="00C0554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75587" w:rsidP="00C0554D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3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0554D" w:rsidRDefault="00D773DF" w:rsidP="00C0554D">
            <w:pPr>
              <w:spacing w:before="120" w:line="420" w:lineRule="exact"/>
              <w:rPr>
                <w:sz w:val="40"/>
                <w:szCs w:val="40"/>
              </w:rPr>
            </w:pPr>
            <w:r w:rsidRPr="00C0554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10D3" w:rsidRDefault="003010D3" w:rsidP="003010D3">
            <w:pPr>
              <w:spacing w:before="240" w:line="240" w:lineRule="exact"/>
            </w:pPr>
            <w:r>
              <w:t>Distr.: General</w:t>
            </w:r>
          </w:p>
          <w:p w:rsidR="003010D3" w:rsidRDefault="00EF64CA" w:rsidP="003010D3">
            <w:pPr>
              <w:spacing w:line="240" w:lineRule="exact"/>
            </w:pPr>
            <w:r>
              <w:t>2</w:t>
            </w:r>
            <w:r w:rsidR="00067C9E">
              <w:t>4</w:t>
            </w:r>
            <w:r w:rsidR="001F58AD" w:rsidRPr="00A87C96">
              <w:t xml:space="preserve"> July 201</w:t>
            </w:r>
            <w:r w:rsidR="00A04806">
              <w:t>9</w:t>
            </w:r>
          </w:p>
          <w:p w:rsidR="003010D3" w:rsidRDefault="003010D3" w:rsidP="003010D3">
            <w:pPr>
              <w:spacing w:line="240" w:lineRule="exact"/>
            </w:pPr>
          </w:p>
          <w:p w:rsidR="00B56E9C" w:rsidRDefault="003010D3" w:rsidP="003010D3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FE2FEF">
        <w:rPr>
          <w:b/>
          <w:sz w:val="24"/>
          <w:szCs w:val="24"/>
        </w:rPr>
        <w:t>Perishable Foodstuffs</w:t>
      </w:r>
    </w:p>
    <w:p w:rsidR="00C96DF2" w:rsidRDefault="00F635AC" w:rsidP="00C96DF2">
      <w:pPr>
        <w:spacing w:before="120"/>
        <w:rPr>
          <w:b/>
        </w:rPr>
      </w:pPr>
      <w:r>
        <w:rPr>
          <w:b/>
        </w:rPr>
        <w:t>Seventy-</w:t>
      </w:r>
      <w:r w:rsidR="002623B8">
        <w:rPr>
          <w:b/>
        </w:rPr>
        <w:t>f</w:t>
      </w:r>
      <w:r w:rsidR="00A04806">
        <w:rPr>
          <w:b/>
        </w:rPr>
        <w:t>ifth</w:t>
      </w:r>
      <w:r w:rsidR="00DE2745">
        <w:rPr>
          <w:b/>
        </w:rPr>
        <w:t xml:space="preserve"> </w:t>
      </w:r>
      <w:r w:rsidR="00C96DF2">
        <w:rPr>
          <w:b/>
        </w:rPr>
        <w:t>session</w:t>
      </w:r>
    </w:p>
    <w:p w:rsidR="00C96DF2" w:rsidRDefault="00FE2FEF" w:rsidP="00C96DF2">
      <w:r>
        <w:t>Geneva</w:t>
      </w:r>
      <w:r w:rsidR="00F616E0">
        <w:t xml:space="preserve">, </w:t>
      </w:r>
      <w:r w:rsidR="00A04806">
        <w:t>8-11</w:t>
      </w:r>
      <w:r w:rsidR="00F616E0">
        <w:t xml:space="preserve"> </w:t>
      </w:r>
      <w:r w:rsidR="003760FD">
        <w:t xml:space="preserve">October </w:t>
      </w:r>
      <w:r w:rsidR="00CB487E">
        <w:t>201</w:t>
      </w:r>
      <w:r w:rsidR="00A04806">
        <w:t>9</w:t>
      </w:r>
    </w:p>
    <w:p w:rsidR="003760FD" w:rsidRDefault="00FA7D6D" w:rsidP="003760FD">
      <w:r>
        <w:t>I</w:t>
      </w:r>
      <w:r w:rsidR="00F616E0">
        <w:t xml:space="preserve">tem </w:t>
      </w:r>
      <w:r w:rsidR="00AC7814">
        <w:t>5 (b)</w:t>
      </w:r>
      <w:r w:rsidR="007E7385">
        <w:t xml:space="preserve"> </w:t>
      </w:r>
      <w:r w:rsidR="0050471C">
        <w:t>of the provisional agenda</w:t>
      </w:r>
    </w:p>
    <w:p w:rsidR="00F2528F" w:rsidRPr="00B872C3" w:rsidRDefault="000E22A1" w:rsidP="00F2528F">
      <w:pPr>
        <w:spacing w:line="276" w:lineRule="auto"/>
        <w:rPr>
          <w:b/>
          <w:bCs/>
          <w:lang w:val="en-US"/>
        </w:rPr>
      </w:pPr>
      <w:r w:rsidRPr="00000941">
        <w:rPr>
          <w:b/>
        </w:rPr>
        <w:t>Prop</w:t>
      </w:r>
      <w:r w:rsidR="00F2528F">
        <w:rPr>
          <w:b/>
        </w:rPr>
        <w:t xml:space="preserve">osals </w:t>
      </w:r>
      <w:r w:rsidR="00AC7814">
        <w:rPr>
          <w:b/>
        </w:rPr>
        <w:t>of</w:t>
      </w:r>
      <w:r w:rsidR="00F2528F">
        <w:rPr>
          <w:b/>
        </w:rPr>
        <w:t xml:space="preserve"> amendments to </w:t>
      </w:r>
      <w:r w:rsidR="00DD29FB">
        <w:rPr>
          <w:b/>
        </w:rPr>
        <w:t>ATP</w:t>
      </w:r>
      <w:r w:rsidR="00AC7814">
        <w:rPr>
          <w:b/>
        </w:rPr>
        <w:t>:</w:t>
      </w:r>
      <w:r w:rsidR="00AC7814">
        <w:rPr>
          <w:b/>
        </w:rPr>
        <w:br/>
      </w:r>
      <w:r w:rsidR="00AC7814" w:rsidRPr="00B872C3">
        <w:rPr>
          <w:b/>
          <w:bCs/>
          <w:lang w:val="en-US"/>
        </w:rPr>
        <w:t>new proposals</w:t>
      </w:r>
      <w:r w:rsidR="00F2528F" w:rsidRPr="00B872C3">
        <w:rPr>
          <w:b/>
          <w:bCs/>
          <w:lang w:val="en-US"/>
        </w:rPr>
        <w:t xml:space="preserve"> </w:t>
      </w:r>
    </w:p>
    <w:p w:rsidR="00F2528F" w:rsidRPr="00F2528F" w:rsidRDefault="0050471C" w:rsidP="00F2528F">
      <w:pPr>
        <w:pStyle w:val="HChG"/>
        <w:rPr>
          <w:highlight w:val="yellow"/>
          <w:lang w:eastAsia="ar-SA"/>
        </w:rPr>
      </w:pPr>
      <w:r w:rsidRPr="00A87C96">
        <w:rPr>
          <w:lang w:eastAsia="ar-SA"/>
        </w:rPr>
        <w:tab/>
      </w:r>
      <w:r w:rsidRPr="00A87C96">
        <w:rPr>
          <w:lang w:eastAsia="ar-SA"/>
        </w:rPr>
        <w:tab/>
      </w:r>
      <w:r w:rsidR="00DE2745" w:rsidRPr="00F2528F">
        <w:t xml:space="preserve">Proposal to </w:t>
      </w:r>
      <w:r w:rsidR="00DE2745" w:rsidRPr="003C39B1">
        <w:t xml:space="preserve">amend </w:t>
      </w:r>
      <w:r w:rsidR="00F2528F" w:rsidRPr="003C39B1">
        <w:t xml:space="preserve">Annex 1, </w:t>
      </w:r>
      <w:r w:rsidR="00F1386F">
        <w:t xml:space="preserve">Appendix 1, </w:t>
      </w:r>
      <w:r w:rsidR="003C39B1">
        <w:t>S</w:t>
      </w:r>
      <w:r w:rsidR="003C39B1" w:rsidRPr="003C39B1">
        <w:t>ection</w:t>
      </w:r>
      <w:r w:rsidR="00F1386F">
        <w:t xml:space="preserve"> 6</w:t>
      </w:r>
      <w:r w:rsidR="00A04806" w:rsidRPr="003C39B1">
        <w:t>:</w:t>
      </w:r>
      <w:r w:rsidR="00A6096F">
        <w:br/>
      </w:r>
      <w:r w:rsidR="00F1386F">
        <w:t xml:space="preserve">Harmonization of </w:t>
      </w:r>
      <w:r w:rsidR="00D75587">
        <w:t>w</w:t>
      </w:r>
      <w:r w:rsidR="00F1386F">
        <w:t>ording</w:t>
      </w:r>
      <w:bookmarkStart w:id="0" w:name="_GoBack"/>
      <w:bookmarkEnd w:id="0"/>
    </w:p>
    <w:p w:rsidR="00016226" w:rsidRPr="00DE2745" w:rsidRDefault="00927127" w:rsidP="00643710">
      <w:pPr>
        <w:pStyle w:val="H1G"/>
      </w:pPr>
      <w:r w:rsidRPr="003425A2">
        <w:tab/>
      </w:r>
      <w:r w:rsidR="00323179">
        <w:tab/>
      </w:r>
      <w:r w:rsidRPr="003425A2">
        <w:t xml:space="preserve">Transmitted by the Government of </w:t>
      </w:r>
      <w:r w:rsidR="00DE2745" w:rsidRPr="00643710"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005"/>
      </w:tblGrid>
      <w:tr w:rsidR="00927127" w:rsidRPr="00302D36" w:rsidTr="004E4E9F">
        <w:trPr>
          <w:trHeight w:val="609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927127" w:rsidRPr="003425A2" w:rsidRDefault="00927127" w:rsidP="00927127">
            <w:pPr>
              <w:spacing w:before="240" w:after="120"/>
              <w:ind w:left="255"/>
              <w:rPr>
                <w:i/>
                <w:sz w:val="24"/>
              </w:rPr>
            </w:pPr>
            <w:r w:rsidRPr="003425A2">
              <w:rPr>
                <w:i/>
                <w:sz w:val="24"/>
              </w:rPr>
              <w:t>Summary</w:t>
            </w:r>
          </w:p>
        </w:tc>
      </w:tr>
      <w:tr w:rsidR="008728F2" w:rsidRPr="00302D36" w:rsidTr="00D62869">
        <w:trPr>
          <w:trHeight w:val="818"/>
          <w:jc w:val="center"/>
        </w:trPr>
        <w:tc>
          <w:tcPr>
            <w:tcW w:w="2888" w:type="dxa"/>
            <w:shd w:val="clear" w:color="auto" w:fill="auto"/>
          </w:tcPr>
          <w:p w:rsidR="008728F2" w:rsidRPr="002D4034" w:rsidRDefault="008728F2" w:rsidP="008728F2">
            <w:pPr>
              <w:spacing w:after="120"/>
              <w:ind w:left="1134" w:right="355" w:hanging="391"/>
              <w:jc w:val="both"/>
              <w:rPr>
                <w:rFonts w:cs="Arial"/>
                <w:lang w:val="en-US"/>
              </w:rPr>
            </w:pPr>
            <w:r w:rsidRPr="002D4034">
              <w:rPr>
                <w:b/>
              </w:rPr>
              <w:t>Executive summary:</w:t>
            </w:r>
            <w:r w:rsidRPr="002D4034">
              <w:rPr>
                <w:b/>
              </w:rPr>
              <w:tab/>
            </w:r>
          </w:p>
        </w:tc>
        <w:tc>
          <w:tcPr>
            <w:tcW w:w="6005" w:type="dxa"/>
            <w:shd w:val="clear" w:color="auto" w:fill="auto"/>
          </w:tcPr>
          <w:p w:rsidR="003C39B1" w:rsidRPr="002D4034" w:rsidRDefault="00A04806" w:rsidP="0044537E">
            <w:pPr>
              <w:spacing w:after="120"/>
              <w:ind w:right="1185"/>
              <w:jc w:val="both"/>
            </w:pPr>
            <w:r w:rsidRPr="002D4034">
              <w:rPr>
                <w:rFonts w:cs="Arial"/>
                <w:lang w:val="en-US"/>
              </w:rPr>
              <w:t xml:space="preserve">In the ATP </w:t>
            </w:r>
            <w:r w:rsidR="007D4FF1" w:rsidRPr="002D4034">
              <w:rPr>
                <w:rFonts w:cs="Arial"/>
                <w:lang w:val="en-US"/>
              </w:rPr>
              <w:t xml:space="preserve">agreement, </w:t>
            </w:r>
            <w:r w:rsidRPr="002D4034">
              <w:rPr>
                <w:rFonts w:cs="Arial"/>
                <w:lang w:val="en-US"/>
              </w:rPr>
              <w:t xml:space="preserve">the </w:t>
            </w:r>
            <w:r w:rsidR="007D4FF1" w:rsidRPr="002D4034">
              <w:rPr>
                <w:rFonts w:cs="Arial"/>
                <w:lang w:val="en-US"/>
              </w:rPr>
              <w:t>term</w:t>
            </w:r>
            <w:r w:rsidRPr="002D4034">
              <w:rPr>
                <w:rFonts w:cs="Arial"/>
                <w:lang w:val="en-US"/>
              </w:rPr>
              <w:t xml:space="preserve"> </w:t>
            </w:r>
            <w:r w:rsidR="00F1386F" w:rsidRPr="002D4034">
              <w:rPr>
                <w:rFonts w:ascii="TimesNewRoman" w:hAnsi="TimesNewRoman" w:cs="TimesNewRoman"/>
                <w:lang w:val="en-US"/>
              </w:rPr>
              <w:t xml:space="preserve">“unit” should be used </w:t>
            </w:r>
            <w:r w:rsidR="002D4034" w:rsidRPr="002D4034">
              <w:rPr>
                <w:rFonts w:ascii="TimesNewRoman" w:hAnsi="TimesNewRoman" w:cs="TimesNewRoman"/>
                <w:lang w:val="en-US"/>
              </w:rPr>
              <w:t>for the description of</w:t>
            </w:r>
            <w:r w:rsidR="0044537E">
              <w:rPr>
                <w:rFonts w:ascii="TimesNewRoman" w:hAnsi="TimesNewRoman" w:cs="TimesNewRoman"/>
                <w:lang w:val="en-US"/>
              </w:rPr>
              <w:t xml:space="preserve"> thermal appliances such as</w:t>
            </w:r>
            <w:r w:rsidR="00F1386F" w:rsidRPr="002D4034">
              <w:rPr>
                <w:rFonts w:ascii="TimesNewRoman" w:hAnsi="TimesNewRoman" w:cs="TimesNewRoman"/>
                <w:lang w:val="en-US"/>
              </w:rPr>
              <w:t xml:space="preserve"> refrigeration units, heating units etc. </w:t>
            </w:r>
            <w:proofErr w:type="gramStart"/>
            <w:r w:rsidR="002D4034" w:rsidRPr="002D4034">
              <w:rPr>
                <w:rFonts w:ascii="TimesNewRoman" w:hAnsi="TimesNewRoman" w:cs="TimesNewRoman"/>
                <w:lang w:val="en-US"/>
              </w:rPr>
              <w:t xml:space="preserve">in order </w:t>
            </w:r>
            <w:r w:rsidR="00F1386F" w:rsidRPr="002D4034">
              <w:rPr>
                <w:rFonts w:ascii="TimesNewRoman" w:hAnsi="TimesNewRoman" w:cs="TimesNewRoman"/>
                <w:lang w:val="en-US"/>
              </w:rPr>
              <w:t>to</w:t>
            </w:r>
            <w:proofErr w:type="gramEnd"/>
            <w:r w:rsidR="00F1386F" w:rsidRPr="002D4034">
              <w:rPr>
                <w:rFonts w:ascii="TimesNewRoman" w:hAnsi="TimesNewRoman" w:cs="TimesNewRoman"/>
                <w:lang w:val="en-US"/>
              </w:rPr>
              <w:t xml:space="preserve"> avoid mis</w:t>
            </w:r>
            <w:r w:rsidR="002D4034" w:rsidRPr="002D4034">
              <w:rPr>
                <w:rFonts w:ascii="TimesNewRoman" w:hAnsi="TimesNewRoman" w:cs="TimesNewRoman"/>
                <w:lang w:val="en-US"/>
              </w:rPr>
              <w:t>interpretations</w:t>
            </w:r>
            <w:r w:rsidR="00F1386F" w:rsidRPr="002D4034">
              <w:rPr>
                <w:rFonts w:ascii="TimesNewRoman" w:hAnsi="TimesNewRoman" w:cs="TimesNewRoman"/>
                <w:lang w:val="en-US"/>
              </w:rPr>
              <w:t>.</w:t>
            </w:r>
          </w:p>
        </w:tc>
      </w:tr>
      <w:tr w:rsidR="00927127" w:rsidRPr="00302D36" w:rsidTr="004E4E9F">
        <w:trPr>
          <w:trHeight w:val="348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927127" w:rsidRPr="003425A2" w:rsidRDefault="00927127" w:rsidP="003C39B1">
            <w:pPr>
              <w:spacing w:after="120"/>
              <w:ind w:left="1134" w:right="1134" w:hanging="391"/>
              <w:jc w:val="both"/>
            </w:pPr>
            <w:r w:rsidRPr="003425A2">
              <w:rPr>
                <w:b/>
              </w:rPr>
              <w:t>Action to be taken</w:t>
            </w:r>
            <w:r w:rsidR="00643710">
              <w:t>:</w:t>
            </w:r>
            <w:r w:rsidR="00643710">
              <w:tab/>
            </w:r>
            <w:r w:rsidR="00A04806">
              <w:t xml:space="preserve">Amend </w:t>
            </w:r>
            <w:r w:rsidR="00A04806" w:rsidRPr="003C39B1">
              <w:t xml:space="preserve">Annex 1, </w:t>
            </w:r>
            <w:r w:rsidR="00F1386F">
              <w:t xml:space="preserve">Appendix 1, </w:t>
            </w:r>
            <w:r w:rsidR="003C39B1" w:rsidRPr="003C39B1">
              <w:t>Section</w:t>
            </w:r>
            <w:r w:rsidR="00F1386F">
              <w:t xml:space="preserve"> 6</w:t>
            </w:r>
            <w:r w:rsidR="00A04806" w:rsidRPr="003C39B1">
              <w:t>.</w:t>
            </w:r>
          </w:p>
        </w:tc>
      </w:tr>
      <w:tr w:rsidR="00927127" w:rsidRPr="00302D36" w:rsidTr="004E4E9F">
        <w:trPr>
          <w:trHeight w:val="363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927127" w:rsidRPr="00DE2745" w:rsidRDefault="00927127" w:rsidP="00F1386F">
            <w:pPr>
              <w:spacing w:after="120"/>
              <w:ind w:left="2870" w:right="33" w:hanging="2127"/>
            </w:pPr>
            <w:r w:rsidRPr="003425A2">
              <w:rPr>
                <w:b/>
              </w:rPr>
              <w:t>Related documents</w:t>
            </w:r>
            <w:r w:rsidRPr="003425A2">
              <w:t xml:space="preserve">: </w:t>
            </w:r>
            <w:r w:rsidRPr="003425A2">
              <w:tab/>
            </w:r>
            <w:r w:rsidR="00F1386F">
              <w:rPr>
                <w:rFonts w:cs="Arial"/>
                <w:lang w:val="en-US"/>
              </w:rPr>
              <w:t>-</w:t>
            </w:r>
          </w:p>
        </w:tc>
      </w:tr>
    </w:tbl>
    <w:p w:rsidR="00927127" w:rsidRPr="002623B8" w:rsidRDefault="002623B8" w:rsidP="00E2652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27127" w:rsidRPr="002623B8">
        <w:rPr>
          <w:lang w:val="en-US"/>
        </w:rPr>
        <w:t>Introduction</w:t>
      </w:r>
    </w:p>
    <w:p w:rsidR="00472429" w:rsidRDefault="00A04806" w:rsidP="00A6096F">
      <w:pPr>
        <w:pStyle w:val="SingleTxtG"/>
        <w:rPr>
          <w:lang w:val="en-US"/>
        </w:rPr>
      </w:pPr>
      <w:r w:rsidRPr="002D4034">
        <w:rPr>
          <w:rFonts w:cs="Arial"/>
          <w:lang w:val="en-US"/>
        </w:rPr>
        <w:t>1.</w:t>
      </w:r>
      <w:r w:rsidRPr="002D4034">
        <w:rPr>
          <w:rFonts w:cs="Arial"/>
          <w:lang w:val="en-US"/>
        </w:rPr>
        <w:tab/>
      </w:r>
      <w:r w:rsidR="002D4034" w:rsidRPr="002D4034">
        <w:rPr>
          <w:rFonts w:cs="Arial"/>
          <w:lang w:val="en-US"/>
        </w:rPr>
        <w:t xml:space="preserve">In the ATP agreement, the term </w:t>
      </w:r>
      <w:r w:rsidR="0044537E">
        <w:rPr>
          <w:lang w:val="en-US"/>
        </w:rPr>
        <w:t>“unit” should</w:t>
      </w:r>
      <w:r w:rsidR="002D4034" w:rsidRPr="002D4034">
        <w:rPr>
          <w:lang w:val="en-US"/>
        </w:rPr>
        <w:t xml:space="preserve"> be used for the descri</w:t>
      </w:r>
      <w:r w:rsidR="0044537E">
        <w:rPr>
          <w:lang w:val="en-US"/>
        </w:rPr>
        <w:t>ption of thermal appliances such as</w:t>
      </w:r>
      <w:r w:rsidR="002D4034" w:rsidRPr="002D4034">
        <w:rPr>
          <w:lang w:val="en-US"/>
        </w:rPr>
        <w:t xml:space="preserve"> refrigeration units, heating units </w:t>
      </w:r>
      <w:proofErr w:type="gramStart"/>
      <w:r w:rsidR="002D4034" w:rsidRPr="002D4034">
        <w:rPr>
          <w:lang w:val="en-US"/>
        </w:rPr>
        <w:t>etc..</w:t>
      </w:r>
      <w:proofErr w:type="gramEnd"/>
    </w:p>
    <w:p w:rsidR="002D4034" w:rsidRDefault="002D4034" w:rsidP="00A6096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072D15">
        <w:rPr>
          <w:lang w:val="en-US"/>
        </w:rPr>
        <w:t>However, i</w:t>
      </w:r>
      <w:r>
        <w:rPr>
          <w:lang w:val="en-US"/>
        </w:rPr>
        <w:t xml:space="preserve">n Annex 1, Appendix 1, Section 6, the term “unit” is used synonymously with </w:t>
      </w:r>
      <w:r w:rsidR="00072D15">
        <w:rPr>
          <w:lang w:val="en-US"/>
        </w:rPr>
        <w:t xml:space="preserve">the term </w:t>
      </w:r>
      <w:r>
        <w:rPr>
          <w:lang w:val="en-US"/>
        </w:rPr>
        <w:t>“</w:t>
      </w:r>
      <w:r w:rsidR="0044537E">
        <w:rPr>
          <w:lang w:val="en-US"/>
        </w:rPr>
        <w:t xml:space="preserve">insulated </w:t>
      </w:r>
      <w:r>
        <w:rPr>
          <w:lang w:val="en-US"/>
        </w:rPr>
        <w:t xml:space="preserve">equipment”. </w:t>
      </w:r>
      <w:r w:rsidR="00072D15">
        <w:rPr>
          <w:lang w:val="en-US"/>
        </w:rPr>
        <w:t>T</w:t>
      </w:r>
      <w:r w:rsidR="00072D15" w:rsidRPr="002D4034">
        <w:rPr>
          <w:lang w:val="en-US"/>
        </w:rPr>
        <w:t>o avoid misinterpretations</w:t>
      </w:r>
      <w:r w:rsidR="00072D15">
        <w:rPr>
          <w:lang w:val="en-US"/>
        </w:rPr>
        <w:t xml:space="preserve"> the term “unit” s</w:t>
      </w:r>
      <w:r w:rsidR="0044537E">
        <w:rPr>
          <w:lang w:val="en-US"/>
        </w:rPr>
        <w:t>hould therefore be replaced by</w:t>
      </w:r>
      <w:r w:rsidR="00072D15">
        <w:rPr>
          <w:lang w:val="en-US"/>
        </w:rPr>
        <w:t xml:space="preserve"> the term “</w:t>
      </w:r>
      <w:r w:rsidR="0044537E">
        <w:rPr>
          <w:lang w:val="en-US"/>
        </w:rPr>
        <w:t xml:space="preserve">insulated </w:t>
      </w:r>
      <w:r w:rsidR="00072D15">
        <w:rPr>
          <w:lang w:val="en-US"/>
        </w:rPr>
        <w:t>equipment”.</w:t>
      </w:r>
    </w:p>
    <w:p w:rsidR="00927127" w:rsidRPr="00977594" w:rsidRDefault="00927127" w:rsidP="00E2652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6121E">
        <w:t>Proposed amendment</w:t>
      </w:r>
    </w:p>
    <w:p w:rsidR="00D3283A" w:rsidRDefault="002D4034" w:rsidP="00A6096F">
      <w:pPr>
        <w:pStyle w:val="SingleTxtG"/>
        <w:rPr>
          <w:lang w:eastAsia="zh-CN"/>
        </w:rPr>
      </w:pPr>
      <w:r>
        <w:rPr>
          <w:rFonts w:cs="Arial"/>
          <w:lang w:val="en-US"/>
        </w:rPr>
        <w:t>3</w:t>
      </w:r>
      <w:r w:rsidR="0036121E" w:rsidRPr="00472429">
        <w:rPr>
          <w:rFonts w:cs="Arial"/>
          <w:lang w:val="en-US"/>
        </w:rPr>
        <w:t>.</w:t>
      </w:r>
      <w:r w:rsidR="0036121E" w:rsidRPr="00472429">
        <w:rPr>
          <w:rFonts w:cs="Arial"/>
          <w:lang w:val="en-US"/>
        </w:rPr>
        <w:tab/>
      </w:r>
      <w:r w:rsidR="008959DE">
        <w:rPr>
          <w:lang w:eastAsia="zh-CN"/>
        </w:rPr>
        <w:t>Replace the term “unit” with “equipment” in Annex 1, Appendix</w:t>
      </w:r>
      <w:r>
        <w:rPr>
          <w:lang w:eastAsia="zh-CN"/>
        </w:rPr>
        <w:t xml:space="preserve"> </w:t>
      </w:r>
      <w:r w:rsidR="008959DE">
        <w:rPr>
          <w:lang w:eastAsia="zh-CN"/>
        </w:rPr>
        <w:t>1, Section 6</w:t>
      </w:r>
      <w:r w:rsidR="00D265EB" w:rsidRPr="00472429">
        <w:rPr>
          <w:lang w:eastAsia="zh-CN"/>
        </w:rPr>
        <w:t>:</w:t>
      </w:r>
    </w:p>
    <w:tbl>
      <w:tblPr>
        <w:tblW w:w="7938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5953"/>
      </w:tblGrid>
      <w:tr w:rsidR="00A6096F" w:rsidRPr="00DA2781" w:rsidTr="00C204BB">
        <w:trPr>
          <w:cantSplit/>
        </w:trPr>
        <w:tc>
          <w:tcPr>
            <w:tcW w:w="851" w:type="dxa"/>
            <w:shd w:val="clear" w:color="auto" w:fill="auto"/>
          </w:tcPr>
          <w:p w:rsidR="00A6096F" w:rsidRPr="00DA2781" w:rsidRDefault="00172236" w:rsidP="00C204BB">
            <w:pPr>
              <w:autoSpaceDN w:val="0"/>
              <w:spacing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lastRenderedPageBreak/>
              <w:t>6.</w:t>
            </w:r>
          </w:p>
        </w:tc>
        <w:tc>
          <w:tcPr>
            <w:tcW w:w="709" w:type="dxa"/>
            <w:shd w:val="clear" w:color="auto" w:fill="auto"/>
          </w:tcPr>
          <w:p w:rsidR="00A6096F" w:rsidRPr="00DA2781" w:rsidRDefault="00A6096F" w:rsidP="00C204BB">
            <w:pPr>
              <w:autoSpaceDN w:val="0"/>
              <w:spacing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>(a)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6096F" w:rsidRPr="00DA2781" w:rsidRDefault="00A6096F" w:rsidP="00C204BB">
            <w:pPr>
              <w:pStyle w:val="SingleTxtG"/>
              <w:ind w:left="0" w:right="0"/>
              <w:rPr>
                <w:lang w:val="en-US"/>
              </w:rPr>
            </w:pPr>
            <w:r w:rsidRPr="00DA2781">
              <w:rPr>
                <w:lang w:val="en-US"/>
              </w:rPr>
              <w:t xml:space="preserve">New equipment of a specific type serially produced may be approved by testing </w:t>
            </w:r>
            <w:proofErr w:type="gramStart"/>
            <w:r w:rsidRPr="00DA2781">
              <w:rPr>
                <w:lang w:val="en-US"/>
              </w:rPr>
              <w:t xml:space="preserve">one </w:t>
            </w:r>
            <w:r w:rsidRPr="00DA2781">
              <w:rPr>
                <w:strike/>
                <w:lang w:val="en-US"/>
              </w:rPr>
              <w:t>unit</w:t>
            </w:r>
            <w:proofErr w:type="gramEnd"/>
            <w:r w:rsidRPr="00DA2781">
              <w:rPr>
                <w:lang w:val="en-US"/>
              </w:rPr>
              <w:t xml:space="preserve"> </w:t>
            </w:r>
            <w:r w:rsidRPr="00DA2781">
              <w:rPr>
                <w:b/>
                <w:lang w:val="en-US"/>
              </w:rPr>
              <w:t>item of</w:t>
            </w:r>
            <w:r w:rsidRPr="00DA2781">
              <w:rPr>
                <w:lang w:val="en-US"/>
              </w:rPr>
              <w:t xml:space="preserve"> </w:t>
            </w:r>
            <w:r w:rsidRPr="00DA2781">
              <w:rPr>
                <w:b/>
                <w:lang w:val="en-US"/>
              </w:rPr>
              <w:t>insulated</w:t>
            </w:r>
            <w:r w:rsidRPr="00DA2781">
              <w:rPr>
                <w:lang w:val="en-US"/>
              </w:rPr>
              <w:t xml:space="preserve"> </w:t>
            </w:r>
            <w:r w:rsidRPr="00DA2781">
              <w:rPr>
                <w:b/>
                <w:lang w:val="en-US"/>
              </w:rPr>
              <w:t>equipment</w:t>
            </w:r>
            <w:r w:rsidRPr="00DA2781">
              <w:rPr>
                <w:color w:val="FF0000"/>
                <w:lang w:val="en-US"/>
              </w:rPr>
              <w:t xml:space="preserve"> </w:t>
            </w:r>
            <w:r w:rsidRPr="00DA2781">
              <w:rPr>
                <w:lang w:val="en-US"/>
              </w:rPr>
              <w:t xml:space="preserve">of that type. If the </w:t>
            </w:r>
            <w:r w:rsidRPr="00DA2781">
              <w:rPr>
                <w:strike/>
                <w:lang w:val="en-US"/>
              </w:rPr>
              <w:t>unit</w:t>
            </w:r>
            <w:r w:rsidRPr="00DA2781">
              <w:rPr>
                <w:lang w:val="en-US"/>
              </w:rPr>
              <w:t xml:space="preserve"> </w:t>
            </w:r>
            <w:r w:rsidRPr="00DA2781">
              <w:rPr>
                <w:b/>
                <w:lang w:val="en-US"/>
              </w:rPr>
              <w:t>insulated equipment</w:t>
            </w:r>
            <w:r w:rsidRPr="00DA2781">
              <w:rPr>
                <w:color w:val="FF0000"/>
                <w:lang w:val="en-US"/>
              </w:rPr>
              <w:t xml:space="preserve"> </w:t>
            </w:r>
            <w:r w:rsidRPr="00DA2781">
              <w:rPr>
                <w:lang w:val="en-US"/>
              </w:rPr>
              <w:t>tested meets the class specification, the resulting test report shall be regarded as a Type Approval Certificate. This certificate shall expire at the end of a</w:t>
            </w:r>
            <w:r w:rsidRPr="00DA2781">
              <w:rPr>
                <w:color w:val="FF0000"/>
                <w:lang w:val="en-US"/>
              </w:rPr>
              <w:t xml:space="preserve"> </w:t>
            </w:r>
            <w:r w:rsidRPr="00DA2781">
              <w:rPr>
                <w:lang w:val="en-US"/>
              </w:rPr>
              <w:t>period of six years beginning from the date of completion of the test.</w:t>
            </w:r>
          </w:p>
          <w:p w:rsidR="00A6096F" w:rsidRPr="00DA2781" w:rsidRDefault="00A6096F" w:rsidP="00C204BB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DA2781">
              <w:rPr>
                <w:lang w:val="en-US"/>
              </w:rPr>
              <w:t>The date of expiry of test reports shall be stated in months and years</w:t>
            </w:r>
            <w:r w:rsidR="00AC7814" w:rsidRPr="00DA2781">
              <w:rPr>
                <w:lang w:val="en-US"/>
              </w:rPr>
              <w:t>;</w:t>
            </w:r>
          </w:p>
          <w:p w:rsidR="00A6096F" w:rsidRPr="00DA2781" w:rsidRDefault="00A6096F" w:rsidP="00C204BB">
            <w:pPr>
              <w:autoSpaceDE w:val="0"/>
              <w:autoSpaceDN w:val="0"/>
              <w:adjustRightInd w:val="0"/>
              <w:spacing w:line="240" w:lineRule="auto"/>
              <w:ind w:left="-855" w:right="458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>(b)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 xml:space="preserve">The competent authority shall take steps to verify that </w:t>
            </w:r>
            <w:r w:rsidRPr="00DA2781">
              <w:rPr>
                <w:b/>
                <w:lang w:val="en-US"/>
              </w:rPr>
              <w:t>the</w:t>
            </w:r>
            <w:r w:rsidRPr="00DA2781">
              <w:rPr>
                <w:lang w:val="en-US"/>
              </w:rPr>
              <w:t xml:space="preserve"> production of </w:t>
            </w:r>
            <w:r w:rsidRPr="00DA2781">
              <w:rPr>
                <w:strike/>
                <w:lang w:val="en-US"/>
              </w:rPr>
              <w:t>other units</w:t>
            </w:r>
            <w:r w:rsidRPr="00DA2781">
              <w:rPr>
                <w:lang w:val="en-US"/>
              </w:rPr>
              <w:t xml:space="preserve"> </w:t>
            </w:r>
            <w:r w:rsidRPr="00DA2781">
              <w:rPr>
                <w:b/>
                <w:lang w:val="en-US"/>
              </w:rPr>
              <w:t xml:space="preserve">all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="0044537E" w:rsidRPr="00DA2781">
              <w:rPr>
                <w:b/>
                <w:lang w:val="en-US"/>
              </w:rPr>
              <w:t>equipment</w:t>
            </w:r>
            <w:r w:rsidRPr="00DA2781">
              <w:rPr>
                <w:lang w:val="en-US"/>
              </w:rPr>
              <w:t xml:space="preserve"> is in conformity with the approved type. For this </w:t>
            </w:r>
            <w:proofErr w:type="gramStart"/>
            <w:r w:rsidRPr="00DA2781">
              <w:rPr>
                <w:lang w:val="en-US"/>
              </w:rPr>
              <w:t>purpose</w:t>
            </w:r>
            <w:proofErr w:type="gramEnd"/>
            <w:r w:rsidRPr="00DA2781">
              <w:rPr>
                <w:lang w:val="en-US"/>
              </w:rPr>
              <w:t xml:space="preserve"> it may check by testing sample </w:t>
            </w:r>
            <w:r w:rsidRPr="00DA2781">
              <w:rPr>
                <w:strike/>
                <w:lang w:val="en-US"/>
              </w:rPr>
              <w:t>units</w:t>
            </w:r>
            <w:r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="0044537E" w:rsidRPr="00DA2781">
              <w:rPr>
                <w:b/>
                <w:lang w:val="en-US"/>
              </w:rPr>
              <w:t>equipment</w:t>
            </w:r>
            <w:r w:rsidRPr="00DA2781">
              <w:rPr>
                <w:color w:val="FF0000"/>
                <w:lang w:val="en-US"/>
              </w:rPr>
              <w:t xml:space="preserve"> </w:t>
            </w:r>
            <w:r w:rsidRPr="00DA2781">
              <w:rPr>
                <w:lang w:val="en-US"/>
              </w:rPr>
              <w:t>drawn at random from the production series</w:t>
            </w:r>
            <w:r w:rsidR="00AC7814" w:rsidRPr="00DA2781">
              <w:rPr>
                <w:lang w:val="en-US"/>
              </w:rPr>
              <w:t>;</w:t>
            </w:r>
          </w:p>
          <w:p w:rsidR="00363274" w:rsidRPr="00DA2781" w:rsidRDefault="0036327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>(c)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proofErr w:type="gramStart"/>
            <w:r w:rsidRPr="00DA2781">
              <w:rPr>
                <w:lang w:val="en-US"/>
              </w:rPr>
              <w:t>A</w:t>
            </w:r>
            <w:r w:rsidRPr="00DA2781">
              <w:rPr>
                <w:b/>
                <w:lang w:val="en-US"/>
              </w:rPr>
              <w:t>n</w:t>
            </w:r>
            <w:proofErr w:type="gramEnd"/>
            <w:r w:rsidRPr="00DA2781">
              <w:rPr>
                <w:lang w:val="en-US"/>
              </w:rPr>
              <w:t xml:space="preserve"> </w:t>
            </w:r>
            <w:r w:rsidRPr="00DA2781">
              <w:rPr>
                <w:strike/>
                <w:lang w:val="en-US"/>
              </w:rPr>
              <w:t>unit</w:t>
            </w:r>
            <w:r w:rsidRPr="00DA2781">
              <w:rPr>
                <w:lang w:val="en-US"/>
              </w:rPr>
              <w:t xml:space="preserve"> </w:t>
            </w:r>
            <w:r w:rsidR="0044537E" w:rsidRPr="00DA2781">
              <w:rPr>
                <w:b/>
                <w:lang w:val="en-US"/>
              </w:rPr>
              <w:t>item of</w:t>
            </w:r>
            <w:r w:rsidR="0044537E"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Pr="00DA2781">
              <w:rPr>
                <w:b/>
                <w:lang w:val="en-US"/>
              </w:rPr>
              <w:t>equipment</w:t>
            </w:r>
            <w:r w:rsidRPr="00DA2781">
              <w:rPr>
                <w:color w:val="FF0000"/>
                <w:lang w:val="en-US"/>
              </w:rPr>
              <w:t xml:space="preserve"> </w:t>
            </w:r>
            <w:r w:rsidRPr="00DA2781">
              <w:rPr>
                <w:lang w:val="en-US"/>
              </w:rPr>
              <w:t xml:space="preserve">shall not be regarded as being of the same type as the </w:t>
            </w:r>
            <w:r w:rsidRPr="00DA2781">
              <w:rPr>
                <w:strike/>
                <w:lang w:val="en-US"/>
              </w:rPr>
              <w:t>unit</w:t>
            </w:r>
            <w:r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Pr="00DA2781">
              <w:rPr>
                <w:b/>
                <w:lang w:val="en-US"/>
              </w:rPr>
              <w:t>equipment</w:t>
            </w:r>
            <w:r w:rsidRPr="00DA2781">
              <w:rPr>
                <w:lang w:val="en-US"/>
              </w:rPr>
              <w:t xml:space="preserve"> tested unless it satisfies the following minimum conditions: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 xml:space="preserve">(i) </w:t>
            </w:r>
          </w:p>
        </w:tc>
        <w:tc>
          <w:tcPr>
            <w:tcW w:w="5953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If it is insulated equipment, in which case the reference equipment may be</w:t>
            </w:r>
            <w:r w:rsidR="009C43BC" w:rsidRPr="00DA2781">
              <w:rPr>
                <w:lang w:val="en-US"/>
              </w:rPr>
              <w:t xml:space="preserve"> </w:t>
            </w:r>
            <w:r w:rsidRPr="00DA2781">
              <w:rPr>
                <w:lang w:val="en-US"/>
              </w:rPr>
              <w:t>insulated, refrigerated, mechanically refrigerated, heated or mechanically refrigerated and heated equipment</w:t>
            </w:r>
            <w:r w:rsidR="00AB230E" w:rsidRPr="00DA2781">
              <w:rPr>
                <w:lang w:val="en-US"/>
              </w:rPr>
              <w:t>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372063" w:rsidRPr="00DA2781">
              <w:rPr>
                <w:lang w:val="en-US"/>
              </w:rPr>
              <w:t>he construction shall be comparable and</w:t>
            </w:r>
            <w:proofErr w:type="gramStart"/>
            <w:r w:rsidR="00372063" w:rsidRPr="00DA2781">
              <w:rPr>
                <w:lang w:val="en-US"/>
              </w:rPr>
              <w:t>, in particular, the</w:t>
            </w:r>
            <w:proofErr w:type="gramEnd"/>
            <w:r w:rsidR="00372063" w:rsidRPr="00DA2781">
              <w:rPr>
                <w:lang w:val="en-US"/>
              </w:rPr>
              <w:t xml:space="preserve"> insulating material and the method of insulation shall be identical;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372063" w:rsidRPr="00DA2781">
              <w:rPr>
                <w:lang w:val="en-US"/>
              </w:rPr>
              <w:t>he thickness of the insulating material shall be not less than that of the reference equipment;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372063" w:rsidRPr="00DA2781">
              <w:rPr>
                <w:lang w:val="en-US"/>
              </w:rPr>
              <w:t>he interior fittings shall be identical or simplified;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372063" w:rsidRPr="00DA2781">
              <w:rPr>
                <w:lang w:val="en-US"/>
              </w:rPr>
              <w:t>he number of doors and the number of hatches or other openings shall be the same or less; and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372063" w:rsidRPr="00DA2781">
              <w:rPr>
                <w:lang w:val="en-US"/>
              </w:rPr>
              <w:t>he inside surface area of the body shall not be as much as 20% greater or smaller;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AC7814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M</w:t>
            </w:r>
            <w:r w:rsidR="00372063" w:rsidRPr="00DA2781">
              <w:rPr>
                <w:lang w:val="en-US"/>
              </w:rPr>
              <w:t>inor and limited modifications of added or exchanged interior and exterior fittings may be permitted:</w:t>
            </w:r>
            <w:r w:rsidR="00372063" w:rsidRPr="00DA2781">
              <w:rPr>
                <w:vertAlign w:val="superscript"/>
                <w:lang w:val="en-US"/>
              </w:rPr>
              <w:t>4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494314" w:rsidP="00D7512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the </w:t>
            </w:r>
            <w:r w:rsidR="00372063" w:rsidRPr="00DA2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equivalent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volume of accumulated insulation material of all such modifications is less than 1/100th of the total volume of the insulating material in the</w:t>
            </w:r>
            <w:r w:rsidR="0044537E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37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of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insulated </w:t>
            </w:r>
            <w:r w:rsidR="00372063" w:rsidRPr="00DA2781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>unit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2063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372063" w:rsidRPr="00DA2781" w:rsidTr="00A6096F">
        <w:tc>
          <w:tcPr>
            <w:tcW w:w="851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72063" w:rsidRPr="00DA2781" w:rsidRDefault="00372063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372063" w:rsidRPr="00DA2781" w:rsidRDefault="00372063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372063" w:rsidRPr="00DA2781" w:rsidRDefault="00494314" w:rsidP="00D7512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72063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the K coefficient of the tested reference equipment, corrected by a calculation of the added thermal losses, is less than or equal to the K coefficient limit of the category of the equipment; and</w:t>
            </w:r>
          </w:p>
          <w:p w:rsidR="0082655A" w:rsidRPr="00DA2781" w:rsidRDefault="0082655A" w:rsidP="00D751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82655A" w:rsidRPr="00DA2781" w:rsidRDefault="00494314" w:rsidP="0049431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655A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such modifications of interior fittings are carried out using the same technique, particularly as concerns glued fittings.</w:t>
            </w:r>
          </w:p>
          <w:p w:rsidR="0082655A" w:rsidRPr="00DA2781" w:rsidRDefault="0082655A" w:rsidP="00D751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modifications shall be done by or be approved by the manufacturer of the insulated equipment.</w:t>
            </w:r>
          </w:p>
          <w:p w:rsidR="0082655A" w:rsidRPr="00DA2781" w:rsidRDefault="0082655A" w:rsidP="00D751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(ii)</w:t>
            </w:r>
          </w:p>
        </w:tc>
        <w:tc>
          <w:tcPr>
            <w:tcW w:w="5953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If it is refrigerated equipment, in which case the reference equipment shall be refrigerated equipment</w:t>
            </w:r>
            <w:r w:rsidR="00494314" w:rsidRPr="00DA2781">
              <w:rPr>
                <w:lang w:val="en-US"/>
              </w:rPr>
              <w:t>;</w:t>
            </w:r>
          </w:p>
          <w:p w:rsidR="0082655A" w:rsidRPr="00DA2781" w:rsidRDefault="0082655A" w:rsidP="00D751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82655A" w:rsidRPr="00DA2781" w:rsidRDefault="00A6096F" w:rsidP="009951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AC7814" w:rsidRPr="00DA2781">
              <w:rPr>
                <w:lang w:val="en-US"/>
              </w:rPr>
              <w:t>T</w:t>
            </w:r>
            <w:r w:rsidR="0082655A" w:rsidRPr="00DA2781">
              <w:rPr>
                <w:lang w:val="en-US"/>
              </w:rPr>
              <w:t>he conditions set out under (i) above shall be satisfied;</w:t>
            </w:r>
          </w:p>
          <w:p w:rsidR="0082655A" w:rsidRPr="00DA2781" w:rsidRDefault="00A6096F" w:rsidP="009951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AC7814" w:rsidRPr="00DA2781">
              <w:rPr>
                <w:lang w:val="en-US"/>
              </w:rPr>
              <w:t>I</w:t>
            </w:r>
            <w:r w:rsidR="0082655A" w:rsidRPr="00DA2781">
              <w:rPr>
                <w:lang w:val="en-US"/>
              </w:rPr>
              <w:t>nside circulating fans shall be comparable;</w:t>
            </w:r>
          </w:p>
          <w:p w:rsidR="0082655A" w:rsidRPr="00DA2781" w:rsidRDefault="00A6096F" w:rsidP="009951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AC7814" w:rsidRPr="00DA2781">
              <w:rPr>
                <w:lang w:val="en-US"/>
              </w:rPr>
              <w:t>T</w:t>
            </w:r>
            <w:r w:rsidR="0082655A" w:rsidRPr="00DA2781">
              <w:rPr>
                <w:lang w:val="en-US"/>
              </w:rPr>
              <w:t>he source of cold shall be identical; and</w:t>
            </w:r>
          </w:p>
          <w:p w:rsidR="00D22D55" w:rsidRPr="00DA2781" w:rsidRDefault="0099513E" w:rsidP="0099513E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AC7814" w:rsidRPr="00DA2781">
              <w:rPr>
                <w:lang w:val="en-US"/>
              </w:rPr>
              <w:t>T</w:t>
            </w:r>
            <w:r w:rsidR="00363274" w:rsidRPr="00DA2781">
              <w:rPr>
                <w:lang w:val="en-US"/>
              </w:rPr>
              <w:t xml:space="preserve">he </w:t>
            </w:r>
            <w:r w:rsidR="00D22D55" w:rsidRPr="00DA2781">
              <w:rPr>
                <w:lang w:val="en-US"/>
              </w:rPr>
              <w:t>reserve</w:t>
            </w:r>
            <w:r w:rsidR="00363274" w:rsidRPr="00DA2781">
              <w:rPr>
                <w:lang w:val="en-US"/>
              </w:rPr>
              <w:t xml:space="preserve"> </w:t>
            </w:r>
            <w:r w:rsidR="0082655A" w:rsidRPr="00DA2781">
              <w:rPr>
                <w:lang w:val="en-US"/>
              </w:rPr>
              <w:t xml:space="preserve">of cold per </w:t>
            </w:r>
            <w:r w:rsidR="0082655A" w:rsidRPr="00DA2781">
              <w:rPr>
                <w:strike/>
                <w:lang w:val="en-US"/>
              </w:rPr>
              <w:t>unit</w:t>
            </w:r>
            <w:r w:rsidR="0082655A" w:rsidRPr="00DA2781">
              <w:rPr>
                <w:lang w:val="en-US"/>
              </w:rPr>
              <w:t xml:space="preserve"> </w:t>
            </w:r>
            <w:r w:rsidR="0044537E" w:rsidRPr="00DA2781">
              <w:rPr>
                <w:b/>
                <w:lang w:val="en-US"/>
              </w:rPr>
              <w:t>item of</w:t>
            </w:r>
            <w:r w:rsidR="0044537E"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="0082655A" w:rsidRPr="00DA2781">
              <w:rPr>
                <w:b/>
                <w:lang w:val="en-US"/>
              </w:rPr>
              <w:t>equipment</w:t>
            </w:r>
            <w:r w:rsidR="0082655A" w:rsidRPr="00DA2781">
              <w:rPr>
                <w:lang w:val="en-US"/>
              </w:rPr>
              <w:t xml:space="preserve"> of inside</w:t>
            </w:r>
          </w:p>
          <w:p w:rsidR="0082655A" w:rsidRPr="00DA2781" w:rsidRDefault="0099513E" w:rsidP="0099513E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AC7814" w:rsidRPr="00DA2781">
              <w:rPr>
                <w:lang w:val="en-US"/>
              </w:rPr>
              <w:t>S</w:t>
            </w:r>
            <w:r w:rsidR="0082655A" w:rsidRPr="00DA2781">
              <w:rPr>
                <w:lang w:val="en-US"/>
              </w:rPr>
              <w:t>urface area shall be greater or equal;</w:t>
            </w:r>
          </w:p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(iii)</w:t>
            </w:r>
          </w:p>
        </w:tc>
        <w:tc>
          <w:tcPr>
            <w:tcW w:w="5953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If it is mechanically refrigerated equipment, in which case the reference equipment shall be either:</w:t>
            </w:r>
          </w:p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82655A" w:rsidRPr="00DA2781" w:rsidRDefault="00B0549B" w:rsidP="00AB230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(a)</w:t>
            </w:r>
            <w:r w:rsidR="0099513E" w:rsidRPr="00DA2781">
              <w:rPr>
                <w:lang w:val="en-US"/>
              </w:rPr>
              <w:tab/>
            </w:r>
            <w:r w:rsidR="00494314" w:rsidRPr="00DA2781">
              <w:rPr>
                <w:lang w:val="en-US"/>
              </w:rPr>
              <w:t>M</w:t>
            </w:r>
            <w:r w:rsidR="0082655A" w:rsidRPr="00DA2781">
              <w:rPr>
                <w:lang w:val="en-US"/>
              </w:rPr>
              <w:t>echanically refrigerated equipment;</w:t>
            </w:r>
          </w:p>
          <w:p w:rsidR="00B0549B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655A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conditions set out in (i) above shall be satisfied; and</w:t>
            </w:r>
          </w:p>
          <w:p w:rsidR="0082655A" w:rsidRPr="00DA2781" w:rsidRDefault="00494314" w:rsidP="00D751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655A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effective refrigerating capacity of the mechanical refrigeration appliance per </w:t>
            </w:r>
            <w:r w:rsidR="0082655A" w:rsidRPr="00DA2781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>unit</w:t>
            </w:r>
            <w:r w:rsidR="0082655A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37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of</w:t>
            </w:r>
            <w:r w:rsidR="0044537E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D1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insulated </w:t>
            </w:r>
            <w:r w:rsidR="0082655A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="0082655A" w:rsidRPr="00DA2781">
              <w:rPr>
                <w:rFonts w:ascii="Times New Roman" w:hAnsi="Times New Roman" w:cs="Times New Roman"/>
                <w:color w:val="0033CC"/>
                <w:sz w:val="20"/>
                <w:szCs w:val="20"/>
                <w:lang w:val="en-US"/>
              </w:rPr>
              <w:t xml:space="preserve"> </w:t>
            </w:r>
            <w:r w:rsidR="0082655A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inside surface area, under the same temperature conditions, shall be greater or equal; or</w:t>
            </w:r>
          </w:p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82655A" w:rsidRPr="00DA2781" w:rsidTr="00A6096F">
        <w:tc>
          <w:tcPr>
            <w:tcW w:w="851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2655A" w:rsidRPr="00DA2781" w:rsidRDefault="0082655A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82655A" w:rsidRPr="00DA2781" w:rsidRDefault="0082655A" w:rsidP="0099513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(b)</w:t>
            </w:r>
            <w:r w:rsidR="0099513E" w:rsidRPr="00DA2781">
              <w:rPr>
                <w:lang w:val="en-US"/>
              </w:rPr>
              <w:tab/>
            </w:r>
            <w:r w:rsidR="00494314" w:rsidRPr="00DA2781">
              <w:rPr>
                <w:lang w:val="en-US"/>
              </w:rPr>
              <w:t>I</w:t>
            </w:r>
            <w:r w:rsidRPr="00DA2781">
              <w:rPr>
                <w:lang w:val="en-US"/>
              </w:rPr>
              <w:t xml:space="preserve">nsulated equipment which is complete in every detail but minus </w:t>
            </w:r>
            <w:r w:rsidR="0099513E" w:rsidRPr="00DA2781">
              <w:rPr>
                <w:lang w:val="en-US"/>
              </w:rPr>
              <w:tab/>
            </w:r>
            <w:r w:rsidRPr="00DA2781">
              <w:rPr>
                <w:lang w:val="en-US"/>
              </w:rPr>
              <w:t>its</w:t>
            </w:r>
            <w:r w:rsidR="0099513E" w:rsidRPr="00DA2781">
              <w:rPr>
                <w:lang w:val="en-US"/>
              </w:rPr>
              <w:t xml:space="preserve"> </w:t>
            </w:r>
            <w:r w:rsidRPr="00DA2781">
              <w:rPr>
                <w:lang w:val="en-US"/>
              </w:rPr>
              <w:t xml:space="preserve">mechanical refrigeration unit which will be fitted </w:t>
            </w:r>
            <w:proofErr w:type="gramStart"/>
            <w:r w:rsidRPr="00DA2781">
              <w:rPr>
                <w:lang w:val="en-US"/>
              </w:rPr>
              <w:t>at a later date</w:t>
            </w:r>
            <w:proofErr w:type="gramEnd"/>
            <w:r w:rsidR="0099513E" w:rsidRPr="00DA2781">
              <w:rPr>
                <w:lang w:val="en-US"/>
              </w:rPr>
              <w:t>.</w:t>
            </w:r>
          </w:p>
          <w:p w:rsidR="00B0549B" w:rsidRPr="00DA2781" w:rsidRDefault="00B0549B" w:rsidP="0099513E">
            <w:pPr>
              <w:autoSpaceDE w:val="0"/>
              <w:autoSpaceDN w:val="0"/>
              <w:adjustRightInd w:val="0"/>
              <w:spacing w:after="120" w:line="240" w:lineRule="auto"/>
              <w:ind w:left="567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The resulting aperture will be filled, during the measurement of the K coefficient, with close fitting panels of the same overall thickness and type of insulation as is fitted to the front wall. In which case:</w:t>
            </w:r>
          </w:p>
          <w:p w:rsidR="00B0549B" w:rsidRPr="00DA2781" w:rsidRDefault="00494314" w:rsidP="00AB230E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conditions set out in (i) above shall be satisfied; and</w:t>
            </w:r>
          </w:p>
          <w:p w:rsidR="00B0549B" w:rsidRPr="00DA2781" w:rsidRDefault="00494314" w:rsidP="00D75121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effective refrigerating capacity of the mechanical refrigeration unit fitted to insulated reference equipment shall be as defined in annex 1, appendix 2, paragraph 3.2.6.</w:t>
            </w:r>
          </w:p>
          <w:p w:rsidR="0082655A" w:rsidRPr="00DA2781" w:rsidRDefault="0082655A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B0549B" w:rsidRPr="00DA2781" w:rsidTr="00A6096F">
        <w:tc>
          <w:tcPr>
            <w:tcW w:w="851" w:type="dxa"/>
            <w:shd w:val="clear" w:color="auto" w:fill="auto"/>
          </w:tcPr>
          <w:p w:rsidR="00B0549B" w:rsidRPr="00DA2781" w:rsidRDefault="00B0549B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549B" w:rsidRPr="00DA2781" w:rsidRDefault="0099513E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A2781">
              <w:t>(iv)</w:t>
            </w:r>
          </w:p>
        </w:tc>
        <w:tc>
          <w:tcPr>
            <w:tcW w:w="5953" w:type="dxa"/>
            <w:shd w:val="clear" w:color="auto" w:fill="auto"/>
          </w:tcPr>
          <w:p w:rsidR="00B0549B" w:rsidRPr="00DA2781" w:rsidRDefault="00B0549B" w:rsidP="0099513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If it is heated equipment, in which case the reference equipment may be insulated or heated equipment,</w:t>
            </w:r>
          </w:p>
          <w:p w:rsidR="00B0549B" w:rsidRPr="00DA2781" w:rsidRDefault="00494314" w:rsidP="00AB23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B0549B" w:rsidRPr="00DA2781">
              <w:rPr>
                <w:lang w:val="en-US"/>
              </w:rPr>
              <w:t>he conditions set out under (i) above shall be satisfied;</w:t>
            </w:r>
          </w:p>
          <w:p w:rsidR="00B0549B" w:rsidRPr="00DA2781" w:rsidRDefault="00494314" w:rsidP="00AB23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B0549B" w:rsidRPr="00DA2781">
              <w:rPr>
                <w:lang w:val="en-US"/>
              </w:rPr>
              <w:t>he source of heat shall be identical; and</w:t>
            </w:r>
          </w:p>
          <w:p w:rsidR="00B0549B" w:rsidRPr="00DA2781" w:rsidRDefault="00494314" w:rsidP="00AB23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</w:t>
            </w:r>
            <w:r w:rsidR="00B0549B" w:rsidRPr="00DA2781">
              <w:rPr>
                <w:lang w:val="en-US"/>
              </w:rPr>
              <w:t xml:space="preserve">he capacity of the heating appliance per </w:t>
            </w:r>
            <w:r w:rsidR="00B0549B" w:rsidRPr="00DA2781">
              <w:rPr>
                <w:strike/>
                <w:lang w:val="en-US"/>
              </w:rPr>
              <w:t>unit</w:t>
            </w:r>
            <w:r w:rsidR="00B0549B" w:rsidRPr="00DA2781">
              <w:rPr>
                <w:lang w:val="en-US"/>
              </w:rPr>
              <w:t xml:space="preserve"> </w:t>
            </w:r>
            <w:r w:rsidR="0044537E" w:rsidRPr="00DA2781">
              <w:rPr>
                <w:b/>
                <w:lang w:val="en-US"/>
              </w:rPr>
              <w:t>item of</w:t>
            </w:r>
            <w:r w:rsidR="0044537E"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="00B0549B" w:rsidRPr="00DA2781">
              <w:rPr>
                <w:b/>
                <w:lang w:val="en-US"/>
              </w:rPr>
              <w:t>equipment</w:t>
            </w:r>
            <w:r w:rsidR="00B0549B" w:rsidRPr="00DA2781">
              <w:rPr>
                <w:color w:val="0033CC"/>
                <w:lang w:val="en-US"/>
              </w:rPr>
              <w:t xml:space="preserve"> </w:t>
            </w:r>
            <w:r w:rsidR="00B0549B" w:rsidRPr="00DA2781">
              <w:rPr>
                <w:lang w:val="en-US"/>
              </w:rPr>
              <w:t>of inside surface area shall be greater or equal.</w:t>
            </w:r>
          </w:p>
        </w:tc>
      </w:tr>
      <w:tr w:rsidR="00B0549B" w:rsidRPr="00DA2781" w:rsidTr="00A6096F">
        <w:tc>
          <w:tcPr>
            <w:tcW w:w="851" w:type="dxa"/>
            <w:shd w:val="clear" w:color="auto" w:fill="auto"/>
          </w:tcPr>
          <w:p w:rsidR="00B0549B" w:rsidRPr="00DA2781" w:rsidRDefault="00B0549B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549B" w:rsidRPr="00DA2781" w:rsidRDefault="00B0549B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A2781">
              <w:t>(v)</w:t>
            </w:r>
          </w:p>
        </w:tc>
        <w:tc>
          <w:tcPr>
            <w:tcW w:w="5953" w:type="dxa"/>
            <w:shd w:val="clear" w:color="auto" w:fill="auto"/>
          </w:tcPr>
          <w:p w:rsidR="00B0549B" w:rsidRPr="00DA2781" w:rsidRDefault="00B0549B" w:rsidP="00AB230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If it is mechanically refrigerated and heated equipment, in which case the reference equipment shall be:</w:t>
            </w:r>
          </w:p>
          <w:p w:rsidR="00B0549B" w:rsidRPr="00DA2781" w:rsidRDefault="00B0549B" w:rsidP="00AB230E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(a)</w:t>
            </w:r>
            <w:r w:rsidR="00AB230E" w:rsidRPr="00DA2781">
              <w:rPr>
                <w:lang w:val="en-US"/>
              </w:rPr>
              <w:tab/>
            </w:r>
            <w:r w:rsidR="00494314" w:rsidRPr="00DA2781">
              <w:rPr>
                <w:lang w:val="en-US"/>
              </w:rPr>
              <w:t>M</w:t>
            </w:r>
            <w:r w:rsidRPr="00DA2781">
              <w:rPr>
                <w:lang w:val="en-US"/>
              </w:rPr>
              <w:t>echanically refrigerated and heated equipment,</w:t>
            </w:r>
          </w:p>
          <w:p w:rsidR="00B0549B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conditions set out under (i) above shall be satisfied;</w:t>
            </w:r>
          </w:p>
          <w:p w:rsidR="00B0549B" w:rsidRPr="00DA2781" w:rsidRDefault="00AB230E" w:rsidP="00AB230E">
            <w:pPr>
              <w:tabs>
                <w:tab w:val="left" w:pos="991"/>
              </w:tabs>
              <w:autoSpaceDE w:val="0"/>
              <w:autoSpaceDN w:val="0"/>
              <w:adjustRightInd w:val="0"/>
              <w:spacing w:after="120" w:line="240" w:lineRule="auto"/>
              <w:ind w:left="567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ab/>
            </w:r>
            <w:r w:rsidR="00B0549B" w:rsidRPr="00DA2781">
              <w:rPr>
                <w:lang w:val="en-US"/>
              </w:rPr>
              <w:t>and</w:t>
            </w:r>
          </w:p>
          <w:p w:rsidR="00B0549B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effective refrigerating capacity of the mechanical refrigeration or mechanical refrigeration-heating appliance per </w:t>
            </w:r>
            <w:r w:rsidR="00B0549B" w:rsidRPr="00DA2781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>unit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37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of</w:t>
            </w:r>
            <w:r w:rsidR="0044537E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D1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insulated </w:t>
            </w:r>
            <w:r w:rsidR="00B0549B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equipment 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inside surface area, under the same temperature conditions, shall be greater or equal;</w:t>
            </w:r>
          </w:p>
          <w:p w:rsidR="00B0549B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source of heat shall be identical; and</w:t>
            </w:r>
          </w:p>
          <w:p w:rsidR="00B0549B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capacity of the heating appliance per </w:t>
            </w:r>
            <w:r w:rsidR="00B0549B" w:rsidRPr="00DA2781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>unit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37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of</w:t>
            </w:r>
            <w:r w:rsidR="0044537E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D1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insulated </w:t>
            </w:r>
            <w:r w:rsidR="00B0549B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="00B0549B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inside surface area shall be greater or equal;</w:t>
            </w:r>
          </w:p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ind w:firstLine="360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or</w:t>
            </w:r>
          </w:p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lang w:val="en-US"/>
              </w:rPr>
            </w:pPr>
          </w:p>
        </w:tc>
      </w:tr>
      <w:tr w:rsidR="00B0549B" w:rsidRPr="00DA2781" w:rsidTr="00A6096F">
        <w:tc>
          <w:tcPr>
            <w:tcW w:w="851" w:type="dxa"/>
            <w:shd w:val="clear" w:color="auto" w:fill="auto"/>
          </w:tcPr>
          <w:p w:rsidR="00B0549B" w:rsidRPr="00DA2781" w:rsidRDefault="00B0549B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549B" w:rsidRPr="00DA2781" w:rsidRDefault="00AB230E" w:rsidP="00D75121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0549B" w:rsidRPr="00DA2781" w:rsidRDefault="00B0549B" w:rsidP="00AB230E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(b)</w:t>
            </w:r>
            <w:r w:rsidR="00AB230E" w:rsidRPr="00DA2781">
              <w:rPr>
                <w:lang w:val="en-US"/>
              </w:rPr>
              <w:tab/>
            </w:r>
            <w:r w:rsidR="00494314" w:rsidRPr="00DA2781">
              <w:rPr>
                <w:lang w:val="en-US"/>
              </w:rPr>
              <w:t>I</w:t>
            </w:r>
            <w:r w:rsidRPr="00DA2781">
              <w:rPr>
                <w:lang w:val="en-US"/>
              </w:rPr>
              <w:t>nsulated equipment which is complete in every detail but minus its</w:t>
            </w:r>
            <w:r w:rsidR="00AB230E" w:rsidRPr="00DA2781">
              <w:rPr>
                <w:lang w:val="en-US"/>
              </w:rPr>
              <w:tab/>
            </w:r>
            <w:r w:rsidRPr="00DA2781">
              <w:rPr>
                <w:lang w:val="en-US"/>
              </w:rPr>
              <w:t>mechanical refrigeration, heating or mechanical</w:t>
            </w:r>
            <w:r w:rsidR="00B748D0" w:rsidRPr="00DA2781">
              <w:rPr>
                <w:lang w:val="en-US"/>
              </w:rPr>
              <w:t xml:space="preserve"> </w:t>
            </w:r>
            <w:r w:rsidRPr="00DA2781">
              <w:rPr>
                <w:lang w:val="en-US"/>
              </w:rPr>
              <w:t>refrigeration-</w:t>
            </w:r>
            <w:r w:rsidR="00B748D0" w:rsidRPr="00DA2781">
              <w:rPr>
                <w:lang w:val="en-US"/>
              </w:rPr>
              <w:t xml:space="preserve"> </w:t>
            </w:r>
            <w:r w:rsidR="00AB230E" w:rsidRPr="00DA2781">
              <w:rPr>
                <w:lang w:val="en-US"/>
              </w:rPr>
              <w:tab/>
            </w:r>
            <w:r w:rsidRPr="00DA2781">
              <w:rPr>
                <w:lang w:val="en-US"/>
              </w:rPr>
              <w:t xml:space="preserve">heating appliance, which will be fitted </w:t>
            </w:r>
            <w:proofErr w:type="gramStart"/>
            <w:r w:rsidRPr="00DA2781">
              <w:rPr>
                <w:lang w:val="en-US"/>
              </w:rPr>
              <w:t>at a later date</w:t>
            </w:r>
            <w:proofErr w:type="gramEnd"/>
            <w:r w:rsidRPr="00DA2781">
              <w:rPr>
                <w:lang w:val="en-US"/>
              </w:rPr>
              <w:t>.</w:t>
            </w:r>
          </w:p>
          <w:p w:rsidR="00B748D0" w:rsidRPr="00DA2781" w:rsidRDefault="00B748D0" w:rsidP="00AB230E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>The resulting aperture will be filled, during the measurement of the K coefficient, with close fitting panels of the same overall thickness and type of insulation as are fitted to the front wall, in which case:</w:t>
            </w:r>
          </w:p>
          <w:p w:rsidR="00B748D0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conditions set out under (i) above shall be satisfied;</w:t>
            </w:r>
          </w:p>
          <w:p w:rsidR="00B748D0" w:rsidRPr="00DA2781" w:rsidRDefault="00AB230E" w:rsidP="00AB230E">
            <w:pPr>
              <w:pStyle w:val="ListParagraph"/>
              <w:tabs>
                <w:tab w:val="left" w:pos="849"/>
              </w:tabs>
              <w:autoSpaceDE w:val="0"/>
              <w:autoSpaceDN w:val="0"/>
              <w:adjustRightInd w:val="0"/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</w:p>
          <w:p w:rsidR="00B748D0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effective refrigerating capacity of the mechanical refrigeration or mechanical refrigeration-heating unit fitted to insulated reference equipment shall be as defined in annex 1, appendix 2, paragraph 3.4.7;</w:t>
            </w:r>
          </w:p>
          <w:p w:rsidR="00B748D0" w:rsidRPr="00DA2781" w:rsidRDefault="00494314" w:rsidP="00AB230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source of heat shall be identical; and</w:t>
            </w:r>
          </w:p>
          <w:p w:rsidR="00B748D0" w:rsidRPr="00DA2781" w:rsidRDefault="00494314" w:rsidP="00D751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capacity of the heating appliance per </w:t>
            </w:r>
            <w:r w:rsidR="00B748D0" w:rsidRPr="00DA2781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>unit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37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of</w:t>
            </w:r>
            <w:r w:rsidR="0044537E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D1E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insulated </w:t>
            </w:r>
            <w:r w:rsidR="00B748D0" w:rsidRPr="00DA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</w:t>
            </w:r>
            <w:r w:rsidR="00B748D0" w:rsidRPr="00DA278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B748D0" w:rsidRPr="00DA2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inside surface area shall be greater or equal.</w:t>
            </w:r>
          </w:p>
          <w:p w:rsidR="00B0549B" w:rsidRPr="00DA2781" w:rsidRDefault="00B0549B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  <w:tr w:rsidR="008371C9" w:rsidRPr="00DA2781" w:rsidTr="00A6096F">
        <w:tc>
          <w:tcPr>
            <w:tcW w:w="851" w:type="dxa"/>
            <w:shd w:val="clear" w:color="auto" w:fill="auto"/>
          </w:tcPr>
          <w:p w:rsidR="008371C9" w:rsidRPr="00DA2781" w:rsidRDefault="008371C9" w:rsidP="00D75121">
            <w:pPr>
              <w:autoSpaceDN w:val="0"/>
              <w:spacing w:after="120"/>
              <w:ind w:right="1134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371C9" w:rsidRPr="00DA2781" w:rsidRDefault="008371C9" w:rsidP="00D75121">
            <w:pPr>
              <w:autoSpaceDN w:val="0"/>
              <w:spacing w:line="240" w:lineRule="auto"/>
              <w:textAlignment w:val="baseline"/>
              <w:rPr>
                <w:kern w:val="3"/>
                <w:lang w:eastAsia="zh-CN"/>
              </w:rPr>
            </w:pPr>
            <w:r w:rsidRPr="00DA2781">
              <w:rPr>
                <w:kern w:val="3"/>
                <w:lang w:eastAsia="zh-CN"/>
              </w:rPr>
              <w:t>(d)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371C9" w:rsidRPr="00DA2781" w:rsidRDefault="008371C9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DA2781">
              <w:rPr>
                <w:lang w:val="en-US"/>
              </w:rPr>
              <w:t xml:space="preserve">If, in the course of the six-year period, the production series exceeds 100 </w:t>
            </w:r>
            <w:proofErr w:type="gramStart"/>
            <w:r w:rsidRPr="00DA2781">
              <w:rPr>
                <w:strike/>
                <w:lang w:val="en-US"/>
              </w:rPr>
              <w:t xml:space="preserve">units </w:t>
            </w:r>
            <w:r w:rsidRPr="00DA2781">
              <w:rPr>
                <w:lang w:val="en-US"/>
              </w:rPr>
              <w:t xml:space="preserve"> </w:t>
            </w:r>
            <w:r w:rsidR="0044537E" w:rsidRPr="00DA2781">
              <w:rPr>
                <w:b/>
                <w:lang w:val="en-US"/>
              </w:rPr>
              <w:t>items</w:t>
            </w:r>
            <w:proofErr w:type="gramEnd"/>
            <w:r w:rsidR="0044537E" w:rsidRPr="00DA2781">
              <w:rPr>
                <w:b/>
                <w:lang w:val="en-US"/>
              </w:rPr>
              <w:t xml:space="preserve"> of</w:t>
            </w:r>
            <w:r w:rsidR="0044537E"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="0044537E" w:rsidRPr="00DA2781">
              <w:rPr>
                <w:b/>
                <w:lang w:val="en-US"/>
              </w:rPr>
              <w:t>equipment</w:t>
            </w:r>
            <w:r w:rsidRPr="00DA2781">
              <w:rPr>
                <w:lang w:val="en-US"/>
              </w:rPr>
              <w:t xml:space="preserve">, the competent authority shall determine the percentage of </w:t>
            </w:r>
            <w:r w:rsidRPr="00DA2781">
              <w:rPr>
                <w:strike/>
                <w:lang w:val="en-US"/>
              </w:rPr>
              <w:t>units</w:t>
            </w:r>
            <w:r w:rsidRPr="00DA2781">
              <w:rPr>
                <w:lang w:val="en-US"/>
              </w:rPr>
              <w:t xml:space="preserve"> </w:t>
            </w:r>
            <w:r w:rsidR="00B74D1E" w:rsidRPr="00DA2781">
              <w:rPr>
                <w:b/>
                <w:lang w:val="en-US"/>
              </w:rPr>
              <w:t xml:space="preserve">insulated </w:t>
            </w:r>
            <w:r w:rsidRPr="00DA2781">
              <w:rPr>
                <w:b/>
                <w:lang w:val="en-US"/>
              </w:rPr>
              <w:t>eq</w:t>
            </w:r>
            <w:r w:rsidR="009C43BC" w:rsidRPr="00DA2781">
              <w:rPr>
                <w:b/>
                <w:lang w:val="en-US"/>
              </w:rPr>
              <w:t>u</w:t>
            </w:r>
            <w:r w:rsidRPr="00DA2781">
              <w:rPr>
                <w:b/>
                <w:lang w:val="en-US"/>
              </w:rPr>
              <w:t>ipment</w:t>
            </w:r>
            <w:r w:rsidRPr="00DA2781">
              <w:rPr>
                <w:lang w:val="en-US"/>
              </w:rPr>
              <w:t xml:space="preserve"> to be tested.</w:t>
            </w:r>
          </w:p>
          <w:p w:rsidR="008371C9" w:rsidRPr="00DA2781" w:rsidRDefault="008371C9" w:rsidP="00D7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</w:p>
        </w:tc>
      </w:tr>
    </w:tbl>
    <w:p w:rsidR="0079445C" w:rsidRPr="00290F51" w:rsidRDefault="00B718EC" w:rsidP="00AB230E">
      <w:pPr>
        <w:pStyle w:val="HChG"/>
        <w:rPr>
          <w:lang w:val="en-US"/>
        </w:rPr>
      </w:pPr>
      <w:r w:rsidRPr="00290F51">
        <w:rPr>
          <w:lang w:val="en-US"/>
        </w:rPr>
        <w:tab/>
      </w:r>
      <w:r w:rsidRPr="00290F51">
        <w:rPr>
          <w:lang w:val="en-US"/>
        </w:rPr>
        <w:tab/>
      </w:r>
      <w:r w:rsidR="008B5E55" w:rsidRPr="00290F51">
        <w:rPr>
          <w:lang w:val="en-US"/>
        </w:rPr>
        <w:t>Impact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6092"/>
      </w:tblGrid>
      <w:tr w:rsidR="00927127" w:rsidRPr="00DA2781" w:rsidTr="004D2CF1">
        <w:tc>
          <w:tcPr>
            <w:tcW w:w="1421" w:type="dxa"/>
            <w:shd w:val="clear" w:color="auto" w:fill="auto"/>
          </w:tcPr>
          <w:p w:rsidR="00927127" w:rsidRPr="00DA2781" w:rsidRDefault="00927127" w:rsidP="00927127">
            <w:pPr>
              <w:spacing w:after="120"/>
              <w:jc w:val="both"/>
            </w:pPr>
            <w:r w:rsidRPr="00DA2781">
              <w:t>Cost:</w:t>
            </w:r>
          </w:p>
        </w:tc>
        <w:tc>
          <w:tcPr>
            <w:tcW w:w="6092" w:type="dxa"/>
            <w:shd w:val="clear" w:color="auto" w:fill="auto"/>
          </w:tcPr>
          <w:p w:rsidR="00B718EC" w:rsidRPr="00DA2781" w:rsidRDefault="00A04806" w:rsidP="004D2CF1">
            <w:pPr>
              <w:spacing w:after="120"/>
            </w:pPr>
            <w:r w:rsidRPr="00DA2781">
              <w:rPr>
                <w:kern w:val="3"/>
                <w:lang w:eastAsia="zh-CN"/>
              </w:rPr>
              <w:t>No impact.</w:t>
            </w:r>
          </w:p>
        </w:tc>
      </w:tr>
      <w:tr w:rsidR="00927127" w:rsidRPr="00DA2781" w:rsidTr="004D2CF1">
        <w:tc>
          <w:tcPr>
            <w:tcW w:w="1421" w:type="dxa"/>
            <w:shd w:val="clear" w:color="auto" w:fill="auto"/>
          </w:tcPr>
          <w:p w:rsidR="00927127" w:rsidRPr="00DA2781" w:rsidRDefault="00927127" w:rsidP="00927127">
            <w:pPr>
              <w:spacing w:after="120"/>
              <w:jc w:val="both"/>
            </w:pPr>
            <w:r w:rsidRPr="00DA2781">
              <w:t>Feasibility:</w:t>
            </w:r>
          </w:p>
        </w:tc>
        <w:tc>
          <w:tcPr>
            <w:tcW w:w="6092" w:type="dxa"/>
            <w:shd w:val="clear" w:color="auto" w:fill="auto"/>
          </w:tcPr>
          <w:p w:rsidR="004D2CF1" w:rsidRPr="00DA2781" w:rsidRDefault="002968F4" w:rsidP="008B5E55">
            <w:pPr>
              <w:spacing w:after="120"/>
            </w:pPr>
            <w:r w:rsidRPr="00DA2781">
              <w:t>The proposed amendment can easily be implemented in ATP. A transitional period is not needed.</w:t>
            </w:r>
          </w:p>
        </w:tc>
      </w:tr>
      <w:tr w:rsidR="004D2CF1" w:rsidRPr="00DA2781" w:rsidTr="007728A0">
        <w:trPr>
          <w:trHeight w:val="192"/>
        </w:trPr>
        <w:tc>
          <w:tcPr>
            <w:tcW w:w="1421" w:type="dxa"/>
            <w:shd w:val="clear" w:color="auto" w:fill="auto"/>
          </w:tcPr>
          <w:p w:rsidR="004D2CF1" w:rsidRPr="00DA2781" w:rsidRDefault="004D2CF1" w:rsidP="004569E5">
            <w:pPr>
              <w:spacing w:after="120"/>
              <w:jc w:val="both"/>
            </w:pPr>
            <w:r w:rsidRPr="00DA2781">
              <w:t>Enforceability:</w:t>
            </w:r>
          </w:p>
        </w:tc>
        <w:tc>
          <w:tcPr>
            <w:tcW w:w="6092" w:type="dxa"/>
            <w:shd w:val="clear" w:color="auto" w:fill="auto"/>
          </w:tcPr>
          <w:p w:rsidR="004D2CF1" w:rsidRPr="00DA2781" w:rsidRDefault="004D2CF1" w:rsidP="004569E5">
            <w:pPr>
              <w:spacing w:after="120"/>
              <w:jc w:val="both"/>
            </w:pPr>
            <w:r w:rsidRPr="00DA2781">
              <w:t>No problems are expected.</w:t>
            </w:r>
          </w:p>
        </w:tc>
      </w:tr>
    </w:tbl>
    <w:p w:rsidR="002623B8" w:rsidRDefault="00C1260D" w:rsidP="00C1260D">
      <w:pPr>
        <w:pStyle w:val="SingleTxtG"/>
        <w:spacing w:before="240" w:after="0"/>
        <w:ind w:left="0"/>
        <w:jc w:val="center"/>
        <w:rPr>
          <w:sz w:val="10"/>
          <w:szCs w:val="10"/>
          <w:u w:val="single"/>
          <w:lang w:val="en-US"/>
        </w:rPr>
      </w:pPr>
      <w:r w:rsidRPr="00C1260D">
        <w:rPr>
          <w:sz w:val="10"/>
          <w:szCs w:val="10"/>
          <w:u w:val="single"/>
          <w:lang w:val="en-US"/>
        </w:rPr>
        <w:t>_______________</w:t>
      </w:r>
      <w:r>
        <w:rPr>
          <w:sz w:val="10"/>
          <w:szCs w:val="10"/>
          <w:u w:val="single"/>
          <w:lang w:val="en-US"/>
        </w:rPr>
        <w:t>________________</w:t>
      </w:r>
      <w:r w:rsidRPr="00C1260D">
        <w:rPr>
          <w:sz w:val="10"/>
          <w:szCs w:val="10"/>
          <w:u w:val="single"/>
          <w:lang w:val="en-US"/>
        </w:rPr>
        <w:t>_</w:t>
      </w:r>
    </w:p>
    <w:sectPr w:rsidR="002623B8" w:rsidSect="00AC78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9B" w:rsidRDefault="00611F9B"/>
  </w:endnote>
  <w:endnote w:type="continuationSeparator" w:id="0">
    <w:p w:rsidR="00611F9B" w:rsidRDefault="00611F9B"/>
  </w:endnote>
  <w:endnote w:type="continuationNotice" w:id="1">
    <w:p w:rsidR="00611F9B" w:rsidRDefault="0061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D22D55">
      <w:rPr>
        <w:b/>
        <w:noProof/>
        <w:sz w:val="18"/>
      </w:rPr>
      <w:t>4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D22D55">
      <w:rPr>
        <w:b/>
        <w:noProof/>
        <w:sz w:val="18"/>
      </w:rPr>
      <w:t>5</w:t>
    </w:r>
    <w:r w:rsidRPr="00F616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9B" w:rsidRPr="000B175B" w:rsidRDefault="00611F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1F9B" w:rsidRPr="00FC68B7" w:rsidRDefault="00611F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1F9B" w:rsidRDefault="00611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B86DC5" w:rsidP="003C4BB1">
    <w:pPr>
      <w:pStyle w:val="Header"/>
    </w:pPr>
    <w:r>
      <w:t>ECE/TRANS/WP.11/201</w:t>
    </w:r>
    <w:r w:rsidR="00A04806">
      <w:t>9</w:t>
    </w:r>
    <w:r>
      <w:t>/</w:t>
    </w:r>
    <w:r w:rsidR="00A6096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5" w:rsidRPr="00F616E0" w:rsidRDefault="00280485" w:rsidP="00F616E0">
    <w:pPr>
      <w:pStyle w:val="Header"/>
      <w:jc w:val="right"/>
    </w:pPr>
    <w:r>
      <w:t>ECE/TRANS/W</w:t>
    </w:r>
    <w:r w:rsidR="00C8412F">
      <w:t>P.11/2017/</w:t>
    </w:r>
    <w:r w:rsidR="001E7CF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2D4052"/>
    <w:multiLevelType w:val="hybridMultilevel"/>
    <w:tmpl w:val="A256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7186"/>
    <w:multiLevelType w:val="hybridMultilevel"/>
    <w:tmpl w:val="7C1CA3DE"/>
    <w:lvl w:ilvl="0" w:tplc="8ACC22D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D8B1C80"/>
    <w:multiLevelType w:val="hybridMultilevel"/>
    <w:tmpl w:val="08BEBE42"/>
    <w:lvl w:ilvl="0" w:tplc="04070017">
      <w:start w:val="1"/>
      <w:numFmt w:val="lowerLetter"/>
      <w:lvlText w:val="%1)"/>
      <w:lvlJc w:val="left"/>
      <w:pPr>
        <w:ind w:left="1215" w:hanging="360"/>
      </w:p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EB75122"/>
    <w:multiLevelType w:val="hybridMultilevel"/>
    <w:tmpl w:val="63B4657C"/>
    <w:lvl w:ilvl="0" w:tplc="1C787A3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4B3E12"/>
    <w:multiLevelType w:val="hybridMultilevel"/>
    <w:tmpl w:val="1F52EE92"/>
    <w:lvl w:ilvl="0" w:tplc="0407001B">
      <w:start w:val="1"/>
      <w:numFmt w:val="lowerRoman"/>
      <w:lvlText w:val="%1."/>
      <w:lvlJc w:val="right"/>
      <w:pPr>
        <w:ind w:left="2073" w:hanging="360"/>
      </w:pPr>
    </w:lvl>
    <w:lvl w:ilvl="1" w:tplc="04070019" w:tentative="1">
      <w:start w:val="1"/>
      <w:numFmt w:val="lowerLetter"/>
      <w:lvlText w:val="%2."/>
      <w:lvlJc w:val="left"/>
      <w:pPr>
        <w:ind w:left="2793" w:hanging="360"/>
      </w:pPr>
    </w:lvl>
    <w:lvl w:ilvl="2" w:tplc="0407001B" w:tentative="1">
      <w:start w:val="1"/>
      <w:numFmt w:val="lowerRoman"/>
      <w:lvlText w:val="%3."/>
      <w:lvlJc w:val="right"/>
      <w:pPr>
        <w:ind w:left="3513" w:hanging="180"/>
      </w:pPr>
    </w:lvl>
    <w:lvl w:ilvl="3" w:tplc="0407000F" w:tentative="1">
      <w:start w:val="1"/>
      <w:numFmt w:val="decimal"/>
      <w:lvlText w:val="%4."/>
      <w:lvlJc w:val="left"/>
      <w:pPr>
        <w:ind w:left="4233" w:hanging="360"/>
      </w:pPr>
    </w:lvl>
    <w:lvl w:ilvl="4" w:tplc="04070019" w:tentative="1">
      <w:start w:val="1"/>
      <w:numFmt w:val="lowerLetter"/>
      <w:lvlText w:val="%5."/>
      <w:lvlJc w:val="left"/>
      <w:pPr>
        <w:ind w:left="4953" w:hanging="360"/>
      </w:pPr>
    </w:lvl>
    <w:lvl w:ilvl="5" w:tplc="0407001B" w:tentative="1">
      <w:start w:val="1"/>
      <w:numFmt w:val="lowerRoman"/>
      <w:lvlText w:val="%6."/>
      <w:lvlJc w:val="right"/>
      <w:pPr>
        <w:ind w:left="5673" w:hanging="180"/>
      </w:pPr>
    </w:lvl>
    <w:lvl w:ilvl="6" w:tplc="0407000F" w:tentative="1">
      <w:start w:val="1"/>
      <w:numFmt w:val="decimal"/>
      <w:lvlText w:val="%7."/>
      <w:lvlJc w:val="left"/>
      <w:pPr>
        <w:ind w:left="6393" w:hanging="360"/>
      </w:pPr>
    </w:lvl>
    <w:lvl w:ilvl="7" w:tplc="04070019" w:tentative="1">
      <w:start w:val="1"/>
      <w:numFmt w:val="lowerLetter"/>
      <w:lvlText w:val="%8."/>
      <w:lvlJc w:val="left"/>
      <w:pPr>
        <w:ind w:left="7113" w:hanging="360"/>
      </w:pPr>
    </w:lvl>
    <w:lvl w:ilvl="8" w:tplc="040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63D"/>
    <w:multiLevelType w:val="hybridMultilevel"/>
    <w:tmpl w:val="0C7C6B5E"/>
    <w:lvl w:ilvl="0" w:tplc="187CBA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E53595"/>
    <w:multiLevelType w:val="hybridMultilevel"/>
    <w:tmpl w:val="7AAA54A4"/>
    <w:lvl w:ilvl="0" w:tplc="8ACC22DA">
      <w:numFmt w:val="bullet"/>
      <w:lvlText w:val="-"/>
      <w:lvlJc w:val="left"/>
      <w:pPr>
        <w:ind w:left="-3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1" w15:restartNumberingAfterBreak="0">
    <w:nsid w:val="38001DFB"/>
    <w:multiLevelType w:val="hybridMultilevel"/>
    <w:tmpl w:val="DCB6BFFE"/>
    <w:lvl w:ilvl="0" w:tplc="0407001B">
      <w:start w:val="1"/>
      <w:numFmt w:val="lowerRoman"/>
      <w:lvlText w:val="%1."/>
      <w:lvlJc w:val="righ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F902F1A"/>
    <w:multiLevelType w:val="hybridMultilevel"/>
    <w:tmpl w:val="AF12CF4E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DC095E"/>
    <w:multiLevelType w:val="hybridMultilevel"/>
    <w:tmpl w:val="FA38FDEA"/>
    <w:lvl w:ilvl="0" w:tplc="D7661FD8">
      <w:start w:val="1"/>
      <w:numFmt w:val="bullet"/>
      <w:lvlText w:val="-"/>
      <w:lvlJc w:val="left"/>
      <w:pPr>
        <w:ind w:left="360" w:hanging="360"/>
      </w:pPr>
      <w:rPr>
        <w:rFonts w:ascii="TimesNewRoman" w:eastAsia="SimSun" w:hAnsi="TimesNewRoman" w:cs="TimesNew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02033"/>
    <w:multiLevelType w:val="hybridMultilevel"/>
    <w:tmpl w:val="30A46826"/>
    <w:lvl w:ilvl="0" w:tplc="8ACC2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CC22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A1291"/>
    <w:multiLevelType w:val="hybridMultilevel"/>
    <w:tmpl w:val="ECCCE1EC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CB267DB"/>
    <w:multiLevelType w:val="hybridMultilevel"/>
    <w:tmpl w:val="319484D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CD3570D"/>
    <w:multiLevelType w:val="hybridMultilevel"/>
    <w:tmpl w:val="A5AC4B4C"/>
    <w:lvl w:ilvl="0" w:tplc="8ACC22DA">
      <w:numFmt w:val="bullet"/>
      <w:lvlText w:val="-"/>
      <w:lvlJc w:val="left"/>
      <w:pPr>
        <w:ind w:left="52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09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69D44217"/>
    <w:multiLevelType w:val="hybridMultilevel"/>
    <w:tmpl w:val="71C06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1A3B"/>
    <w:multiLevelType w:val="hybridMultilevel"/>
    <w:tmpl w:val="4862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F0901"/>
    <w:multiLevelType w:val="hybridMultilevel"/>
    <w:tmpl w:val="1F52EE92"/>
    <w:lvl w:ilvl="0" w:tplc="0407001B">
      <w:start w:val="1"/>
      <w:numFmt w:val="lowerRoman"/>
      <w:lvlText w:val="%1."/>
      <w:lvlJc w:val="right"/>
      <w:pPr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  <w:num w:numId="20">
    <w:abstractNumId w:val="30"/>
  </w:num>
  <w:num w:numId="21">
    <w:abstractNumId w:val="26"/>
  </w:num>
  <w:num w:numId="22">
    <w:abstractNumId w:val="22"/>
  </w:num>
  <w:num w:numId="23">
    <w:abstractNumId w:val="31"/>
  </w:num>
  <w:num w:numId="24">
    <w:abstractNumId w:val="33"/>
  </w:num>
  <w:num w:numId="25">
    <w:abstractNumId w:val="21"/>
  </w:num>
  <w:num w:numId="26">
    <w:abstractNumId w:val="17"/>
  </w:num>
  <w:num w:numId="27">
    <w:abstractNumId w:val="25"/>
  </w:num>
  <w:num w:numId="28">
    <w:abstractNumId w:val="15"/>
  </w:num>
  <w:num w:numId="29">
    <w:abstractNumId w:val="27"/>
  </w:num>
  <w:num w:numId="30">
    <w:abstractNumId w:val="19"/>
  </w:num>
  <w:num w:numId="31">
    <w:abstractNumId w:val="14"/>
  </w:num>
  <w:num w:numId="32">
    <w:abstractNumId w:val="24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D3E"/>
    <w:rsid w:val="00000941"/>
    <w:rsid w:val="00001078"/>
    <w:rsid w:val="000036AF"/>
    <w:rsid w:val="0001070A"/>
    <w:rsid w:val="00016226"/>
    <w:rsid w:val="00021E79"/>
    <w:rsid w:val="000233DC"/>
    <w:rsid w:val="00026A36"/>
    <w:rsid w:val="00026B0C"/>
    <w:rsid w:val="000345F1"/>
    <w:rsid w:val="00043D66"/>
    <w:rsid w:val="00044565"/>
    <w:rsid w:val="00045E2E"/>
    <w:rsid w:val="00046722"/>
    <w:rsid w:val="00046B1F"/>
    <w:rsid w:val="00050F6B"/>
    <w:rsid w:val="000513C9"/>
    <w:rsid w:val="00057CAB"/>
    <w:rsid w:val="00057E97"/>
    <w:rsid w:val="00060C18"/>
    <w:rsid w:val="00062906"/>
    <w:rsid w:val="000646F4"/>
    <w:rsid w:val="00067C9E"/>
    <w:rsid w:val="000702A9"/>
    <w:rsid w:val="00072A11"/>
    <w:rsid w:val="00072C8C"/>
    <w:rsid w:val="00072D15"/>
    <w:rsid w:val="000733B5"/>
    <w:rsid w:val="00074100"/>
    <w:rsid w:val="00076B5A"/>
    <w:rsid w:val="00077013"/>
    <w:rsid w:val="00081815"/>
    <w:rsid w:val="00082F1C"/>
    <w:rsid w:val="000853B0"/>
    <w:rsid w:val="00087D58"/>
    <w:rsid w:val="0009238E"/>
    <w:rsid w:val="000931C0"/>
    <w:rsid w:val="00093C03"/>
    <w:rsid w:val="00095B19"/>
    <w:rsid w:val="000A2D79"/>
    <w:rsid w:val="000A2F74"/>
    <w:rsid w:val="000A61CE"/>
    <w:rsid w:val="000B0595"/>
    <w:rsid w:val="000B175B"/>
    <w:rsid w:val="000B1E70"/>
    <w:rsid w:val="000B2C58"/>
    <w:rsid w:val="000B3A0F"/>
    <w:rsid w:val="000B4EF7"/>
    <w:rsid w:val="000B5EE9"/>
    <w:rsid w:val="000C2C03"/>
    <w:rsid w:val="000C2D2E"/>
    <w:rsid w:val="000E0415"/>
    <w:rsid w:val="000E22A1"/>
    <w:rsid w:val="000F72B1"/>
    <w:rsid w:val="00105BB4"/>
    <w:rsid w:val="001103AA"/>
    <w:rsid w:val="0011530E"/>
    <w:rsid w:val="0011666B"/>
    <w:rsid w:val="00117C6B"/>
    <w:rsid w:val="00120C13"/>
    <w:rsid w:val="001243B2"/>
    <w:rsid w:val="00125F40"/>
    <w:rsid w:val="00151997"/>
    <w:rsid w:val="00152605"/>
    <w:rsid w:val="00165F3A"/>
    <w:rsid w:val="00172236"/>
    <w:rsid w:val="0018430A"/>
    <w:rsid w:val="0018435D"/>
    <w:rsid w:val="00185FE7"/>
    <w:rsid w:val="00187A6E"/>
    <w:rsid w:val="00191336"/>
    <w:rsid w:val="001A65D6"/>
    <w:rsid w:val="001B28D6"/>
    <w:rsid w:val="001B4B04"/>
    <w:rsid w:val="001C0665"/>
    <w:rsid w:val="001C12E3"/>
    <w:rsid w:val="001C3C27"/>
    <w:rsid w:val="001C5EC6"/>
    <w:rsid w:val="001C6663"/>
    <w:rsid w:val="001C7895"/>
    <w:rsid w:val="001C7AEB"/>
    <w:rsid w:val="001D03B6"/>
    <w:rsid w:val="001D0C8C"/>
    <w:rsid w:val="001D1419"/>
    <w:rsid w:val="001D26DF"/>
    <w:rsid w:val="001D2EAC"/>
    <w:rsid w:val="001D31B0"/>
    <w:rsid w:val="001D3A03"/>
    <w:rsid w:val="001D3FAE"/>
    <w:rsid w:val="001D6208"/>
    <w:rsid w:val="001E4A96"/>
    <w:rsid w:val="001E7B67"/>
    <w:rsid w:val="001E7CF1"/>
    <w:rsid w:val="001F58AD"/>
    <w:rsid w:val="001F6C6A"/>
    <w:rsid w:val="001F78B0"/>
    <w:rsid w:val="00202DA8"/>
    <w:rsid w:val="00206843"/>
    <w:rsid w:val="0020695F"/>
    <w:rsid w:val="00211E0B"/>
    <w:rsid w:val="002140A9"/>
    <w:rsid w:val="002165AC"/>
    <w:rsid w:val="0024772E"/>
    <w:rsid w:val="002623B8"/>
    <w:rsid w:val="00263917"/>
    <w:rsid w:val="00267F5F"/>
    <w:rsid w:val="00274058"/>
    <w:rsid w:val="00280091"/>
    <w:rsid w:val="00280485"/>
    <w:rsid w:val="00286B4D"/>
    <w:rsid w:val="00286C00"/>
    <w:rsid w:val="00290F51"/>
    <w:rsid w:val="00295DB4"/>
    <w:rsid w:val="002968F4"/>
    <w:rsid w:val="002B3D3F"/>
    <w:rsid w:val="002C11C6"/>
    <w:rsid w:val="002C1A19"/>
    <w:rsid w:val="002C206E"/>
    <w:rsid w:val="002D3C9E"/>
    <w:rsid w:val="002D4034"/>
    <w:rsid w:val="002D4510"/>
    <w:rsid w:val="002D4643"/>
    <w:rsid w:val="002E410C"/>
    <w:rsid w:val="002E5BFC"/>
    <w:rsid w:val="002E6606"/>
    <w:rsid w:val="002F175C"/>
    <w:rsid w:val="003010D3"/>
    <w:rsid w:val="00302E18"/>
    <w:rsid w:val="003056D4"/>
    <w:rsid w:val="00305E87"/>
    <w:rsid w:val="003103EC"/>
    <w:rsid w:val="0031328C"/>
    <w:rsid w:val="003229D8"/>
    <w:rsid w:val="00323179"/>
    <w:rsid w:val="0032711B"/>
    <w:rsid w:val="0033606C"/>
    <w:rsid w:val="00341E28"/>
    <w:rsid w:val="00350EE7"/>
    <w:rsid w:val="00352709"/>
    <w:rsid w:val="00354547"/>
    <w:rsid w:val="00356327"/>
    <w:rsid w:val="0036121E"/>
    <w:rsid w:val="003619B5"/>
    <w:rsid w:val="00363274"/>
    <w:rsid w:val="00365763"/>
    <w:rsid w:val="00367F71"/>
    <w:rsid w:val="00371178"/>
    <w:rsid w:val="00372063"/>
    <w:rsid w:val="003760FD"/>
    <w:rsid w:val="00380DAF"/>
    <w:rsid w:val="00384276"/>
    <w:rsid w:val="00387AC1"/>
    <w:rsid w:val="00392E47"/>
    <w:rsid w:val="0039361E"/>
    <w:rsid w:val="003979FB"/>
    <w:rsid w:val="00397AA9"/>
    <w:rsid w:val="00397B90"/>
    <w:rsid w:val="003A443C"/>
    <w:rsid w:val="003A6810"/>
    <w:rsid w:val="003B286A"/>
    <w:rsid w:val="003B7072"/>
    <w:rsid w:val="003C2CC4"/>
    <w:rsid w:val="003C39B1"/>
    <w:rsid w:val="003C41AE"/>
    <w:rsid w:val="003C4BB1"/>
    <w:rsid w:val="003C5D37"/>
    <w:rsid w:val="003D1847"/>
    <w:rsid w:val="003D4B23"/>
    <w:rsid w:val="003D4BCF"/>
    <w:rsid w:val="003E130E"/>
    <w:rsid w:val="003F204B"/>
    <w:rsid w:val="004058BE"/>
    <w:rsid w:val="0040612F"/>
    <w:rsid w:val="00410C89"/>
    <w:rsid w:val="00420545"/>
    <w:rsid w:val="00422AA5"/>
    <w:rsid w:val="00422E03"/>
    <w:rsid w:val="00426B9B"/>
    <w:rsid w:val="00431279"/>
    <w:rsid w:val="0043169F"/>
    <w:rsid w:val="00431E97"/>
    <w:rsid w:val="004325CB"/>
    <w:rsid w:val="00434CE9"/>
    <w:rsid w:val="004354D3"/>
    <w:rsid w:val="00441E16"/>
    <w:rsid w:val="00442A83"/>
    <w:rsid w:val="00443CE3"/>
    <w:rsid w:val="0044537E"/>
    <w:rsid w:val="00446BA7"/>
    <w:rsid w:val="0045495B"/>
    <w:rsid w:val="004561E5"/>
    <w:rsid w:val="004569E5"/>
    <w:rsid w:val="00460E99"/>
    <w:rsid w:val="00464B22"/>
    <w:rsid w:val="00472429"/>
    <w:rsid w:val="00476114"/>
    <w:rsid w:val="0048397A"/>
    <w:rsid w:val="00485CBB"/>
    <w:rsid w:val="004866B7"/>
    <w:rsid w:val="00494314"/>
    <w:rsid w:val="0049522A"/>
    <w:rsid w:val="0049559A"/>
    <w:rsid w:val="00496046"/>
    <w:rsid w:val="004A30DD"/>
    <w:rsid w:val="004A66F7"/>
    <w:rsid w:val="004B1D78"/>
    <w:rsid w:val="004C1B91"/>
    <w:rsid w:val="004C2461"/>
    <w:rsid w:val="004C2EE0"/>
    <w:rsid w:val="004C3782"/>
    <w:rsid w:val="004C7462"/>
    <w:rsid w:val="004C7F93"/>
    <w:rsid w:val="004D2CF1"/>
    <w:rsid w:val="004D472E"/>
    <w:rsid w:val="004E4E9F"/>
    <w:rsid w:val="004E6448"/>
    <w:rsid w:val="004E77B2"/>
    <w:rsid w:val="004F5294"/>
    <w:rsid w:val="00500FEC"/>
    <w:rsid w:val="0050471C"/>
    <w:rsid w:val="00504B2D"/>
    <w:rsid w:val="0051089D"/>
    <w:rsid w:val="00514FB7"/>
    <w:rsid w:val="0052136D"/>
    <w:rsid w:val="0052500E"/>
    <w:rsid w:val="0052775E"/>
    <w:rsid w:val="00532746"/>
    <w:rsid w:val="005331A8"/>
    <w:rsid w:val="00535F2C"/>
    <w:rsid w:val="00542037"/>
    <w:rsid w:val="005420F2"/>
    <w:rsid w:val="00545B41"/>
    <w:rsid w:val="00547E2B"/>
    <w:rsid w:val="00554E53"/>
    <w:rsid w:val="00562044"/>
    <w:rsid w:val="005621D1"/>
    <w:rsid w:val="00562612"/>
    <w:rsid w:val="005628B6"/>
    <w:rsid w:val="005676EE"/>
    <w:rsid w:val="005826B9"/>
    <w:rsid w:val="00584EA0"/>
    <w:rsid w:val="00592B2C"/>
    <w:rsid w:val="005941EC"/>
    <w:rsid w:val="00595DC2"/>
    <w:rsid w:val="0059724D"/>
    <w:rsid w:val="005A0EC1"/>
    <w:rsid w:val="005A61CC"/>
    <w:rsid w:val="005B05B4"/>
    <w:rsid w:val="005B1A49"/>
    <w:rsid w:val="005B24CD"/>
    <w:rsid w:val="005B25F0"/>
    <w:rsid w:val="005B29FC"/>
    <w:rsid w:val="005B3DB3"/>
    <w:rsid w:val="005B4E13"/>
    <w:rsid w:val="005B6BEE"/>
    <w:rsid w:val="005C0347"/>
    <w:rsid w:val="005C342F"/>
    <w:rsid w:val="005C7739"/>
    <w:rsid w:val="005D6907"/>
    <w:rsid w:val="005E4A24"/>
    <w:rsid w:val="005E7AB8"/>
    <w:rsid w:val="005F7B75"/>
    <w:rsid w:val="006001EE"/>
    <w:rsid w:val="00600B94"/>
    <w:rsid w:val="00602787"/>
    <w:rsid w:val="00605042"/>
    <w:rsid w:val="006054A0"/>
    <w:rsid w:val="00611F9B"/>
    <w:rsid w:val="00611FC4"/>
    <w:rsid w:val="00615215"/>
    <w:rsid w:val="006176FB"/>
    <w:rsid w:val="006179CB"/>
    <w:rsid w:val="00632EA0"/>
    <w:rsid w:val="00635554"/>
    <w:rsid w:val="00640B26"/>
    <w:rsid w:val="00643710"/>
    <w:rsid w:val="006437C3"/>
    <w:rsid w:val="00646496"/>
    <w:rsid w:val="00651E1A"/>
    <w:rsid w:val="00652D0A"/>
    <w:rsid w:val="00653B2A"/>
    <w:rsid w:val="00654EA1"/>
    <w:rsid w:val="006573AB"/>
    <w:rsid w:val="00660162"/>
    <w:rsid w:val="0066154A"/>
    <w:rsid w:val="00662BB6"/>
    <w:rsid w:val="006679B3"/>
    <w:rsid w:val="00676606"/>
    <w:rsid w:val="00681DA9"/>
    <w:rsid w:val="00684C21"/>
    <w:rsid w:val="00687F21"/>
    <w:rsid w:val="0069490A"/>
    <w:rsid w:val="00697756"/>
    <w:rsid w:val="006A1A4A"/>
    <w:rsid w:val="006A2530"/>
    <w:rsid w:val="006A3207"/>
    <w:rsid w:val="006B0C13"/>
    <w:rsid w:val="006B483F"/>
    <w:rsid w:val="006B6A4C"/>
    <w:rsid w:val="006C3589"/>
    <w:rsid w:val="006C62F7"/>
    <w:rsid w:val="006D1723"/>
    <w:rsid w:val="006D183F"/>
    <w:rsid w:val="006D2592"/>
    <w:rsid w:val="006D37AF"/>
    <w:rsid w:val="006D51D0"/>
    <w:rsid w:val="006D5FB9"/>
    <w:rsid w:val="006E13F1"/>
    <w:rsid w:val="006E1E34"/>
    <w:rsid w:val="006E48D0"/>
    <w:rsid w:val="006E564B"/>
    <w:rsid w:val="006E7191"/>
    <w:rsid w:val="006F47C8"/>
    <w:rsid w:val="006F6DEB"/>
    <w:rsid w:val="007007C5"/>
    <w:rsid w:val="00703577"/>
    <w:rsid w:val="007048FD"/>
    <w:rsid w:val="00705894"/>
    <w:rsid w:val="00723123"/>
    <w:rsid w:val="0072632A"/>
    <w:rsid w:val="00726728"/>
    <w:rsid w:val="007327D5"/>
    <w:rsid w:val="00744691"/>
    <w:rsid w:val="00755BE4"/>
    <w:rsid w:val="00761283"/>
    <w:rsid w:val="007629C8"/>
    <w:rsid w:val="0076711A"/>
    <w:rsid w:val="0077047D"/>
    <w:rsid w:val="007728A0"/>
    <w:rsid w:val="00775452"/>
    <w:rsid w:val="00781CCE"/>
    <w:rsid w:val="00787937"/>
    <w:rsid w:val="0079445C"/>
    <w:rsid w:val="007A6D36"/>
    <w:rsid w:val="007A7AFE"/>
    <w:rsid w:val="007B2258"/>
    <w:rsid w:val="007B5091"/>
    <w:rsid w:val="007B6BA5"/>
    <w:rsid w:val="007C0C60"/>
    <w:rsid w:val="007C10C6"/>
    <w:rsid w:val="007C3390"/>
    <w:rsid w:val="007C4F4B"/>
    <w:rsid w:val="007C5A6F"/>
    <w:rsid w:val="007D4FF1"/>
    <w:rsid w:val="007D5131"/>
    <w:rsid w:val="007E01E9"/>
    <w:rsid w:val="007E2128"/>
    <w:rsid w:val="007E2420"/>
    <w:rsid w:val="007E543E"/>
    <w:rsid w:val="007E63F3"/>
    <w:rsid w:val="007E7385"/>
    <w:rsid w:val="007F1441"/>
    <w:rsid w:val="007F224B"/>
    <w:rsid w:val="007F2967"/>
    <w:rsid w:val="007F6611"/>
    <w:rsid w:val="007F6E6B"/>
    <w:rsid w:val="008034F8"/>
    <w:rsid w:val="00811920"/>
    <w:rsid w:val="00815AD0"/>
    <w:rsid w:val="00821246"/>
    <w:rsid w:val="008242D7"/>
    <w:rsid w:val="008257B1"/>
    <w:rsid w:val="0082655A"/>
    <w:rsid w:val="0083180C"/>
    <w:rsid w:val="00832334"/>
    <w:rsid w:val="008371C9"/>
    <w:rsid w:val="00840818"/>
    <w:rsid w:val="00843767"/>
    <w:rsid w:val="00845693"/>
    <w:rsid w:val="008501B0"/>
    <w:rsid w:val="008525D4"/>
    <w:rsid w:val="00852CDF"/>
    <w:rsid w:val="00853C5C"/>
    <w:rsid w:val="008679D9"/>
    <w:rsid w:val="008728F2"/>
    <w:rsid w:val="008730CC"/>
    <w:rsid w:val="00875ECE"/>
    <w:rsid w:val="00881906"/>
    <w:rsid w:val="00881A4A"/>
    <w:rsid w:val="00881CEE"/>
    <w:rsid w:val="00884CBC"/>
    <w:rsid w:val="00887805"/>
    <w:rsid w:val="008878DE"/>
    <w:rsid w:val="00893D92"/>
    <w:rsid w:val="008959DE"/>
    <w:rsid w:val="00895D90"/>
    <w:rsid w:val="008979B1"/>
    <w:rsid w:val="008A4E53"/>
    <w:rsid w:val="008A6B25"/>
    <w:rsid w:val="008A6C4F"/>
    <w:rsid w:val="008B2256"/>
    <w:rsid w:val="008B2335"/>
    <w:rsid w:val="008B291D"/>
    <w:rsid w:val="008B5E55"/>
    <w:rsid w:val="008B5F00"/>
    <w:rsid w:val="008B6D74"/>
    <w:rsid w:val="008C0307"/>
    <w:rsid w:val="008C1437"/>
    <w:rsid w:val="008C207A"/>
    <w:rsid w:val="008C7FC3"/>
    <w:rsid w:val="008D54C6"/>
    <w:rsid w:val="008D5633"/>
    <w:rsid w:val="008D7DED"/>
    <w:rsid w:val="008E0678"/>
    <w:rsid w:val="008E4252"/>
    <w:rsid w:val="008E6C6D"/>
    <w:rsid w:val="008E7AEC"/>
    <w:rsid w:val="008F31D2"/>
    <w:rsid w:val="00900425"/>
    <w:rsid w:val="0090230A"/>
    <w:rsid w:val="00906DF3"/>
    <w:rsid w:val="00906FB4"/>
    <w:rsid w:val="00917FDE"/>
    <w:rsid w:val="009223CA"/>
    <w:rsid w:val="00923125"/>
    <w:rsid w:val="00924B0F"/>
    <w:rsid w:val="00924E71"/>
    <w:rsid w:val="00927127"/>
    <w:rsid w:val="00940F93"/>
    <w:rsid w:val="009469C8"/>
    <w:rsid w:val="00957EDD"/>
    <w:rsid w:val="009720DD"/>
    <w:rsid w:val="009760F3"/>
    <w:rsid w:val="00976463"/>
    <w:rsid w:val="00976CFB"/>
    <w:rsid w:val="00986397"/>
    <w:rsid w:val="0099507D"/>
    <w:rsid w:val="0099513E"/>
    <w:rsid w:val="009A0830"/>
    <w:rsid w:val="009A0E8D"/>
    <w:rsid w:val="009A2892"/>
    <w:rsid w:val="009A52DB"/>
    <w:rsid w:val="009B220B"/>
    <w:rsid w:val="009B26E7"/>
    <w:rsid w:val="009B5473"/>
    <w:rsid w:val="009B7F91"/>
    <w:rsid w:val="009C43BC"/>
    <w:rsid w:val="009D77CF"/>
    <w:rsid w:val="009E1B4E"/>
    <w:rsid w:val="009E3B8A"/>
    <w:rsid w:val="009E3DFC"/>
    <w:rsid w:val="009E4C31"/>
    <w:rsid w:val="009F252D"/>
    <w:rsid w:val="009F5BE8"/>
    <w:rsid w:val="009F72C9"/>
    <w:rsid w:val="00A00697"/>
    <w:rsid w:val="00A00A3F"/>
    <w:rsid w:val="00A01489"/>
    <w:rsid w:val="00A047B6"/>
    <w:rsid w:val="00A04806"/>
    <w:rsid w:val="00A22880"/>
    <w:rsid w:val="00A3026E"/>
    <w:rsid w:val="00A338F1"/>
    <w:rsid w:val="00A35BE0"/>
    <w:rsid w:val="00A36A86"/>
    <w:rsid w:val="00A43485"/>
    <w:rsid w:val="00A50699"/>
    <w:rsid w:val="00A527D6"/>
    <w:rsid w:val="00A5552C"/>
    <w:rsid w:val="00A57785"/>
    <w:rsid w:val="00A6096F"/>
    <w:rsid w:val="00A6129C"/>
    <w:rsid w:val="00A626FF"/>
    <w:rsid w:val="00A72F22"/>
    <w:rsid w:val="00A7360F"/>
    <w:rsid w:val="00A748A6"/>
    <w:rsid w:val="00A769F4"/>
    <w:rsid w:val="00A776B4"/>
    <w:rsid w:val="00A8287E"/>
    <w:rsid w:val="00A87C96"/>
    <w:rsid w:val="00A94361"/>
    <w:rsid w:val="00AA1DEE"/>
    <w:rsid w:val="00AA293C"/>
    <w:rsid w:val="00AA5957"/>
    <w:rsid w:val="00AA6D10"/>
    <w:rsid w:val="00AB230E"/>
    <w:rsid w:val="00AC3347"/>
    <w:rsid w:val="00AC3A0B"/>
    <w:rsid w:val="00AC3EA3"/>
    <w:rsid w:val="00AC5D29"/>
    <w:rsid w:val="00AC6D6B"/>
    <w:rsid w:val="00AC7814"/>
    <w:rsid w:val="00AD57F5"/>
    <w:rsid w:val="00AE3AEE"/>
    <w:rsid w:val="00AF1EF6"/>
    <w:rsid w:val="00AF501F"/>
    <w:rsid w:val="00AF6371"/>
    <w:rsid w:val="00B01C44"/>
    <w:rsid w:val="00B02AE4"/>
    <w:rsid w:val="00B046C2"/>
    <w:rsid w:val="00B0549B"/>
    <w:rsid w:val="00B0556A"/>
    <w:rsid w:val="00B10009"/>
    <w:rsid w:val="00B16667"/>
    <w:rsid w:val="00B166F5"/>
    <w:rsid w:val="00B244CB"/>
    <w:rsid w:val="00B25706"/>
    <w:rsid w:val="00B30179"/>
    <w:rsid w:val="00B41B3A"/>
    <w:rsid w:val="00B421C1"/>
    <w:rsid w:val="00B44B31"/>
    <w:rsid w:val="00B537FB"/>
    <w:rsid w:val="00B55C71"/>
    <w:rsid w:val="00B56884"/>
    <w:rsid w:val="00B56E4A"/>
    <w:rsid w:val="00B56E9C"/>
    <w:rsid w:val="00B64B1F"/>
    <w:rsid w:val="00B6553F"/>
    <w:rsid w:val="00B718EC"/>
    <w:rsid w:val="00B72D26"/>
    <w:rsid w:val="00B748D0"/>
    <w:rsid w:val="00B74D1E"/>
    <w:rsid w:val="00B77D05"/>
    <w:rsid w:val="00B81206"/>
    <w:rsid w:val="00B81E12"/>
    <w:rsid w:val="00B86DC5"/>
    <w:rsid w:val="00B872C3"/>
    <w:rsid w:val="00B87FF3"/>
    <w:rsid w:val="00B97728"/>
    <w:rsid w:val="00BA1CF3"/>
    <w:rsid w:val="00BA5EEC"/>
    <w:rsid w:val="00BB044E"/>
    <w:rsid w:val="00BB47AD"/>
    <w:rsid w:val="00BC1C8C"/>
    <w:rsid w:val="00BC2179"/>
    <w:rsid w:val="00BC3FA0"/>
    <w:rsid w:val="00BC442C"/>
    <w:rsid w:val="00BC54D4"/>
    <w:rsid w:val="00BC6C4A"/>
    <w:rsid w:val="00BC74E9"/>
    <w:rsid w:val="00BE0968"/>
    <w:rsid w:val="00BE20C3"/>
    <w:rsid w:val="00BE5E62"/>
    <w:rsid w:val="00BF65CA"/>
    <w:rsid w:val="00BF68A8"/>
    <w:rsid w:val="00C0554D"/>
    <w:rsid w:val="00C11A03"/>
    <w:rsid w:val="00C1260D"/>
    <w:rsid w:val="00C204BB"/>
    <w:rsid w:val="00C21749"/>
    <w:rsid w:val="00C22C0C"/>
    <w:rsid w:val="00C2543E"/>
    <w:rsid w:val="00C3196B"/>
    <w:rsid w:val="00C3692C"/>
    <w:rsid w:val="00C4527F"/>
    <w:rsid w:val="00C463DD"/>
    <w:rsid w:val="00C4724C"/>
    <w:rsid w:val="00C50BA1"/>
    <w:rsid w:val="00C51AA5"/>
    <w:rsid w:val="00C61C47"/>
    <w:rsid w:val="00C629A0"/>
    <w:rsid w:val="00C64629"/>
    <w:rsid w:val="00C70162"/>
    <w:rsid w:val="00C72C1F"/>
    <w:rsid w:val="00C72F7A"/>
    <w:rsid w:val="00C745C3"/>
    <w:rsid w:val="00C75341"/>
    <w:rsid w:val="00C81E06"/>
    <w:rsid w:val="00C8412F"/>
    <w:rsid w:val="00C85FCB"/>
    <w:rsid w:val="00C86B41"/>
    <w:rsid w:val="00C8758B"/>
    <w:rsid w:val="00C936FE"/>
    <w:rsid w:val="00C96A10"/>
    <w:rsid w:val="00C96DF2"/>
    <w:rsid w:val="00C96ECE"/>
    <w:rsid w:val="00CA3581"/>
    <w:rsid w:val="00CA3B1C"/>
    <w:rsid w:val="00CB0C46"/>
    <w:rsid w:val="00CB3E03"/>
    <w:rsid w:val="00CB487E"/>
    <w:rsid w:val="00CC157E"/>
    <w:rsid w:val="00CD4AA6"/>
    <w:rsid w:val="00CD514C"/>
    <w:rsid w:val="00CE4A8F"/>
    <w:rsid w:val="00CE5402"/>
    <w:rsid w:val="00CF239F"/>
    <w:rsid w:val="00D03C2B"/>
    <w:rsid w:val="00D06B27"/>
    <w:rsid w:val="00D17C38"/>
    <w:rsid w:val="00D2031B"/>
    <w:rsid w:val="00D22D55"/>
    <w:rsid w:val="00D248B6"/>
    <w:rsid w:val="00D25FE2"/>
    <w:rsid w:val="00D265EB"/>
    <w:rsid w:val="00D3283A"/>
    <w:rsid w:val="00D3563C"/>
    <w:rsid w:val="00D366D5"/>
    <w:rsid w:val="00D40B16"/>
    <w:rsid w:val="00D40D30"/>
    <w:rsid w:val="00D43252"/>
    <w:rsid w:val="00D47AD1"/>
    <w:rsid w:val="00D47EEA"/>
    <w:rsid w:val="00D55630"/>
    <w:rsid w:val="00D57A19"/>
    <w:rsid w:val="00D57D44"/>
    <w:rsid w:val="00D62869"/>
    <w:rsid w:val="00D75121"/>
    <w:rsid w:val="00D75587"/>
    <w:rsid w:val="00D773DF"/>
    <w:rsid w:val="00D85943"/>
    <w:rsid w:val="00D87F81"/>
    <w:rsid w:val="00D950FE"/>
    <w:rsid w:val="00D95303"/>
    <w:rsid w:val="00D972B0"/>
    <w:rsid w:val="00D978C6"/>
    <w:rsid w:val="00DA2781"/>
    <w:rsid w:val="00DA3C1C"/>
    <w:rsid w:val="00DA5A9B"/>
    <w:rsid w:val="00DB2292"/>
    <w:rsid w:val="00DC7EE7"/>
    <w:rsid w:val="00DD29FB"/>
    <w:rsid w:val="00DD66F1"/>
    <w:rsid w:val="00DD7198"/>
    <w:rsid w:val="00DE1295"/>
    <w:rsid w:val="00DE2745"/>
    <w:rsid w:val="00DE2867"/>
    <w:rsid w:val="00DE437D"/>
    <w:rsid w:val="00DE4793"/>
    <w:rsid w:val="00DF05AA"/>
    <w:rsid w:val="00DF084F"/>
    <w:rsid w:val="00DF6B3E"/>
    <w:rsid w:val="00E046DF"/>
    <w:rsid w:val="00E06812"/>
    <w:rsid w:val="00E06F4C"/>
    <w:rsid w:val="00E17CF3"/>
    <w:rsid w:val="00E17CFE"/>
    <w:rsid w:val="00E2652C"/>
    <w:rsid w:val="00E27346"/>
    <w:rsid w:val="00E41DA9"/>
    <w:rsid w:val="00E54D3E"/>
    <w:rsid w:val="00E560ED"/>
    <w:rsid w:val="00E63168"/>
    <w:rsid w:val="00E71BC8"/>
    <w:rsid w:val="00E7260F"/>
    <w:rsid w:val="00E73F5D"/>
    <w:rsid w:val="00E7681F"/>
    <w:rsid w:val="00E77E4E"/>
    <w:rsid w:val="00E85393"/>
    <w:rsid w:val="00E95700"/>
    <w:rsid w:val="00E96630"/>
    <w:rsid w:val="00EA0883"/>
    <w:rsid w:val="00EA2F9D"/>
    <w:rsid w:val="00EA3D6E"/>
    <w:rsid w:val="00EB1AF8"/>
    <w:rsid w:val="00EB2AE8"/>
    <w:rsid w:val="00EB483D"/>
    <w:rsid w:val="00EC4060"/>
    <w:rsid w:val="00EC6AF9"/>
    <w:rsid w:val="00ED72AA"/>
    <w:rsid w:val="00ED7A2A"/>
    <w:rsid w:val="00EE2182"/>
    <w:rsid w:val="00EF1D7F"/>
    <w:rsid w:val="00EF64CA"/>
    <w:rsid w:val="00F03965"/>
    <w:rsid w:val="00F04C81"/>
    <w:rsid w:val="00F1386F"/>
    <w:rsid w:val="00F219F7"/>
    <w:rsid w:val="00F2528F"/>
    <w:rsid w:val="00F252D4"/>
    <w:rsid w:val="00F2541C"/>
    <w:rsid w:val="00F275DB"/>
    <w:rsid w:val="00F27E0B"/>
    <w:rsid w:val="00F30CDC"/>
    <w:rsid w:val="00F31E5F"/>
    <w:rsid w:val="00F41CDF"/>
    <w:rsid w:val="00F43D51"/>
    <w:rsid w:val="00F52E5F"/>
    <w:rsid w:val="00F53EAE"/>
    <w:rsid w:val="00F55B07"/>
    <w:rsid w:val="00F609D1"/>
    <w:rsid w:val="00F6100A"/>
    <w:rsid w:val="00F616E0"/>
    <w:rsid w:val="00F61C3F"/>
    <w:rsid w:val="00F635AC"/>
    <w:rsid w:val="00F672B9"/>
    <w:rsid w:val="00F67465"/>
    <w:rsid w:val="00F7257B"/>
    <w:rsid w:val="00F7527E"/>
    <w:rsid w:val="00F81228"/>
    <w:rsid w:val="00F827A7"/>
    <w:rsid w:val="00F828AA"/>
    <w:rsid w:val="00F83639"/>
    <w:rsid w:val="00F909F3"/>
    <w:rsid w:val="00F91692"/>
    <w:rsid w:val="00F93781"/>
    <w:rsid w:val="00F96F05"/>
    <w:rsid w:val="00FA4130"/>
    <w:rsid w:val="00FA7D6D"/>
    <w:rsid w:val="00FB613B"/>
    <w:rsid w:val="00FC34A4"/>
    <w:rsid w:val="00FC68B7"/>
    <w:rsid w:val="00FC6E86"/>
    <w:rsid w:val="00FD3F98"/>
    <w:rsid w:val="00FD717F"/>
    <w:rsid w:val="00FE106A"/>
    <w:rsid w:val="00FE2FEF"/>
    <w:rsid w:val="00FE3525"/>
    <w:rsid w:val="00FE5AEA"/>
    <w:rsid w:val="00FF145D"/>
    <w:rsid w:val="00FF4A3B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740A26A"/>
  <w15:chartTrackingRefBased/>
  <w15:docId w15:val="{E02BC26B-B3A8-4569-A1B9-7A19FCA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9445C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525D4"/>
    <w:rPr>
      <w:b/>
      <w:bCs/>
    </w:rPr>
  </w:style>
  <w:style w:type="character" w:customStyle="1" w:styleId="CommentTextChar">
    <w:name w:val="Comment Text Char"/>
    <w:link w:val="CommentText"/>
    <w:semiHidden/>
    <w:rsid w:val="008525D4"/>
    <w:rPr>
      <w:lang w:val="en-GB" w:eastAsia="en-US"/>
    </w:rPr>
  </w:style>
  <w:style w:type="character" w:customStyle="1" w:styleId="CommentSubjectChar">
    <w:name w:val="Comment Subject Char"/>
    <w:link w:val="CommentSubject"/>
    <w:rsid w:val="008525D4"/>
    <w:rPr>
      <w:b/>
      <w:bCs/>
      <w:lang w:val="en-GB"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DD29FB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C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0BBF-E48C-4341-897B-3BBB286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</Template>
  <TotalTime>0</TotalTime>
  <Pages>4</Pages>
  <Words>1054</Words>
  <Characters>6230</Characters>
  <Application>Microsoft Office Word</Application>
  <DocSecurity>0</DocSecurity>
  <Lines>230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Collet</dc:creator>
  <cp:keywords/>
  <cp:lastModifiedBy>Alibech Mireles Diaz</cp:lastModifiedBy>
  <cp:revision>3</cp:revision>
  <cp:lastPrinted>2019-07-17T05:12:00Z</cp:lastPrinted>
  <dcterms:created xsi:type="dcterms:W3CDTF">2019-07-23T14:24:00Z</dcterms:created>
  <dcterms:modified xsi:type="dcterms:W3CDTF">2019-07-24T10:01:00Z</dcterms:modified>
</cp:coreProperties>
</file>