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CB97AB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6ED7AB" w14:textId="77777777" w:rsidR="00F35BAF" w:rsidRPr="00DB58B5" w:rsidRDefault="00F35BAF" w:rsidP="00183EC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54B14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D220227" w14:textId="77777777" w:rsidR="00F35BAF" w:rsidRPr="00DB58B5" w:rsidRDefault="00183EC2" w:rsidP="00183EC2">
            <w:pPr>
              <w:jc w:val="right"/>
            </w:pPr>
            <w:r w:rsidRPr="00183EC2">
              <w:rPr>
                <w:sz w:val="40"/>
              </w:rPr>
              <w:t>ECE</w:t>
            </w:r>
            <w:r>
              <w:t>/TRANS/WP.11/2019/3</w:t>
            </w:r>
          </w:p>
        </w:tc>
      </w:tr>
      <w:tr w:rsidR="00F35BAF" w:rsidRPr="00DB58B5" w14:paraId="087B238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A4C10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AF5E84" wp14:editId="4CC9E5B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8EE70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414F62" w14:textId="77777777" w:rsidR="00F35BAF" w:rsidRDefault="00183EC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28F2EA8" w14:textId="77777777" w:rsidR="00183EC2" w:rsidRDefault="00183EC2" w:rsidP="00183EC2">
            <w:pPr>
              <w:spacing w:line="240" w:lineRule="exact"/>
            </w:pPr>
            <w:r>
              <w:t>2</w:t>
            </w:r>
            <w:r w:rsidR="00AE13FA">
              <w:t>4</w:t>
            </w:r>
            <w:r>
              <w:t xml:space="preserve"> juillet 2019</w:t>
            </w:r>
          </w:p>
          <w:p w14:paraId="49FDA485" w14:textId="77777777" w:rsidR="00183EC2" w:rsidRDefault="00183EC2" w:rsidP="00183EC2">
            <w:pPr>
              <w:spacing w:line="240" w:lineRule="exact"/>
            </w:pPr>
            <w:r>
              <w:t>Français</w:t>
            </w:r>
          </w:p>
          <w:p w14:paraId="229D52B8" w14:textId="77777777" w:rsidR="00183EC2" w:rsidRPr="00DB58B5" w:rsidRDefault="00183EC2" w:rsidP="00183EC2">
            <w:pPr>
              <w:spacing w:line="240" w:lineRule="exact"/>
            </w:pPr>
            <w:r>
              <w:t>Original : anglais</w:t>
            </w:r>
          </w:p>
        </w:tc>
      </w:tr>
    </w:tbl>
    <w:p w14:paraId="770DCA5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1483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718CB4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D3AD12F" w14:textId="77777777" w:rsidR="00183EC2" w:rsidRPr="00685843" w:rsidRDefault="00183EC2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1477DDFB" w14:textId="77777777" w:rsidR="00183EC2" w:rsidRPr="00F30D47" w:rsidRDefault="00183EC2" w:rsidP="00305801">
      <w:pPr>
        <w:spacing w:before="120"/>
        <w:rPr>
          <w:b/>
        </w:rPr>
      </w:pPr>
      <w:r w:rsidRPr="000C0F0C">
        <w:rPr>
          <w:b/>
          <w:bCs/>
          <w:lang w:val="fr-FR"/>
        </w:rPr>
        <w:t>Soixante-quinzième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558B9ADB" w14:textId="77777777" w:rsidR="00183EC2" w:rsidRDefault="00183EC2" w:rsidP="00305801">
      <w:r>
        <w:t xml:space="preserve">Genève, </w:t>
      </w:r>
      <w:r w:rsidRPr="000C0F0C">
        <w:rPr>
          <w:lang w:val="fr-FR"/>
        </w:rPr>
        <w:t>8-11 octobre 2019</w:t>
      </w:r>
    </w:p>
    <w:p w14:paraId="67C0B7FF" w14:textId="77777777" w:rsidR="00183EC2" w:rsidRDefault="00183EC2" w:rsidP="00305801">
      <w:r>
        <w:t xml:space="preserve">Point </w:t>
      </w:r>
      <w:r w:rsidRPr="000C0F0C">
        <w:rPr>
          <w:lang w:val="fr-FR"/>
        </w:rPr>
        <w:t>5 b)</w:t>
      </w:r>
      <w:r>
        <w:t xml:space="preserve"> de l</w:t>
      </w:r>
      <w:r w:rsidR="00D1483D">
        <w:t>’</w:t>
      </w:r>
      <w:r>
        <w:t>ordre du jour provisoire</w:t>
      </w:r>
    </w:p>
    <w:p w14:paraId="675F95D0" w14:textId="77777777" w:rsidR="00183EC2" w:rsidRPr="000C0F0C" w:rsidRDefault="00183EC2" w:rsidP="00183EC2">
      <w:pPr>
        <w:rPr>
          <w:b/>
          <w:bCs/>
          <w:lang w:val="fr-FR"/>
        </w:rPr>
      </w:pPr>
      <w:r w:rsidRPr="000C0F0C">
        <w:rPr>
          <w:b/>
          <w:bCs/>
          <w:lang w:val="fr-FR"/>
        </w:rPr>
        <w:t>Propositions d</w:t>
      </w:r>
      <w:r w:rsidR="00D1483D">
        <w:rPr>
          <w:b/>
          <w:bCs/>
          <w:lang w:val="fr-FR"/>
        </w:rPr>
        <w:t>’</w:t>
      </w:r>
      <w:r w:rsidRPr="000C0F0C">
        <w:rPr>
          <w:b/>
          <w:bCs/>
          <w:lang w:val="fr-FR"/>
        </w:rPr>
        <w:t>amendements à l</w:t>
      </w:r>
      <w:r w:rsidR="00D1483D">
        <w:rPr>
          <w:b/>
          <w:bCs/>
          <w:lang w:val="fr-FR"/>
        </w:rPr>
        <w:t>’</w:t>
      </w:r>
      <w:r w:rsidRPr="000C0F0C">
        <w:rPr>
          <w:b/>
          <w:bCs/>
          <w:lang w:val="fr-FR"/>
        </w:rPr>
        <w:t xml:space="preserve">ATP : </w:t>
      </w:r>
      <w:r w:rsidR="00391DDD">
        <w:rPr>
          <w:b/>
          <w:bCs/>
          <w:lang w:val="fr-FR"/>
        </w:rPr>
        <w:br/>
      </w:r>
      <w:r w:rsidR="00B65721">
        <w:rPr>
          <w:b/>
          <w:bCs/>
          <w:lang w:val="fr-FR"/>
        </w:rPr>
        <w:t>N</w:t>
      </w:r>
      <w:r w:rsidRPr="000C0F0C">
        <w:rPr>
          <w:b/>
          <w:bCs/>
          <w:lang w:val="fr-FR"/>
        </w:rPr>
        <w:t>ouvelles propositions</w:t>
      </w:r>
    </w:p>
    <w:p w14:paraId="59034725" w14:textId="77777777" w:rsidR="00183EC2" w:rsidRPr="000C0F0C" w:rsidRDefault="00183EC2" w:rsidP="00391DDD">
      <w:pPr>
        <w:pStyle w:val="HChG"/>
        <w:rPr>
          <w:lang w:val="fr-FR"/>
        </w:rPr>
      </w:pPr>
      <w:r w:rsidRPr="000C0F0C">
        <w:rPr>
          <w:lang w:val="fr-FR"/>
        </w:rPr>
        <w:tab/>
      </w:r>
      <w:r w:rsidRPr="000C0F0C">
        <w:rPr>
          <w:lang w:val="fr-FR"/>
        </w:rPr>
        <w:tab/>
        <w:t xml:space="preserve">Proposition de modification du paragraphe 6 </w:t>
      </w:r>
      <w:r w:rsidR="00391DDD">
        <w:rPr>
          <w:lang w:val="fr-FR"/>
        </w:rPr>
        <w:br/>
      </w:r>
      <w:r w:rsidRPr="000C0F0C">
        <w:rPr>
          <w:lang w:val="fr-FR"/>
        </w:rPr>
        <w:t>de l</w:t>
      </w:r>
      <w:r w:rsidR="00D1483D">
        <w:rPr>
          <w:lang w:val="fr-FR"/>
        </w:rPr>
        <w:t>’</w:t>
      </w:r>
      <w:r w:rsidRPr="000C0F0C">
        <w:rPr>
          <w:lang w:val="fr-FR"/>
        </w:rPr>
        <w:t>appendice 1 de l</w:t>
      </w:r>
      <w:r w:rsidR="00D1483D">
        <w:rPr>
          <w:lang w:val="fr-FR"/>
        </w:rPr>
        <w:t>’</w:t>
      </w:r>
      <w:r w:rsidRPr="000C0F0C">
        <w:rPr>
          <w:lang w:val="fr-FR"/>
        </w:rPr>
        <w:t>annexe 1</w:t>
      </w:r>
      <w:r w:rsidR="00326EF7">
        <w:rPr>
          <w:lang w:val="fr-FR"/>
        </w:rPr>
        <w:t> </w:t>
      </w:r>
      <w:r w:rsidRPr="000C0F0C">
        <w:rPr>
          <w:lang w:val="fr-FR"/>
        </w:rPr>
        <w:t>: harmonisation du libellé</w:t>
      </w:r>
    </w:p>
    <w:p w14:paraId="6DCD3692" w14:textId="77777777" w:rsidR="00F9573C" w:rsidRDefault="00183EC2" w:rsidP="00391DDD">
      <w:pPr>
        <w:pStyle w:val="H1G"/>
        <w:rPr>
          <w:lang w:val="fr-FR"/>
        </w:rPr>
      </w:pPr>
      <w:r w:rsidRPr="000C0F0C">
        <w:rPr>
          <w:lang w:val="fr-FR"/>
        </w:rPr>
        <w:tab/>
      </w:r>
      <w:r w:rsidRPr="000C0F0C">
        <w:rPr>
          <w:lang w:val="fr-FR"/>
        </w:rPr>
        <w:tab/>
        <w:t>Communication du Gouvernement allemand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83EC2" w14:paraId="25675C5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4B380F6" w14:textId="77777777" w:rsidR="00183EC2" w:rsidRDefault="00183EC2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183EC2" w14:paraId="499C102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94F7DDC" w14:textId="77777777" w:rsidR="00183EC2" w:rsidRDefault="00183EC2" w:rsidP="00391DDD">
            <w:pPr>
              <w:kinsoku/>
              <w:overflowPunct/>
              <w:autoSpaceDE/>
              <w:autoSpaceDN/>
              <w:adjustRightInd/>
              <w:snapToGrid/>
              <w:spacing w:after="120"/>
              <w:ind w:left="2835" w:right="1134" w:hanging="2098"/>
              <w:jc w:val="both"/>
            </w:pPr>
            <w:r w:rsidRPr="005615F1">
              <w:rPr>
                <w:b/>
                <w:lang w:val="fr-FR"/>
              </w:rPr>
              <w:t>Résumé analytique :</w:t>
            </w:r>
            <w:r w:rsidR="00391DDD">
              <w:rPr>
                <w:i/>
                <w:lang w:val="fr-FR"/>
              </w:rPr>
              <w:tab/>
            </w:r>
            <w:r w:rsidRPr="000C0F0C">
              <w:rPr>
                <w:lang w:val="fr-FR"/>
              </w:rPr>
              <w:t>Dans l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 xml:space="preserve">Accord relatif aux transports internationaux de denrées périssables et aux engins spéciaux à utiliser pour ces transports (ATP), le terme </w:t>
            </w:r>
            <w:r w:rsidR="00326EF7">
              <w:rPr>
                <w:lang w:val="fr-FR"/>
              </w:rPr>
              <w:t>« </w:t>
            </w:r>
            <w:r w:rsidRPr="000C0F0C">
              <w:rPr>
                <w:lang w:val="fr-FR"/>
              </w:rPr>
              <w:t>engin</w:t>
            </w:r>
            <w:r w:rsidR="00326EF7">
              <w:rPr>
                <w:lang w:val="fr-FR"/>
              </w:rPr>
              <w:t> »</w:t>
            </w:r>
            <w:r w:rsidRPr="000C0F0C">
              <w:rPr>
                <w:lang w:val="fr-FR"/>
              </w:rPr>
              <w:t xml:space="preserve"> devrait être utilisé pour décrire les </w:t>
            </w:r>
            <w:r w:rsidRPr="00391DDD">
              <w:rPr>
                <w:rFonts w:eastAsia="Times New Roman"/>
              </w:rPr>
              <w:t>dispositifs</w:t>
            </w:r>
            <w:r w:rsidRPr="000C0F0C">
              <w:rPr>
                <w:lang w:val="fr-FR"/>
              </w:rPr>
              <w:t xml:space="preserve"> thermiques tels que les groupes frigorifiques, les dispositifs de chauffage et autres afin d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>éviter toute interprétation erronée.</w:t>
            </w:r>
          </w:p>
        </w:tc>
      </w:tr>
      <w:tr w:rsidR="00183EC2" w14:paraId="04DC4B3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323861A" w14:textId="77777777" w:rsidR="00183EC2" w:rsidRDefault="00183EC2" w:rsidP="00391DDD">
            <w:pPr>
              <w:kinsoku/>
              <w:overflowPunct/>
              <w:autoSpaceDE/>
              <w:autoSpaceDN/>
              <w:adjustRightInd/>
              <w:snapToGrid/>
              <w:spacing w:after="120"/>
              <w:ind w:left="2835" w:right="1134" w:hanging="2098"/>
              <w:jc w:val="both"/>
            </w:pPr>
            <w:r w:rsidRPr="005615F1">
              <w:rPr>
                <w:b/>
                <w:iCs/>
                <w:lang w:val="fr-FR"/>
              </w:rPr>
              <w:t>Mesure à prendre :</w:t>
            </w:r>
            <w:r w:rsidRPr="000C0F0C">
              <w:rPr>
                <w:lang w:val="fr-FR"/>
              </w:rPr>
              <w:tab/>
              <w:t xml:space="preserve">Modifier le </w:t>
            </w:r>
            <w:r w:rsidRPr="00391DDD">
              <w:rPr>
                <w:lang w:val="fr-FR"/>
              </w:rPr>
              <w:t>paragraphe</w:t>
            </w:r>
            <w:r w:rsidRPr="000C0F0C">
              <w:rPr>
                <w:lang w:val="fr-FR"/>
              </w:rPr>
              <w:t xml:space="preserve"> 6 de l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>appendice 1 de l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>annexe 1.</w:t>
            </w:r>
          </w:p>
        </w:tc>
      </w:tr>
      <w:tr w:rsidR="00183EC2" w14:paraId="5AE622E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23D760A" w14:textId="77777777" w:rsidR="00183EC2" w:rsidRPr="005615F1" w:rsidRDefault="00183EC2" w:rsidP="00391DDD">
            <w:pPr>
              <w:kinsoku/>
              <w:overflowPunct/>
              <w:autoSpaceDE/>
              <w:autoSpaceDN/>
              <w:adjustRightInd/>
              <w:snapToGrid/>
              <w:spacing w:after="120"/>
              <w:ind w:left="2835" w:right="1134" w:hanging="2098"/>
              <w:jc w:val="both"/>
              <w:rPr>
                <w:b/>
              </w:rPr>
            </w:pPr>
            <w:r w:rsidRPr="005615F1">
              <w:rPr>
                <w:b/>
                <w:iCs/>
                <w:lang w:val="fr-FR"/>
              </w:rPr>
              <w:t>Documents connexes :</w:t>
            </w:r>
          </w:p>
        </w:tc>
      </w:tr>
      <w:tr w:rsidR="00183EC2" w14:paraId="56ABA89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9D6F617" w14:textId="77777777" w:rsidR="00183EC2" w:rsidRDefault="00183EC2"/>
        </w:tc>
      </w:tr>
    </w:tbl>
    <w:p w14:paraId="1270B48E" w14:textId="77777777" w:rsidR="00183EC2" w:rsidRPr="000C0F0C" w:rsidRDefault="00183EC2" w:rsidP="005615F1">
      <w:pPr>
        <w:pStyle w:val="HChG"/>
        <w:rPr>
          <w:lang w:val="fr-FR"/>
        </w:rPr>
      </w:pPr>
      <w:r w:rsidRPr="000C0F0C">
        <w:rPr>
          <w:lang w:val="fr-FR"/>
        </w:rPr>
        <w:tab/>
      </w:r>
      <w:r w:rsidRPr="000C0F0C">
        <w:rPr>
          <w:lang w:val="fr-FR"/>
        </w:rPr>
        <w:tab/>
        <w:t>Introduction</w:t>
      </w:r>
    </w:p>
    <w:p w14:paraId="08CB686E" w14:textId="77777777" w:rsidR="00183EC2" w:rsidRPr="000C0F0C" w:rsidRDefault="00183EC2" w:rsidP="005615F1">
      <w:pPr>
        <w:pStyle w:val="SingleTxtG"/>
        <w:rPr>
          <w:lang w:val="fr-FR"/>
        </w:rPr>
      </w:pPr>
      <w:r w:rsidRPr="000C0F0C">
        <w:rPr>
          <w:lang w:val="fr-FR"/>
        </w:rPr>
        <w:t>1.</w:t>
      </w:r>
      <w:r w:rsidRPr="000C0F0C">
        <w:rPr>
          <w:lang w:val="fr-FR"/>
        </w:rPr>
        <w:tab/>
        <w:t>Dans l</w:t>
      </w:r>
      <w:r w:rsidR="00D1483D">
        <w:rPr>
          <w:lang w:val="fr-FR"/>
        </w:rPr>
        <w:t>’</w:t>
      </w:r>
      <w:r w:rsidRPr="000C0F0C">
        <w:rPr>
          <w:iCs/>
          <w:lang w:val="fr-FR"/>
        </w:rPr>
        <w:t>Accord relatif aux transports internationaux de denrées périssables et aux engins spéciaux à utiliser pour ces transports (ATP</w:t>
      </w:r>
      <w:r w:rsidRPr="000C0F0C">
        <w:rPr>
          <w:lang w:val="fr-FR"/>
        </w:rPr>
        <w:t xml:space="preserve">), le terme </w:t>
      </w:r>
      <w:r w:rsidR="00326EF7">
        <w:rPr>
          <w:lang w:val="fr-FR"/>
        </w:rPr>
        <w:t>« </w:t>
      </w:r>
      <w:r w:rsidRPr="000C0F0C">
        <w:rPr>
          <w:lang w:val="fr-FR"/>
        </w:rPr>
        <w:t>engin</w:t>
      </w:r>
      <w:r w:rsidR="00326EF7">
        <w:rPr>
          <w:lang w:val="fr-FR"/>
        </w:rPr>
        <w:t> »</w:t>
      </w:r>
      <w:r w:rsidRPr="000C0F0C">
        <w:rPr>
          <w:lang w:val="fr-FR"/>
        </w:rPr>
        <w:t xml:space="preserve"> devrait être utilisé pour décrire les dispositifs thermiques tels que les groupes frigorifiques, les dispositifs de chauffage et autres.</w:t>
      </w:r>
    </w:p>
    <w:p w14:paraId="7E720A51" w14:textId="77777777" w:rsidR="00183EC2" w:rsidRPr="000C0F0C" w:rsidRDefault="00183EC2" w:rsidP="005615F1">
      <w:pPr>
        <w:pStyle w:val="SingleTxtG"/>
        <w:rPr>
          <w:lang w:val="fr-FR"/>
        </w:rPr>
      </w:pPr>
      <w:r w:rsidRPr="000C0F0C">
        <w:rPr>
          <w:lang w:val="fr-FR"/>
        </w:rPr>
        <w:t>2.</w:t>
      </w:r>
      <w:r w:rsidRPr="000C0F0C">
        <w:rPr>
          <w:lang w:val="fr-FR"/>
        </w:rPr>
        <w:tab/>
        <w:t>Toutefois, au paragraphe 6 de l</w:t>
      </w:r>
      <w:r w:rsidR="00D1483D">
        <w:rPr>
          <w:lang w:val="fr-FR"/>
        </w:rPr>
        <w:t>’</w:t>
      </w:r>
      <w:r w:rsidRPr="000C0F0C">
        <w:rPr>
          <w:lang w:val="fr-FR"/>
        </w:rPr>
        <w:t>appendice 1 de l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annexe 1, le terme </w:t>
      </w:r>
      <w:r w:rsidR="005615F1">
        <w:rPr>
          <w:lang w:val="fr-FR"/>
        </w:rPr>
        <w:t>« </w:t>
      </w:r>
      <w:r w:rsidRPr="000C0F0C">
        <w:rPr>
          <w:lang w:val="fr-FR"/>
        </w:rPr>
        <w:t>engin</w:t>
      </w:r>
      <w:r w:rsidR="005615F1">
        <w:rPr>
          <w:lang w:val="fr-FR"/>
        </w:rPr>
        <w:t> »</w:t>
      </w:r>
      <w:r w:rsidRPr="000C0F0C">
        <w:rPr>
          <w:lang w:val="fr-FR"/>
        </w:rPr>
        <w:t xml:space="preserve"> est utilisé comme synonyme d</w:t>
      </w:r>
      <w:proofErr w:type="gramStart"/>
      <w:r w:rsidR="00D1483D">
        <w:rPr>
          <w:lang w:val="fr-FR"/>
        </w:rPr>
        <w:t>’</w:t>
      </w:r>
      <w:r w:rsidR="005615F1">
        <w:rPr>
          <w:lang w:val="fr-FR"/>
        </w:rPr>
        <w:t>«</w:t>
      </w:r>
      <w:proofErr w:type="gramEnd"/>
      <w:r w:rsidR="005615F1">
        <w:rPr>
          <w:lang w:val="fr-FR"/>
        </w:rPr>
        <w:t> </w:t>
      </w:r>
      <w:r w:rsidRPr="000C0F0C">
        <w:rPr>
          <w:lang w:val="fr-FR"/>
        </w:rPr>
        <w:t>engin isotherme</w:t>
      </w:r>
      <w:r w:rsidR="005615F1">
        <w:rPr>
          <w:lang w:val="fr-FR"/>
        </w:rPr>
        <w:t> »</w:t>
      </w:r>
      <w:r w:rsidRPr="000C0F0C">
        <w:rPr>
          <w:lang w:val="fr-FR"/>
        </w:rPr>
        <w:t>. Afin d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éviter toute interprétation erronée, le terme </w:t>
      </w:r>
      <w:r w:rsidR="005615F1">
        <w:rPr>
          <w:lang w:val="fr-FR"/>
        </w:rPr>
        <w:t>« </w:t>
      </w:r>
      <w:r w:rsidRPr="000C0F0C">
        <w:rPr>
          <w:lang w:val="fr-FR"/>
        </w:rPr>
        <w:t>engin</w:t>
      </w:r>
      <w:r w:rsidR="005615F1">
        <w:rPr>
          <w:lang w:val="fr-FR"/>
        </w:rPr>
        <w:t> »</w:t>
      </w:r>
      <w:r w:rsidRPr="000C0F0C">
        <w:rPr>
          <w:lang w:val="fr-FR"/>
        </w:rPr>
        <w:t xml:space="preserve"> devrait donc être remplacé par les termes </w:t>
      </w:r>
      <w:r w:rsidR="005615F1">
        <w:rPr>
          <w:lang w:val="fr-FR"/>
        </w:rPr>
        <w:t>« </w:t>
      </w:r>
      <w:r w:rsidRPr="000C0F0C">
        <w:rPr>
          <w:lang w:val="fr-FR"/>
        </w:rPr>
        <w:t>engin isotherme</w:t>
      </w:r>
      <w:r w:rsidR="005615F1">
        <w:rPr>
          <w:lang w:val="fr-FR"/>
        </w:rPr>
        <w:t> »</w:t>
      </w:r>
      <w:r w:rsidRPr="000C0F0C">
        <w:rPr>
          <w:lang w:val="fr-FR"/>
        </w:rPr>
        <w:t>.</w:t>
      </w:r>
    </w:p>
    <w:p w14:paraId="7802B4C4" w14:textId="77777777" w:rsidR="00183EC2" w:rsidRPr="000C0F0C" w:rsidRDefault="00183EC2" w:rsidP="005615F1">
      <w:pPr>
        <w:pStyle w:val="HChG"/>
        <w:rPr>
          <w:lang w:val="fr-FR"/>
        </w:rPr>
      </w:pPr>
      <w:r w:rsidRPr="000C0F0C">
        <w:rPr>
          <w:lang w:val="fr-FR"/>
        </w:rPr>
        <w:lastRenderedPageBreak/>
        <w:tab/>
      </w:r>
      <w:r w:rsidRPr="000C0F0C">
        <w:rPr>
          <w:lang w:val="fr-FR"/>
        </w:rPr>
        <w:tab/>
        <w:t>Proposition de modification</w:t>
      </w:r>
    </w:p>
    <w:p w14:paraId="1ADDC069" w14:textId="77777777" w:rsidR="00183EC2" w:rsidRDefault="00183EC2" w:rsidP="005615F1">
      <w:pPr>
        <w:pStyle w:val="SingleTxtG"/>
        <w:rPr>
          <w:lang w:val="fr-FR"/>
        </w:rPr>
      </w:pPr>
      <w:r w:rsidRPr="000C0F0C">
        <w:rPr>
          <w:lang w:val="fr-FR"/>
        </w:rPr>
        <w:t>3.</w:t>
      </w:r>
      <w:r w:rsidRPr="000C0F0C">
        <w:rPr>
          <w:lang w:val="fr-FR"/>
        </w:rPr>
        <w:tab/>
      </w:r>
      <w:r w:rsidRPr="00FA291E">
        <w:rPr>
          <w:i/>
          <w:lang w:val="fr-FR"/>
        </w:rPr>
        <w:t>Au</w:t>
      </w:r>
      <w:r w:rsidRPr="00FA291E">
        <w:rPr>
          <w:lang w:val="fr-FR"/>
        </w:rPr>
        <w:t xml:space="preserve"> </w:t>
      </w:r>
      <w:r w:rsidRPr="00FA291E">
        <w:rPr>
          <w:i/>
          <w:lang w:val="fr-FR"/>
        </w:rPr>
        <w:t>paragraphe 6 de l</w:t>
      </w:r>
      <w:r w:rsidR="00D1483D">
        <w:rPr>
          <w:i/>
          <w:lang w:val="fr-FR"/>
        </w:rPr>
        <w:t>’</w:t>
      </w:r>
      <w:r w:rsidRPr="00FA291E">
        <w:rPr>
          <w:i/>
          <w:lang w:val="fr-FR"/>
        </w:rPr>
        <w:t>appendice 1 de l</w:t>
      </w:r>
      <w:r w:rsidR="00D1483D">
        <w:rPr>
          <w:i/>
          <w:lang w:val="fr-FR"/>
        </w:rPr>
        <w:t>’</w:t>
      </w:r>
      <w:r w:rsidRPr="00FA291E">
        <w:rPr>
          <w:i/>
          <w:lang w:val="fr-FR"/>
        </w:rPr>
        <w:t>annexe 1</w:t>
      </w:r>
      <w:r>
        <w:rPr>
          <w:lang w:val="fr-FR"/>
        </w:rPr>
        <w:t>, r</w:t>
      </w:r>
      <w:r w:rsidRPr="000C0F0C">
        <w:rPr>
          <w:lang w:val="fr-FR"/>
        </w:rPr>
        <w:t xml:space="preserve">emplacer le terme </w:t>
      </w:r>
      <w:r w:rsidR="005615F1">
        <w:rPr>
          <w:lang w:val="fr-FR"/>
        </w:rPr>
        <w:t>« </w:t>
      </w:r>
      <w:r w:rsidRPr="000C0F0C">
        <w:rPr>
          <w:lang w:val="fr-FR"/>
        </w:rPr>
        <w:t>engin</w:t>
      </w:r>
      <w:r w:rsidR="005615F1">
        <w:rPr>
          <w:lang w:val="fr-FR"/>
        </w:rPr>
        <w:t> »</w:t>
      </w:r>
      <w:r w:rsidRPr="000C0F0C">
        <w:rPr>
          <w:lang w:val="fr-FR"/>
        </w:rPr>
        <w:t xml:space="preserve"> par </w:t>
      </w:r>
      <w:r w:rsidR="005615F1">
        <w:rPr>
          <w:lang w:val="fr-FR"/>
        </w:rPr>
        <w:t>« </w:t>
      </w:r>
      <w:r w:rsidRPr="000C0F0C">
        <w:rPr>
          <w:lang w:val="fr-FR"/>
        </w:rPr>
        <w:t>engin isotherme</w:t>
      </w:r>
      <w:r w:rsidR="005615F1">
        <w:rPr>
          <w:lang w:val="fr-FR"/>
        </w:rPr>
        <w:t> » </w:t>
      </w:r>
      <w:r w:rsidRPr="000C0F0C">
        <w:rPr>
          <w:lang w:val="fr-FR"/>
        </w:rPr>
        <w:t>:</w:t>
      </w:r>
    </w:p>
    <w:p w14:paraId="482B43B3" w14:textId="77777777" w:rsidR="005615F1" w:rsidRPr="000C0F0C" w:rsidRDefault="005615F1" w:rsidP="00E7464C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0C0F0C">
        <w:rPr>
          <w:lang w:val="fr-FR"/>
        </w:rPr>
        <w:t>6.</w:t>
      </w:r>
      <w:r w:rsidR="00E7464C">
        <w:rPr>
          <w:lang w:val="fr-FR"/>
        </w:rPr>
        <w:tab/>
      </w:r>
      <w:r w:rsidRPr="000C0F0C">
        <w:rPr>
          <w:lang w:val="fr-FR"/>
        </w:rPr>
        <w:t>a)</w:t>
      </w:r>
      <w:r w:rsidR="00E7464C">
        <w:rPr>
          <w:lang w:val="fr-FR"/>
        </w:rPr>
        <w:tab/>
      </w:r>
      <w:r w:rsidRPr="000C0F0C">
        <w:rPr>
          <w:lang w:val="fr-FR"/>
        </w:rPr>
        <w:t>La délivrance de l</w:t>
      </w:r>
      <w:r w:rsidR="00D1483D">
        <w:rPr>
          <w:lang w:val="fr-FR"/>
        </w:rPr>
        <w:t>’</w:t>
      </w:r>
      <w:r w:rsidRPr="000C0F0C">
        <w:rPr>
          <w:lang w:val="fr-FR"/>
        </w:rPr>
        <w:t>attestation de conformité des engins neufs construits en série d</w:t>
      </w:r>
      <w:r w:rsidR="00D1483D">
        <w:rPr>
          <w:lang w:val="fr-FR"/>
        </w:rPr>
        <w:t>’</w:t>
      </w:r>
      <w:r w:rsidRPr="000C0F0C">
        <w:rPr>
          <w:lang w:val="fr-FR"/>
        </w:rPr>
        <w:t>après un type déterminé pourra intervenir par l</w:t>
      </w:r>
      <w:r w:rsidR="00D1483D">
        <w:rPr>
          <w:lang w:val="fr-FR"/>
        </w:rPr>
        <w:t>’</w:t>
      </w:r>
      <w:r w:rsidRPr="000C0F0C">
        <w:rPr>
          <w:lang w:val="fr-FR"/>
        </w:rPr>
        <w:t>essai d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un engin </w:t>
      </w:r>
      <w:r w:rsidRPr="000C0F0C">
        <w:rPr>
          <w:b/>
          <w:bCs/>
          <w:lang w:val="fr-FR"/>
        </w:rPr>
        <w:t xml:space="preserve">isotherme </w:t>
      </w:r>
      <w:r w:rsidRPr="000C0F0C">
        <w:rPr>
          <w:lang w:val="fr-FR"/>
        </w:rPr>
        <w:t>de ce type. Si l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engin </w:t>
      </w:r>
      <w:r w:rsidRPr="000C0F0C">
        <w:rPr>
          <w:b/>
          <w:bCs/>
          <w:lang w:val="fr-FR"/>
        </w:rPr>
        <w:t xml:space="preserve">isotherme </w:t>
      </w:r>
      <w:r w:rsidRPr="000C0F0C">
        <w:rPr>
          <w:lang w:val="fr-FR"/>
        </w:rPr>
        <w:t>soumis à l</w:t>
      </w:r>
      <w:r w:rsidR="00D1483D">
        <w:rPr>
          <w:lang w:val="fr-FR"/>
        </w:rPr>
        <w:t>’</w:t>
      </w:r>
      <w:r w:rsidRPr="000C0F0C">
        <w:rPr>
          <w:lang w:val="fr-FR"/>
        </w:rPr>
        <w:t>essai satisfait aux conditions prescrites pour la classe, le procès-verbal résultant sera considéré comme un certificat de conformité de type. Ce certificat cessera d</w:t>
      </w:r>
      <w:r w:rsidR="00D1483D">
        <w:rPr>
          <w:lang w:val="fr-FR"/>
        </w:rPr>
        <w:t>’</w:t>
      </w:r>
      <w:r w:rsidRPr="000C0F0C">
        <w:rPr>
          <w:lang w:val="fr-FR"/>
        </w:rPr>
        <w:t>être valable au bout d</w:t>
      </w:r>
      <w:r w:rsidR="00D1483D">
        <w:rPr>
          <w:lang w:val="fr-FR"/>
        </w:rPr>
        <w:t>’</w:t>
      </w:r>
      <w:r w:rsidRPr="000C0F0C">
        <w:rPr>
          <w:lang w:val="fr-FR"/>
        </w:rPr>
        <w:t>une période de six ans à compter de la date de fin d</w:t>
      </w:r>
      <w:r w:rsidR="00D1483D">
        <w:rPr>
          <w:lang w:val="fr-FR"/>
        </w:rPr>
        <w:t>’</w:t>
      </w:r>
      <w:r w:rsidRPr="000C0F0C">
        <w:rPr>
          <w:lang w:val="fr-FR"/>
        </w:rPr>
        <w:t>essai</w:t>
      </w:r>
      <w:r w:rsidR="00D1483D">
        <w:rPr>
          <w:lang w:val="fr-FR"/>
        </w:rPr>
        <w:t> ;</w:t>
      </w:r>
    </w:p>
    <w:p w14:paraId="3ED115C6" w14:textId="77777777" w:rsidR="005615F1" w:rsidRPr="000C0F0C" w:rsidRDefault="005615F1" w:rsidP="00AB6465">
      <w:pPr>
        <w:pStyle w:val="SingleTxtG"/>
        <w:ind w:left="2268"/>
        <w:rPr>
          <w:lang w:val="fr-FR"/>
        </w:rPr>
      </w:pPr>
      <w:r w:rsidRPr="000C0F0C">
        <w:rPr>
          <w:lang w:val="fr-FR"/>
        </w:rPr>
        <w:t>La limite de validité des procès-verbaux sera mentionnée en mois et années</w:t>
      </w:r>
      <w:r w:rsidR="00D1483D">
        <w:rPr>
          <w:lang w:val="fr-FR"/>
        </w:rPr>
        <w:t> </w:t>
      </w:r>
      <w:r w:rsidRPr="000C0F0C">
        <w:rPr>
          <w:lang w:val="fr-FR"/>
        </w:rPr>
        <w:t>;</w:t>
      </w:r>
    </w:p>
    <w:p w14:paraId="763D2E69" w14:textId="77777777" w:rsidR="005615F1" w:rsidRPr="000C0F0C" w:rsidRDefault="005615F1" w:rsidP="00AB6465">
      <w:pPr>
        <w:pStyle w:val="SingleTxtG"/>
        <w:tabs>
          <w:tab w:val="left" w:pos="1701"/>
        </w:tabs>
        <w:ind w:left="2268" w:hanging="567"/>
        <w:rPr>
          <w:lang w:val="fr-FR"/>
        </w:rPr>
      </w:pPr>
      <w:r w:rsidRPr="000C0F0C">
        <w:rPr>
          <w:lang w:val="fr-FR"/>
        </w:rPr>
        <w:t>b)</w:t>
      </w:r>
      <w:r w:rsidR="00AB6465">
        <w:rPr>
          <w:lang w:val="fr-FR"/>
        </w:rPr>
        <w:tab/>
      </w:r>
      <w:r w:rsidRPr="000C0F0C">
        <w:rPr>
          <w:lang w:val="fr-FR"/>
        </w:rPr>
        <w:t>L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autorité compétente prendra des mesures pour vérifier que la production </w:t>
      </w:r>
      <w:r w:rsidRPr="000C0F0C">
        <w:rPr>
          <w:strike/>
          <w:lang w:val="fr-FR"/>
        </w:rPr>
        <w:t>des autres engins</w:t>
      </w:r>
      <w:r w:rsidRPr="000C0F0C">
        <w:rPr>
          <w:lang w:val="fr-FR"/>
        </w:rPr>
        <w:t xml:space="preserve"> </w:t>
      </w:r>
      <w:r w:rsidRPr="000C0F0C">
        <w:rPr>
          <w:b/>
          <w:bCs/>
          <w:lang w:val="fr-FR"/>
        </w:rPr>
        <w:t xml:space="preserve">de tous les engins isothermes </w:t>
      </w:r>
      <w:r w:rsidRPr="000C0F0C">
        <w:rPr>
          <w:lang w:val="fr-FR"/>
        </w:rPr>
        <w:t>est conforme au type agréé. À cette fin, elle pourra procéder à des vérifications par l</w:t>
      </w:r>
      <w:r w:rsidR="00D1483D">
        <w:rPr>
          <w:lang w:val="fr-FR"/>
        </w:rPr>
        <w:t>’</w:t>
      </w:r>
      <w:r w:rsidRPr="000C0F0C">
        <w:rPr>
          <w:lang w:val="fr-FR"/>
        </w:rPr>
        <w:t>essai d</w:t>
      </w:r>
      <w:r w:rsidR="00D1483D">
        <w:rPr>
          <w:lang w:val="fr-FR"/>
        </w:rPr>
        <w:t>’</w:t>
      </w:r>
      <w:r w:rsidRPr="000C0F0C">
        <w:rPr>
          <w:lang w:val="fr-FR"/>
        </w:rPr>
        <w:t>échantillons d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engins </w:t>
      </w:r>
      <w:r w:rsidRPr="000C0F0C">
        <w:rPr>
          <w:b/>
          <w:bCs/>
          <w:lang w:val="fr-FR"/>
        </w:rPr>
        <w:t>isothermes</w:t>
      </w:r>
      <w:r w:rsidRPr="000C0F0C">
        <w:rPr>
          <w:lang w:val="fr-FR"/>
        </w:rPr>
        <w:t xml:space="preserve"> pris au hasard dans la série de production</w:t>
      </w:r>
      <w:r w:rsidR="00D1483D">
        <w:rPr>
          <w:lang w:val="fr-FR"/>
        </w:rPr>
        <w:t> </w:t>
      </w:r>
      <w:r w:rsidRPr="000C0F0C">
        <w:rPr>
          <w:lang w:val="fr-FR"/>
        </w:rPr>
        <w:t>;</w:t>
      </w:r>
    </w:p>
    <w:p w14:paraId="242A580D" w14:textId="77777777" w:rsidR="005615F1" w:rsidRPr="000C0F0C" w:rsidRDefault="005615F1" w:rsidP="00AB6465">
      <w:pPr>
        <w:pStyle w:val="SingleTxtG"/>
        <w:tabs>
          <w:tab w:val="left" w:pos="1701"/>
        </w:tabs>
        <w:ind w:left="2268" w:hanging="567"/>
        <w:rPr>
          <w:lang w:val="fr-FR"/>
        </w:rPr>
      </w:pPr>
      <w:r w:rsidRPr="000C0F0C">
        <w:rPr>
          <w:lang w:val="fr-FR"/>
        </w:rPr>
        <w:t>c)</w:t>
      </w:r>
      <w:r w:rsidR="00AB6465">
        <w:rPr>
          <w:lang w:val="fr-FR"/>
        </w:rPr>
        <w:tab/>
      </w:r>
      <w:r w:rsidRPr="000C0F0C">
        <w:rPr>
          <w:lang w:val="fr-FR"/>
        </w:rPr>
        <w:t xml:space="preserve">Un engin </w:t>
      </w:r>
      <w:r w:rsidRPr="000C0F0C">
        <w:rPr>
          <w:b/>
          <w:bCs/>
          <w:lang w:val="fr-FR"/>
        </w:rPr>
        <w:t>isotherme</w:t>
      </w:r>
      <w:r w:rsidRPr="000C0F0C">
        <w:rPr>
          <w:lang w:val="fr-FR"/>
        </w:rPr>
        <w:t xml:space="preserve"> ne sera considéré comme appartenant au même type que l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engin </w:t>
      </w:r>
      <w:r w:rsidRPr="000C0F0C">
        <w:rPr>
          <w:b/>
          <w:bCs/>
          <w:lang w:val="fr-FR"/>
        </w:rPr>
        <w:t>isotherme</w:t>
      </w:r>
      <w:r w:rsidRPr="000C0F0C">
        <w:rPr>
          <w:lang w:val="fr-FR"/>
        </w:rPr>
        <w:t xml:space="preserve"> soumis à l</w:t>
      </w:r>
      <w:r w:rsidR="00D1483D">
        <w:rPr>
          <w:lang w:val="fr-FR"/>
        </w:rPr>
        <w:t>’</w:t>
      </w:r>
      <w:r w:rsidRPr="000C0F0C">
        <w:rPr>
          <w:lang w:val="fr-FR"/>
        </w:rPr>
        <w:t>essai que s</w:t>
      </w:r>
      <w:r w:rsidR="00D1483D">
        <w:rPr>
          <w:lang w:val="fr-FR"/>
        </w:rPr>
        <w:t>’</w:t>
      </w:r>
      <w:r w:rsidRPr="000C0F0C">
        <w:rPr>
          <w:lang w:val="fr-FR"/>
        </w:rPr>
        <w:t>il satisfait aux conditions minimales suivantes</w:t>
      </w:r>
      <w:r w:rsidR="00D1483D">
        <w:rPr>
          <w:lang w:val="fr-FR"/>
        </w:rPr>
        <w:t> </w:t>
      </w:r>
      <w:r w:rsidRPr="000C0F0C">
        <w:rPr>
          <w:lang w:val="fr-FR"/>
        </w:rPr>
        <w:t>:</w:t>
      </w:r>
    </w:p>
    <w:p w14:paraId="07809F67" w14:textId="77777777" w:rsidR="005615F1" w:rsidRPr="000C0F0C" w:rsidRDefault="005615F1" w:rsidP="00AB6465">
      <w:pPr>
        <w:pStyle w:val="SingleTxtG"/>
        <w:tabs>
          <w:tab w:val="left" w:pos="1701"/>
        </w:tabs>
        <w:ind w:left="2835" w:hanging="567"/>
        <w:rPr>
          <w:lang w:val="fr-FR"/>
        </w:rPr>
      </w:pPr>
      <w:r w:rsidRPr="000C0F0C">
        <w:rPr>
          <w:lang w:val="fr-FR"/>
        </w:rPr>
        <w:t>i)</w:t>
      </w:r>
      <w:r w:rsidR="00AB6465">
        <w:rPr>
          <w:lang w:val="fr-FR"/>
        </w:rPr>
        <w:tab/>
      </w:r>
      <w:r w:rsidR="003F17D8">
        <w:rPr>
          <w:lang w:val="fr-FR"/>
        </w:rPr>
        <w:t>S</w:t>
      </w:r>
      <w:r w:rsidR="00D1483D">
        <w:rPr>
          <w:lang w:val="fr-FR"/>
        </w:rPr>
        <w:t>’</w:t>
      </w:r>
      <w:r w:rsidRPr="000C0F0C">
        <w:rPr>
          <w:lang w:val="fr-FR"/>
        </w:rPr>
        <w:t>il s</w:t>
      </w:r>
      <w:r w:rsidR="00D1483D">
        <w:rPr>
          <w:lang w:val="fr-FR"/>
        </w:rPr>
        <w:t>’</w:t>
      </w:r>
      <w:r w:rsidRPr="000C0F0C">
        <w:rPr>
          <w:lang w:val="fr-FR"/>
        </w:rPr>
        <w:t>agit d</w:t>
      </w:r>
      <w:r w:rsidR="00D1483D">
        <w:rPr>
          <w:lang w:val="fr-FR"/>
        </w:rPr>
        <w:t>’</w:t>
      </w:r>
      <w:r w:rsidRPr="000C0F0C">
        <w:rPr>
          <w:lang w:val="fr-FR"/>
        </w:rPr>
        <w:t>engins isothermes, l</w:t>
      </w:r>
      <w:r w:rsidR="00D1483D">
        <w:rPr>
          <w:lang w:val="fr-FR"/>
        </w:rPr>
        <w:t>’</w:t>
      </w:r>
      <w:r w:rsidRPr="000C0F0C">
        <w:rPr>
          <w:lang w:val="fr-FR"/>
        </w:rPr>
        <w:t>engin de référence pouvant être un engin isotherme, réfrigérant, frigorifique, calorifique ou frigorifique et calorifique</w:t>
      </w:r>
      <w:r w:rsidR="00AB6465">
        <w:rPr>
          <w:lang w:val="fr-FR"/>
        </w:rPr>
        <w:t> </w:t>
      </w:r>
      <w:r w:rsidRPr="000C0F0C">
        <w:rPr>
          <w:lang w:val="fr-FR"/>
        </w:rPr>
        <w:t>;</w:t>
      </w:r>
    </w:p>
    <w:p w14:paraId="6C6FDA21" w14:textId="77777777" w:rsidR="005615F1" w:rsidRPr="000C0F0C" w:rsidRDefault="003F17D8" w:rsidP="003F17D8">
      <w:pPr>
        <w:pStyle w:val="SingleTxtG"/>
        <w:ind w:left="2835"/>
        <w:rPr>
          <w:lang w:val="fr-FR"/>
        </w:rPr>
      </w:pPr>
      <w:r>
        <w:rPr>
          <w:lang w:val="fr-FR"/>
        </w:rPr>
        <w:t>L</w:t>
      </w:r>
      <w:r w:rsidR="005615F1" w:rsidRPr="000C0F0C">
        <w:rPr>
          <w:lang w:val="fr-FR"/>
        </w:rPr>
        <w:t>a construction est comparable et, en particulier,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isolant et la technique d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isolation sont identiques</w:t>
      </w:r>
      <w:r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1A10082C" w14:textId="77777777" w:rsidR="005615F1" w:rsidRPr="000C0F0C" w:rsidRDefault="003F17D8" w:rsidP="003F17D8">
      <w:pPr>
        <w:pStyle w:val="SingleTxtG"/>
        <w:ind w:left="2835"/>
        <w:rPr>
          <w:lang w:val="fr-FR"/>
        </w:rPr>
      </w:pPr>
      <w:r>
        <w:rPr>
          <w:lang w:val="fr-FR"/>
        </w:rPr>
        <w:t>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épaisseur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isolant ne sera pas inférieure à celle des engins de référence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74162DEA" w14:textId="77777777" w:rsidR="005615F1" w:rsidRPr="000C0F0C" w:rsidRDefault="003F17D8" w:rsidP="003F17D8">
      <w:pPr>
        <w:pStyle w:val="SingleTxtG"/>
        <w:ind w:left="2835"/>
        <w:rPr>
          <w:lang w:val="fr-FR"/>
        </w:rPr>
      </w:pPr>
      <w:r>
        <w:rPr>
          <w:lang w:val="fr-FR"/>
        </w:rPr>
        <w:t>L</w:t>
      </w:r>
      <w:r w:rsidR="005615F1" w:rsidRPr="000C0F0C">
        <w:rPr>
          <w:lang w:val="fr-FR"/>
        </w:rPr>
        <w:t>es équipements intérieurs sont identiques ou simplifiés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11EC511D" w14:textId="77777777" w:rsidR="005615F1" w:rsidRPr="000C0F0C" w:rsidRDefault="003F17D8" w:rsidP="003F17D8">
      <w:pPr>
        <w:pStyle w:val="SingleTxtG"/>
        <w:ind w:left="2835"/>
        <w:rPr>
          <w:lang w:val="fr-FR"/>
        </w:rPr>
      </w:pPr>
      <w:r>
        <w:rPr>
          <w:lang w:val="fr-FR"/>
        </w:rPr>
        <w:t>L</w:t>
      </w:r>
      <w:r w:rsidR="005615F1" w:rsidRPr="000C0F0C">
        <w:rPr>
          <w:lang w:val="fr-FR"/>
        </w:rPr>
        <w:t>e nombre des portes et celui des trappes ou autres ouvertures sont égaux ou inférieurs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31F0769D" w14:textId="77777777" w:rsidR="005615F1" w:rsidRPr="000C0F0C" w:rsidRDefault="003F17D8" w:rsidP="003F17D8">
      <w:pPr>
        <w:pStyle w:val="SingleTxtG"/>
        <w:ind w:left="2835"/>
        <w:rPr>
          <w:lang w:val="fr-FR"/>
        </w:rPr>
      </w:pPr>
      <w:r>
        <w:rPr>
          <w:lang w:val="fr-FR"/>
        </w:rPr>
        <w:t>L</w:t>
      </w:r>
      <w:r w:rsidR="005615F1" w:rsidRPr="000C0F0C">
        <w:rPr>
          <w:lang w:val="fr-FR"/>
        </w:rPr>
        <w:t>a surface intérieure de la caisse ne diffère pas de ± 20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%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71033DE6" w14:textId="77777777" w:rsidR="005615F1" w:rsidRPr="000C0F0C" w:rsidRDefault="003F17D8" w:rsidP="003F17D8">
      <w:pPr>
        <w:pStyle w:val="SingleTxtG"/>
        <w:ind w:left="2835"/>
        <w:rPr>
          <w:lang w:val="fr-FR"/>
        </w:rPr>
      </w:pPr>
      <w:r>
        <w:rPr>
          <w:lang w:val="fr-FR"/>
        </w:rPr>
        <w:t>D</w:t>
      </w:r>
      <w:r w:rsidR="005615F1" w:rsidRPr="000C0F0C">
        <w:rPr>
          <w:lang w:val="fr-FR"/>
        </w:rPr>
        <w:t>es modifications mineures et limitées d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équipements intérieurs ou extérieurs ajoutés ou échangés pourront être accordées</w:t>
      </w:r>
      <w:r w:rsidR="005615F1" w:rsidRPr="00326EF7">
        <w:rPr>
          <w:vertAlign w:val="superscript"/>
          <w:lang w:val="fr-FR"/>
        </w:rPr>
        <w:t>4</w:t>
      </w:r>
      <w:r w:rsidR="00326EF7" w:rsidRPr="00326EF7">
        <w:rPr>
          <w:lang w:val="fr-FR"/>
        </w:rPr>
        <w:t> :</w:t>
      </w:r>
    </w:p>
    <w:p w14:paraId="246A8ABB" w14:textId="77777777" w:rsidR="005615F1" w:rsidRPr="000C0F0C" w:rsidRDefault="003F17D8" w:rsidP="003F17D8">
      <w:pPr>
        <w:pStyle w:val="SingleTxtG"/>
        <w:kinsoku/>
        <w:overflowPunct/>
        <w:autoSpaceDE/>
        <w:autoSpaceDN/>
        <w:adjustRightInd/>
        <w:snapToGrid/>
        <w:ind w:left="3384" w:right="1138" w:hanging="562"/>
        <w:rPr>
          <w:lang w:val="fr-FR"/>
        </w:rPr>
      </w:pPr>
      <w:r w:rsidRPr="00DF11CB">
        <w:t>–</w:t>
      </w:r>
      <w:r>
        <w:rPr>
          <w:lang w:val="fr-FR"/>
        </w:rPr>
        <w:tab/>
        <w:t>S</w:t>
      </w:r>
      <w:r w:rsidR="005615F1" w:rsidRPr="000C0F0C">
        <w:rPr>
          <w:lang w:val="fr-FR"/>
        </w:rPr>
        <w:t>i le volume équivalent d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isolant cumulé de toutes ces modifications est inférieur à 1/100</w:t>
      </w:r>
      <w:r w:rsidR="005615F1" w:rsidRPr="00D1483D">
        <w:rPr>
          <w:vertAlign w:val="superscript"/>
          <w:lang w:val="fr-FR"/>
        </w:rPr>
        <w:t>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du volume total d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 xml:space="preserve">isolant de </w:t>
      </w:r>
      <w:r w:rsidR="005615F1" w:rsidRPr="000C0F0C">
        <w:rPr>
          <w:strike/>
          <w:lang w:val="fr-FR"/>
        </w:rPr>
        <w:t>la cellule</w:t>
      </w:r>
      <w:r w:rsidR="005615F1" w:rsidRPr="000C0F0C">
        <w:rPr>
          <w:lang w:val="fr-FR"/>
        </w:rPr>
        <w:t xml:space="preserve"> </w:t>
      </w:r>
      <w:r w:rsidR="005615F1" w:rsidRPr="000C0F0C">
        <w:rPr>
          <w:b/>
          <w:bCs/>
          <w:lang w:val="fr-FR"/>
        </w:rPr>
        <w:t>l</w:t>
      </w:r>
      <w:r w:rsidR="00D1483D">
        <w:rPr>
          <w:b/>
          <w:bCs/>
          <w:lang w:val="fr-FR"/>
        </w:rPr>
        <w:t>’</w:t>
      </w:r>
      <w:r w:rsidR="005615F1" w:rsidRPr="000C0F0C">
        <w:rPr>
          <w:b/>
          <w:bCs/>
          <w:lang w:val="fr-FR"/>
        </w:rPr>
        <w:t xml:space="preserve">engin </w:t>
      </w:r>
      <w:r w:rsidR="005615F1" w:rsidRPr="000C0F0C">
        <w:rPr>
          <w:lang w:val="fr-FR"/>
        </w:rPr>
        <w:t>isotherme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2658EA3F" w14:textId="77777777" w:rsidR="005615F1" w:rsidRPr="000C0F0C" w:rsidRDefault="003F17D8" w:rsidP="003F17D8">
      <w:pPr>
        <w:pStyle w:val="SingleTxtG"/>
        <w:kinsoku/>
        <w:overflowPunct/>
        <w:autoSpaceDE/>
        <w:autoSpaceDN/>
        <w:adjustRightInd/>
        <w:snapToGrid/>
        <w:ind w:left="3384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S</w:t>
      </w:r>
      <w:r w:rsidR="005615F1" w:rsidRPr="000C0F0C">
        <w:rPr>
          <w:lang w:val="fr-FR"/>
        </w:rPr>
        <w:t>i le coefficient K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engin de référence testé, corrigé par un facteur obtenu à partir des déperditions thermiques cumulées, est inférieur ou égal à la limite de K pour cette catégorie d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engin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3C1F4336" w14:textId="77777777" w:rsidR="005615F1" w:rsidRPr="000C0F0C" w:rsidRDefault="003F17D8" w:rsidP="003F17D8">
      <w:pPr>
        <w:pStyle w:val="SingleTxtG"/>
        <w:kinsoku/>
        <w:overflowPunct/>
        <w:autoSpaceDE/>
        <w:autoSpaceDN/>
        <w:adjustRightInd/>
        <w:snapToGrid/>
        <w:ind w:left="3384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S</w:t>
      </w:r>
      <w:r w:rsidR="005615F1" w:rsidRPr="000C0F0C">
        <w:rPr>
          <w:lang w:val="fr-FR"/>
        </w:rPr>
        <w:t>i de telles modifications d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équipements intérieurs sont effectuées en utilisant la même technique, notamment en cas d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équipements collés.</w:t>
      </w:r>
    </w:p>
    <w:p w14:paraId="16623DAB" w14:textId="77777777" w:rsidR="005615F1" w:rsidRPr="000C0F0C" w:rsidRDefault="005615F1" w:rsidP="003F17D8">
      <w:pPr>
        <w:pStyle w:val="SingleTxtG"/>
        <w:ind w:left="3402"/>
        <w:rPr>
          <w:lang w:val="fr-FR"/>
        </w:rPr>
      </w:pPr>
      <w:r w:rsidRPr="000C0F0C">
        <w:rPr>
          <w:lang w:val="fr-FR"/>
        </w:rPr>
        <w:t>Toutes les modifications doivent être effectuées ou approuvées par le fabricant de l</w:t>
      </w:r>
      <w:r w:rsidR="00D1483D">
        <w:rPr>
          <w:lang w:val="fr-FR"/>
        </w:rPr>
        <w:t>’</w:t>
      </w:r>
      <w:r w:rsidRPr="000C0F0C">
        <w:rPr>
          <w:lang w:val="fr-FR"/>
        </w:rPr>
        <w:t>équipement isotherme.</w:t>
      </w:r>
    </w:p>
    <w:p w14:paraId="51E494CC" w14:textId="77777777" w:rsidR="005615F1" w:rsidRPr="000C0F0C" w:rsidRDefault="005615F1" w:rsidP="003F17D8">
      <w:pPr>
        <w:pStyle w:val="SingleTxtG"/>
        <w:tabs>
          <w:tab w:val="left" w:pos="1701"/>
        </w:tabs>
        <w:ind w:left="2835" w:hanging="567"/>
        <w:rPr>
          <w:lang w:val="fr-FR"/>
        </w:rPr>
      </w:pPr>
      <w:r w:rsidRPr="000C0F0C">
        <w:rPr>
          <w:lang w:val="fr-FR"/>
        </w:rPr>
        <w:t>ii)</w:t>
      </w:r>
      <w:r w:rsidR="003F17D8">
        <w:rPr>
          <w:lang w:val="fr-FR"/>
        </w:rPr>
        <w:tab/>
        <w:t>S</w:t>
      </w:r>
      <w:r w:rsidR="00D1483D">
        <w:rPr>
          <w:lang w:val="fr-FR"/>
        </w:rPr>
        <w:t>’</w:t>
      </w:r>
      <w:r w:rsidRPr="000C0F0C">
        <w:rPr>
          <w:lang w:val="fr-FR"/>
        </w:rPr>
        <w:t>il s</w:t>
      </w:r>
      <w:r w:rsidR="00D1483D">
        <w:rPr>
          <w:lang w:val="fr-FR"/>
        </w:rPr>
        <w:t>’</w:t>
      </w:r>
      <w:r w:rsidRPr="000C0F0C">
        <w:rPr>
          <w:lang w:val="fr-FR"/>
        </w:rPr>
        <w:t>agit d</w:t>
      </w:r>
      <w:r w:rsidR="00D1483D">
        <w:rPr>
          <w:lang w:val="fr-FR"/>
        </w:rPr>
        <w:t>’</w:t>
      </w:r>
      <w:r w:rsidRPr="000C0F0C">
        <w:rPr>
          <w:lang w:val="fr-FR"/>
        </w:rPr>
        <w:t>engins réfrigérants, l</w:t>
      </w:r>
      <w:r w:rsidR="00D1483D">
        <w:rPr>
          <w:lang w:val="fr-FR"/>
        </w:rPr>
        <w:t>’</w:t>
      </w:r>
      <w:r w:rsidRPr="000C0F0C">
        <w:rPr>
          <w:lang w:val="fr-FR"/>
        </w:rPr>
        <w:t>engin de référence devant être un engin réfrigérant,</w:t>
      </w:r>
    </w:p>
    <w:p w14:paraId="492D417B" w14:textId="77777777" w:rsidR="005615F1" w:rsidRPr="000C0F0C" w:rsidRDefault="003F17D8" w:rsidP="003F17D8">
      <w:pPr>
        <w:pStyle w:val="SingleTxtG"/>
        <w:ind w:left="3402"/>
        <w:rPr>
          <w:lang w:val="fr-FR"/>
        </w:rPr>
      </w:pPr>
      <w:r>
        <w:rPr>
          <w:lang w:val="fr-FR"/>
        </w:rPr>
        <w:t>L</w:t>
      </w:r>
      <w:r w:rsidR="005615F1" w:rsidRPr="000C0F0C">
        <w:rPr>
          <w:lang w:val="fr-FR"/>
        </w:rPr>
        <w:t>es conditions mentionnées en i) ci-dessus sont satisfaites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6835F0AF" w14:textId="77777777" w:rsidR="005615F1" w:rsidRPr="000C0F0C" w:rsidRDefault="003F17D8" w:rsidP="003F17D8">
      <w:pPr>
        <w:pStyle w:val="SingleTxtG"/>
        <w:ind w:left="3402"/>
        <w:rPr>
          <w:lang w:val="fr-FR"/>
        </w:rPr>
      </w:pPr>
      <w:r>
        <w:rPr>
          <w:lang w:val="fr-FR"/>
        </w:rPr>
        <w:t>L</w:t>
      </w:r>
      <w:r w:rsidR="005615F1" w:rsidRPr="000C0F0C">
        <w:rPr>
          <w:lang w:val="fr-FR"/>
        </w:rPr>
        <w:t>es ventilateurs intérieurs sont comparables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785F6414" w14:textId="77777777" w:rsidR="005615F1" w:rsidRPr="000C0F0C" w:rsidRDefault="003F17D8" w:rsidP="003F17D8">
      <w:pPr>
        <w:pStyle w:val="SingleTxtG"/>
        <w:ind w:left="3402"/>
        <w:rPr>
          <w:lang w:val="fr-FR"/>
        </w:rPr>
      </w:pPr>
      <w:r>
        <w:rPr>
          <w:lang w:val="fr-FR"/>
        </w:rPr>
        <w:t>L</w:t>
      </w:r>
      <w:r w:rsidR="005615F1" w:rsidRPr="000C0F0C">
        <w:rPr>
          <w:lang w:val="fr-FR"/>
        </w:rPr>
        <w:t>a source de froid est identique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7E8F52CA" w14:textId="77777777" w:rsidR="005615F1" w:rsidRPr="000C0F0C" w:rsidRDefault="003F17D8" w:rsidP="003F17D8">
      <w:pPr>
        <w:pStyle w:val="SingleTxtG"/>
        <w:ind w:left="3402"/>
        <w:rPr>
          <w:lang w:val="fr-FR"/>
        </w:rPr>
      </w:pPr>
      <w:r>
        <w:rPr>
          <w:lang w:val="fr-FR"/>
        </w:rPr>
        <w:lastRenderedPageBreak/>
        <w:t>L</w:t>
      </w:r>
      <w:r w:rsidR="005615F1" w:rsidRPr="000C0F0C">
        <w:rPr>
          <w:lang w:val="fr-FR"/>
        </w:rPr>
        <w:t>a réserve de froid par unité de surface intérieure</w:t>
      </w:r>
      <w:r w:rsidR="005615F1">
        <w:rPr>
          <w:lang w:val="fr-FR"/>
        </w:rPr>
        <w:t xml:space="preserve"> </w:t>
      </w:r>
      <w:r w:rsidR="005615F1" w:rsidRPr="000C0F0C">
        <w:rPr>
          <w:lang w:val="fr-FR"/>
        </w:rPr>
        <w:t>est supérieure ou égale</w:t>
      </w:r>
      <w:r w:rsidR="00D1483D">
        <w:rPr>
          <w:lang w:val="fr-FR"/>
        </w:rPr>
        <w:t>.</w:t>
      </w:r>
    </w:p>
    <w:p w14:paraId="5B681594" w14:textId="77777777" w:rsidR="005615F1" w:rsidRPr="000C0F0C" w:rsidRDefault="005615F1" w:rsidP="003F17D8">
      <w:pPr>
        <w:pStyle w:val="SingleTxtG"/>
        <w:tabs>
          <w:tab w:val="left" w:pos="1701"/>
        </w:tabs>
        <w:ind w:left="2835" w:hanging="567"/>
        <w:rPr>
          <w:lang w:val="fr-FR"/>
        </w:rPr>
      </w:pPr>
      <w:r w:rsidRPr="000C0F0C">
        <w:rPr>
          <w:lang w:val="fr-FR"/>
        </w:rPr>
        <w:t>iii)</w:t>
      </w:r>
      <w:r w:rsidR="003F17D8">
        <w:rPr>
          <w:lang w:val="fr-FR"/>
        </w:rPr>
        <w:tab/>
        <w:t>S</w:t>
      </w:r>
      <w:r w:rsidR="00D1483D">
        <w:rPr>
          <w:lang w:val="fr-FR"/>
        </w:rPr>
        <w:t>’</w:t>
      </w:r>
      <w:r w:rsidRPr="000C0F0C">
        <w:rPr>
          <w:lang w:val="fr-FR"/>
        </w:rPr>
        <w:t>il s</w:t>
      </w:r>
      <w:r w:rsidR="00D1483D">
        <w:rPr>
          <w:lang w:val="fr-FR"/>
        </w:rPr>
        <w:t>’</w:t>
      </w:r>
      <w:r w:rsidRPr="000C0F0C">
        <w:rPr>
          <w:lang w:val="fr-FR"/>
        </w:rPr>
        <w:t>agit d</w:t>
      </w:r>
      <w:r w:rsidR="00D1483D">
        <w:rPr>
          <w:lang w:val="fr-FR"/>
        </w:rPr>
        <w:t>’</w:t>
      </w:r>
      <w:r w:rsidRPr="000C0F0C">
        <w:rPr>
          <w:lang w:val="fr-FR"/>
        </w:rPr>
        <w:t>engins frigorifiques auquel cas l</w:t>
      </w:r>
      <w:r w:rsidR="00D1483D">
        <w:rPr>
          <w:lang w:val="fr-FR"/>
        </w:rPr>
        <w:t>’</w:t>
      </w:r>
      <w:r w:rsidRPr="000C0F0C">
        <w:rPr>
          <w:lang w:val="fr-FR"/>
        </w:rPr>
        <w:t>engin de référence sera</w:t>
      </w:r>
      <w:r w:rsidR="00D1483D">
        <w:rPr>
          <w:lang w:val="fr-FR"/>
        </w:rPr>
        <w:t> </w:t>
      </w:r>
      <w:r w:rsidRPr="000C0F0C">
        <w:rPr>
          <w:lang w:val="fr-FR"/>
        </w:rPr>
        <w:t>:</w:t>
      </w:r>
    </w:p>
    <w:p w14:paraId="4310B4E5" w14:textId="77777777" w:rsidR="005615F1" w:rsidRPr="000C0F0C" w:rsidRDefault="005615F1" w:rsidP="00EB3340">
      <w:pPr>
        <w:pStyle w:val="SingleTxtG"/>
        <w:ind w:left="3402" w:hanging="567"/>
        <w:rPr>
          <w:lang w:val="fr-FR"/>
        </w:rPr>
      </w:pPr>
      <w:r w:rsidRPr="000C0F0C">
        <w:rPr>
          <w:lang w:val="fr-FR"/>
        </w:rPr>
        <w:t>a)</w:t>
      </w:r>
      <w:r w:rsidRPr="000C0F0C">
        <w:rPr>
          <w:lang w:val="fr-FR"/>
        </w:rPr>
        <w:tab/>
      </w:r>
      <w:r w:rsidR="00EB3340">
        <w:rPr>
          <w:lang w:val="fr-FR"/>
        </w:rPr>
        <w:t>S</w:t>
      </w:r>
      <w:r w:rsidRPr="000C0F0C">
        <w:rPr>
          <w:lang w:val="fr-FR"/>
        </w:rPr>
        <w:t>oit un engin frigorifique,</w:t>
      </w:r>
    </w:p>
    <w:p w14:paraId="72F87EC5" w14:textId="77777777" w:rsidR="005615F1" w:rsidRPr="000C0F0C" w:rsidRDefault="00EB3340" w:rsidP="003033E7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es conditions mentionnées en i) ci-</w:t>
      </w:r>
      <w:r w:rsidR="005615F1" w:rsidRPr="00EB3340">
        <w:rPr>
          <w:rFonts w:eastAsia="Times New Roman"/>
        </w:rPr>
        <w:t>dessus</w:t>
      </w:r>
      <w:r w:rsidR="005615F1" w:rsidRPr="000C0F0C">
        <w:rPr>
          <w:lang w:val="fr-FR"/>
        </w:rPr>
        <w:t xml:space="preserve"> sont satisfaites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422433A4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puissance frigorifique utile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 frigorifique, par unité de surface intérieure, au même régime de températ</w:t>
      </w:r>
      <w:r w:rsidR="005615F1">
        <w:rPr>
          <w:lang w:val="fr-FR"/>
        </w:rPr>
        <w:t>ure, est supérieure ou égale</w:t>
      </w:r>
      <w:r w:rsidR="00D1483D">
        <w:rPr>
          <w:lang w:val="fr-FR"/>
        </w:rPr>
        <w:t> </w:t>
      </w:r>
      <w:r w:rsidR="005615F1">
        <w:rPr>
          <w:lang w:val="fr-FR"/>
        </w:rPr>
        <w:t>;</w:t>
      </w:r>
    </w:p>
    <w:p w14:paraId="01DDFFF6" w14:textId="77777777" w:rsidR="005615F1" w:rsidRPr="000C0F0C" w:rsidRDefault="005615F1" w:rsidP="00EB3340">
      <w:pPr>
        <w:pStyle w:val="SingleTxtG"/>
        <w:ind w:left="3402" w:hanging="567"/>
        <w:rPr>
          <w:lang w:val="fr-FR"/>
        </w:rPr>
      </w:pPr>
      <w:r w:rsidRPr="000C0F0C">
        <w:rPr>
          <w:lang w:val="fr-FR"/>
        </w:rPr>
        <w:t>b)</w:t>
      </w:r>
      <w:r w:rsidRPr="000C0F0C">
        <w:rPr>
          <w:lang w:val="fr-FR"/>
        </w:rPr>
        <w:tab/>
      </w:r>
      <w:r w:rsidR="00EB3340">
        <w:rPr>
          <w:lang w:val="fr-FR"/>
        </w:rPr>
        <w:t>S</w:t>
      </w:r>
      <w:r w:rsidRPr="000C0F0C">
        <w:rPr>
          <w:lang w:val="fr-FR"/>
        </w:rPr>
        <w:t>oit un engin isotherme complet à tous égards, sauf l</w:t>
      </w:r>
      <w:r w:rsidR="00D1483D">
        <w:rPr>
          <w:lang w:val="fr-FR"/>
        </w:rPr>
        <w:t>’</w:t>
      </w:r>
      <w:r w:rsidRPr="000C0F0C">
        <w:rPr>
          <w:lang w:val="fr-FR"/>
        </w:rPr>
        <w:t>équipement frigorifique qui sera ajouté ultérieurement.</w:t>
      </w:r>
    </w:p>
    <w:p w14:paraId="3CB12AA1" w14:textId="77777777" w:rsidR="005615F1" w:rsidRPr="000C0F0C" w:rsidRDefault="005615F1" w:rsidP="00EB3340">
      <w:pPr>
        <w:pStyle w:val="SingleTxtG"/>
        <w:kinsoku/>
        <w:overflowPunct/>
        <w:autoSpaceDE/>
        <w:autoSpaceDN/>
        <w:adjustRightInd/>
        <w:snapToGrid/>
        <w:ind w:left="3384"/>
        <w:rPr>
          <w:lang w:val="fr-FR"/>
        </w:rPr>
      </w:pPr>
      <w:r w:rsidRPr="000C0F0C">
        <w:rPr>
          <w:lang w:val="fr-FR"/>
        </w:rPr>
        <w:t>L</w:t>
      </w:r>
      <w:r w:rsidR="00D1483D">
        <w:rPr>
          <w:lang w:val="fr-FR"/>
        </w:rPr>
        <w:t>’</w:t>
      </w:r>
      <w:r w:rsidRPr="000C0F0C">
        <w:rPr>
          <w:lang w:val="fr-FR"/>
        </w:rPr>
        <w:t>ouverture correspondante sera obstruée lors de la mesure du coefficient K, par un panneau étroitement ajusté de la même épaisseur totale et constitué du même type d</w:t>
      </w:r>
      <w:r w:rsidR="00D1483D">
        <w:rPr>
          <w:lang w:val="fr-FR"/>
        </w:rPr>
        <w:t>’</w:t>
      </w:r>
      <w:r w:rsidRPr="000C0F0C">
        <w:rPr>
          <w:lang w:val="fr-FR"/>
        </w:rPr>
        <w:t>isolant que celui qui aura été posé sur la paroi avant</w:t>
      </w:r>
      <w:r w:rsidR="00D1483D">
        <w:rPr>
          <w:lang w:val="fr-FR"/>
        </w:rPr>
        <w:t> </w:t>
      </w:r>
      <w:r w:rsidRPr="000C0F0C">
        <w:rPr>
          <w:lang w:val="fr-FR"/>
        </w:rPr>
        <w:t>:</w:t>
      </w:r>
    </w:p>
    <w:p w14:paraId="73BD270C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es conditions mentionnées en i) ci-dessus sont satisfaites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3A8FEFEB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puissance frigorifique utile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 de production de froid monté sur une caisse de référence de type isotherme, est conforme à la définition du paragraphe 3.2.6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appendice 2 de la présente annexe.</w:t>
      </w:r>
    </w:p>
    <w:p w14:paraId="3EF3EE40" w14:textId="77777777" w:rsidR="005615F1" w:rsidRPr="000C0F0C" w:rsidRDefault="005615F1" w:rsidP="00EB3340">
      <w:pPr>
        <w:pStyle w:val="SingleTxtG"/>
        <w:tabs>
          <w:tab w:val="left" w:pos="1701"/>
        </w:tabs>
        <w:ind w:left="2835" w:hanging="567"/>
        <w:rPr>
          <w:lang w:val="fr-FR"/>
        </w:rPr>
      </w:pPr>
      <w:r w:rsidRPr="000C0F0C">
        <w:rPr>
          <w:lang w:val="fr-FR"/>
        </w:rPr>
        <w:t>iv)</w:t>
      </w:r>
      <w:r w:rsidR="00EB3340">
        <w:rPr>
          <w:lang w:val="fr-FR"/>
        </w:rPr>
        <w:tab/>
        <w:t>S</w:t>
      </w:r>
      <w:r w:rsidR="00D1483D">
        <w:rPr>
          <w:lang w:val="fr-FR"/>
        </w:rPr>
        <w:t>’</w:t>
      </w:r>
      <w:r w:rsidRPr="000C0F0C">
        <w:rPr>
          <w:lang w:val="fr-FR"/>
        </w:rPr>
        <w:t>il s</w:t>
      </w:r>
      <w:r w:rsidR="00D1483D">
        <w:rPr>
          <w:lang w:val="fr-FR"/>
        </w:rPr>
        <w:t>’</w:t>
      </w:r>
      <w:r w:rsidRPr="000C0F0C">
        <w:rPr>
          <w:lang w:val="fr-FR"/>
        </w:rPr>
        <w:t>agit d</w:t>
      </w:r>
      <w:r w:rsidR="00D1483D">
        <w:rPr>
          <w:lang w:val="fr-FR"/>
        </w:rPr>
        <w:t>’</w:t>
      </w:r>
      <w:r w:rsidRPr="000C0F0C">
        <w:rPr>
          <w:lang w:val="fr-FR"/>
        </w:rPr>
        <w:t>engins calorifiques, l</w:t>
      </w:r>
      <w:r w:rsidR="00D1483D">
        <w:rPr>
          <w:lang w:val="fr-FR"/>
        </w:rPr>
        <w:t>’</w:t>
      </w:r>
      <w:r w:rsidRPr="000C0F0C">
        <w:rPr>
          <w:lang w:val="fr-FR"/>
        </w:rPr>
        <w:t>engin de référence pouvant être un engin isotherme ou un engin calorifique,</w:t>
      </w:r>
    </w:p>
    <w:p w14:paraId="2F07EBF6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397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es conditions mentionnées en i) ci-</w:t>
      </w:r>
      <w:r w:rsidR="005615F1" w:rsidRPr="00EB3340">
        <w:rPr>
          <w:rFonts w:eastAsia="Times New Roman"/>
        </w:rPr>
        <w:t>dessus</w:t>
      </w:r>
      <w:r w:rsidR="005615F1" w:rsidRPr="000C0F0C">
        <w:rPr>
          <w:lang w:val="fr-FR"/>
        </w:rPr>
        <w:t xml:space="preserve"> sont satisfaites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5DF4069F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397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source de chaleur est identique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75AEDBD3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397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puissance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 de chauffage par unité de surface intérieure est supérieure ou égale.</w:t>
      </w:r>
    </w:p>
    <w:p w14:paraId="5034143B" w14:textId="77777777" w:rsidR="00EB3340" w:rsidRDefault="005615F1" w:rsidP="00EB3340">
      <w:pPr>
        <w:pStyle w:val="SingleTxtG"/>
        <w:tabs>
          <w:tab w:val="left" w:pos="1701"/>
        </w:tabs>
        <w:ind w:left="2835" w:hanging="567"/>
        <w:rPr>
          <w:lang w:val="fr-FR"/>
        </w:rPr>
      </w:pPr>
      <w:r w:rsidRPr="000C0F0C">
        <w:rPr>
          <w:lang w:val="fr-FR"/>
        </w:rPr>
        <w:t>v)</w:t>
      </w:r>
      <w:r w:rsidR="00EB3340">
        <w:rPr>
          <w:lang w:val="fr-FR"/>
        </w:rPr>
        <w:tab/>
      </w:r>
    </w:p>
    <w:p w14:paraId="78F8E888" w14:textId="77777777" w:rsidR="005615F1" w:rsidRPr="000C0F0C" w:rsidRDefault="005615F1" w:rsidP="00EB3340">
      <w:pPr>
        <w:pStyle w:val="SingleTxtG"/>
        <w:ind w:left="3402" w:hanging="567"/>
        <w:rPr>
          <w:lang w:val="fr-FR"/>
        </w:rPr>
      </w:pPr>
      <w:r w:rsidRPr="000C0F0C">
        <w:rPr>
          <w:lang w:val="fr-FR"/>
        </w:rPr>
        <w:t>a)</w:t>
      </w:r>
      <w:r w:rsidR="00EB3340">
        <w:rPr>
          <w:lang w:val="fr-FR"/>
        </w:rPr>
        <w:tab/>
        <w:t>S</w:t>
      </w:r>
      <w:r w:rsidR="00D1483D">
        <w:rPr>
          <w:lang w:val="fr-FR"/>
        </w:rPr>
        <w:t>’</w:t>
      </w:r>
      <w:r w:rsidRPr="000C0F0C">
        <w:rPr>
          <w:lang w:val="fr-FR"/>
        </w:rPr>
        <w:t>il s</w:t>
      </w:r>
      <w:r w:rsidR="00D1483D">
        <w:rPr>
          <w:lang w:val="fr-FR"/>
        </w:rPr>
        <w:t>’</w:t>
      </w:r>
      <w:r w:rsidRPr="000C0F0C">
        <w:rPr>
          <w:lang w:val="fr-FR"/>
        </w:rPr>
        <w:t>agit d</w:t>
      </w:r>
      <w:r w:rsidR="00D1483D">
        <w:rPr>
          <w:lang w:val="fr-FR"/>
        </w:rPr>
        <w:t>’</w:t>
      </w:r>
      <w:r w:rsidRPr="000C0F0C">
        <w:rPr>
          <w:lang w:val="fr-FR"/>
        </w:rPr>
        <w:t>engins frigorifiques et calorifiques, l</w:t>
      </w:r>
      <w:r w:rsidR="00D1483D">
        <w:rPr>
          <w:lang w:val="fr-FR"/>
        </w:rPr>
        <w:t>’</w:t>
      </w:r>
      <w:r w:rsidRPr="000C0F0C">
        <w:rPr>
          <w:lang w:val="fr-FR"/>
        </w:rPr>
        <w:t>engin de référence étant un engin frigorifique et calorifique,</w:t>
      </w:r>
    </w:p>
    <w:p w14:paraId="7FFDA615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es conditions mentionnées en i) ci-dessus sont satisfaites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  <w:r>
        <w:rPr>
          <w:lang w:val="fr-FR"/>
        </w:rPr>
        <w:t xml:space="preserve"> </w:t>
      </w:r>
      <w:r w:rsidR="005615F1" w:rsidRPr="000C0F0C">
        <w:rPr>
          <w:lang w:val="fr-FR"/>
        </w:rPr>
        <w:t>et</w:t>
      </w:r>
    </w:p>
    <w:p w14:paraId="40D97D6C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puissance frigorifique utile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 frigorifique ou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 frigorifique et calorifique par unité de surface intérieure, au même régime de température, est supérieure ou égale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72AD7392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source de chaleur est identique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033791FE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puissance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 de chauffage par unité de surface intérieure est supérieure ou égale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05E86AC2" w14:textId="77777777" w:rsidR="005615F1" w:rsidRPr="000C0F0C" w:rsidRDefault="005615F1" w:rsidP="00EB3340">
      <w:pPr>
        <w:pStyle w:val="SingleTxtG"/>
        <w:ind w:left="3402"/>
        <w:rPr>
          <w:lang w:val="fr-FR"/>
        </w:rPr>
      </w:pPr>
      <w:proofErr w:type="gramStart"/>
      <w:r w:rsidRPr="000C0F0C">
        <w:rPr>
          <w:lang w:val="fr-FR"/>
        </w:rPr>
        <w:t>ou</w:t>
      </w:r>
      <w:proofErr w:type="gramEnd"/>
    </w:p>
    <w:p w14:paraId="405451C5" w14:textId="77777777" w:rsidR="005615F1" w:rsidRPr="000C0F0C" w:rsidRDefault="005615F1" w:rsidP="00EB3340">
      <w:pPr>
        <w:pStyle w:val="SingleTxtG"/>
        <w:ind w:left="3402" w:hanging="567"/>
        <w:rPr>
          <w:lang w:val="fr-FR"/>
        </w:rPr>
      </w:pPr>
      <w:r w:rsidRPr="000C0F0C">
        <w:rPr>
          <w:lang w:val="fr-FR"/>
        </w:rPr>
        <w:t>b)</w:t>
      </w:r>
      <w:r w:rsidRPr="000C0F0C">
        <w:rPr>
          <w:lang w:val="fr-FR"/>
        </w:rPr>
        <w:tab/>
        <w:t>S</w:t>
      </w:r>
      <w:r w:rsidR="00D1483D">
        <w:rPr>
          <w:lang w:val="fr-FR"/>
        </w:rPr>
        <w:t>’</w:t>
      </w:r>
      <w:r w:rsidRPr="000C0F0C">
        <w:rPr>
          <w:lang w:val="fr-FR"/>
        </w:rPr>
        <w:t>il s</w:t>
      </w:r>
      <w:r w:rsidR="00D1483D">
        <w:rPr>
          <w:lang w:val="fr-FR"/>
        </w:rPr>
        <w:t>’</w:t>
      </w:r>
      <w:r w:rsidRPr="000C0F0C">
        <w:rPr>
          <w:lang w:val="fr-FR"/>
        </w:rPr>
        <w:t>agit d</w:t>
      </w:r>
      <w:r w:rsidR="00D1483D">
        <w:rPr>
          <w:lang w:val="fr-FR"/>
        </w:rPr>
        <w:t>’</w:t>
      </w:r>
      <w:r w:rsidRPr="000C0F0C">
        <w:rPr>
          <w:lang w:val="fr-FR"/>
        </w:rPr>
        <w:t>engins frigorifiques et calorifiques, l</w:t>
      </w:r>
      <w:r w:rsidR="00D1483D">
        <w:rPr>
          <w:lang w:val="fr-FR"/>
        </w:rPr>
        <w:t>’</w:t>
      </w:r>
      <w:r w:rsidRPr="000C0F0C">
        <w:rPr>
          <w:lang w:val="fr-FR"/>
        </w:rPr>
        <w:t>engin de référence étant un engin isotherme complet à tous égards, sauf l</w:t>
      </w:r>
      <w:r w:rsidR="00D1483D">
        <w:rPr>
          <w:lang w:val="fr-FR"/>
        </w:rPr>
        <w:t>’</w:t>
      </w:r>
      <w:r w:rsidRPr="000C0F0C">
        <w:rPr>
          <w:lang w:val="fr-FR"/>
        </w:rPr>
        <w:t>équipement frigorifique, calorifique ou frigorifique et calorifique, qui sera ajouté ultérieurement.</w:t>
      </w:r>
      <w:r w:rsidRPr="000C0F0C">
        <w:rPr>
          <w:lang w:val="fr-FR"/>
        </w:rPr>
        <w:tab/>
        <w:t xml:space="preserve"> </w:t>
      </w:r>
    </w:p>
    <w:p w14:paraId="7DD1D35C" w14:textId="77777777" w:rsidR="005615F1" w:rsidRPr="000C0F0C" w:rsidRDefault="005615F1" w:rsidP="00843442">
      <w:pPr>
        <w:pStyle w:val="SingleTxtG"/>
        <w:keepNext/>
        <w:ind w:left="2835"/>
        <w:rPr>
          <w:lang w:val="fr-FR"/>
        </w:rPr>
      </w:pPr>
      <w:r w:rsidRPr="000C0F0C">
        <w:rPr>
          <w:lang w:val="fr-FR"/>
        </w:rPr>
        <w:t>L</w:t>
      </w:r>
      <w:r w:rsidR="00D1483D">
        <w:rPr>
          <w:lang w:val="fr-FR"/>
        </w:rPr>
        <w:t>’</w:t>
      </w:r>
      <w:r w:rsidRPr="000C0F0C">
        <w:rPr>
          <w:lang w:val="fr-FR"/>
        </w:rPr>
        <w:t xml:space="preserve">ouverture correspondante sera obstruée lors de la mesure du coefficient K par un panneau étroitement ajusté de la même épaisseur </w:t>
      </w:r>
      <w:r w:rsidRPr="000C0F0C">
        <w:rPr>
          <w:lang w:val="fr-FR"/>
        </w:rPr>
        <w:lastRenderedPageBreak/>
        <w:t>totale et constitué du même type d</w:t>
      </w:r>
      <w:r w:rsidR="00D1483D">
        <w:rPr>
          <w:lang w:val="fr-FR"/>
        </w:rPr>
        <w:t>’</w:t>
      </w:r>
      <w:r w:rsidRPr="000C0F0C">
        <w:rPr>
          <w:lang w:val="fr-FR"/>
        </w:rPr>
        <w:t>isolant que celui qui aura été posé sur la paroi avant</w:t>
      </w:r>
      <w:r w:rsidR="00326EF7">
        <w:rPr>
          <w:lang w:val="fr-FR"/>
        </w:rPr>
        <w:t> </w:t>
      </w:r>
      <w:r w:rsidRPr="000C0F0C">
        <w:rPr>
          <w:lang w:val="fr-FR"/>
        </w:rPr>
        <w:t>:</w:t>
      </w:r>
    </w:p>
    <w:p w14:paraId="75A67B69" w14:textId="77777777" w:rsidR="005615F1" w:rsidRPr="000C0F0C" w:rsidRDefault="00EB3340" w:rsidP="00843442">
      <w:pPr>
        <w:pStyle w:val="SingleTxtG"/>
        <w:keepNext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es conditions mentionnées en i) ci-dessus sont satisfaites</w:t>
      </w:r>
      <w:r w:rsidR="00D1483D"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0ED96941" w14:textId="77777777" w:rsidR="005615F1" w:rsidRPr="000C0F0C" w:rsidRDefault="00EB3340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puissance frigorifique utile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 xml:space="preserve">équipement de production de </w:t>
      </w:r>
      <w:r>
        <w:rPr>
          <w:lang w:val="fr-FR"/>
        </w:rPr>
        <w:t>f</w:t>
      </w:r>
      <w:r w:rsidR="005615F1" w:rsidRPr="000C0F0C">
        <w:rPr>
          <w:lang w:val="fr-FR"/>
        </w:rPr>
        <w:t xml:space="preserve">roid ou de froid et </w:t>
      </w:r>
      <w:proofErr w:type="gramStart"/>
      <w:r w:rsidR="005615F1" w:rsidRPr="000C0F0C">
        <w:rPr>
          <w:lang w:val="fr-FR"/>
        </w:rPr>
        <w:t>chaleur monté</w:t>
      </w:r>
      <w:proofErr w:type="gramEnd"/>
      <w:r w:rsidR="005615F1" w:rsidRPr="000C0F0C">
        <w:rPr>
          <w:lang w:val="fr-FR"/>
        </w:rPr>
        <w:t xml:space="preserve"> sur une caisse de référence de type isotherme, est conforme à la définition du paragraphe 3.4.7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appendice 2 de la présente annexe</w:t>
      </w:r>
      <w:r w:rsidR="000B1463">
        <w:rPr>
          <w:lang w:val="fr-FR"/>
        </w:rPr>
        <w:t> </w:t>
      </w:r>
      <w:r w:rsidR="005615F1" w:rsidRPr="000C0F0C">
        <w:rPr>
          <w:lang w:val="fr-FR"/>
        </w:rPr>
        <w:t>;</w:t>
      </w:r>
    </w:p>
    <w:p w14:paraId="45A78AB3" w14:textId="77777777" w:rsidR="005615F1" w:rsidRPr="000C0F0C" w:rsidRDefault="000B1463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source de chaleur est identique</w:t>
      </w:r>
      <w:r>
        <w:rPr>
          <w:lang w:val="fr-FR"/>
        </w:rPr>
        <w:t> </w:t>
      </w:r>
      <w:r w:rsidR="005615F1" w:rsidRPr="000C0F0C">
        <w:rPr>
          <w:lang w:val="fr-FR"/>
        </w:rPr>
        <w:t>; et</w:t>
      </w:r>
    </w:p>
    <w:p w14:paraId="4780D5AF" w14:textId="77777777" w:rsidR="005615F1" w:rsidRPr="000C0F0C" w:rsidRDefault="000B1463" w:rsidP="00EB3340">
      <w:pPr>
        <w:pStyle w:val="SingleTxtG"/>
        <w:kinsoku/>
        <w:overflowPunct/>
        <w:autoSpaceDE/>
        <w:autoSpaceDN/>
        <w:adjustRightInd/>
        <w:snapToGrid/>
        <w:ind w:left="3960" w:right="1138" w:hanging="562"/>
        <w:rPr>
          <w:lang w:val="fr-FR"/>
        </w:rPr>
      </w:pPr>
      <w:r w:rsidRPr="00DF11CB">
        <w:t>–</w:t>
      </w:r>
      <w:r>
        <w:tab/>
      </w:r>
      <w:r>
        <w:rPr>
          <w:lang w:val="fr-FR"/>
        </w:rPr>
        <w:t>L</w:t>
      </w:r>
      <w:r w:rsidR="005615F1" w:rsidRPr="000C0F0C">
        <w:rPr>
          <w:lang w:val="fr-FR"/>
        </w:rPr>
        <w:t>a puissance de l</w:t>
      </w:r>
      <w:r w:rsidR="00D1483D">
        <w:rPr>
          <w:lang w:val="fr-FR"/>
        </w:rPr>
        <w:t>’</w:t>
      </w:r>
      <w:r w:rsidR="005615F1" w:rsidRPr="000C0F0C">
        <w:rPr>
          <w:lang w:val="fr-FR"/>
        </w:rPr>
        <w:t>équipement de chauffage par unité de surface intérieure est supérieure ou égale.</w:t>
      </w:r>
    </w:p>
    <w:p w14:paraId="3492808D" w14:textId="77777777" w:rsidR="005615F1" w:rsidRPr="000C0F0C" w:rsidRDefault="005615F1" w:rsidP="000B1463">
      <w:pPr>
        <w:pStyle w:val="SingleTxtG"/>
        <w:tabs>
          <w:tab w:val="left" w:pos="1701"/>
        </w:tabs>
        <w:ind w:left="2268" w:hanging="567"/>
        <w:rPr>
          <w:lang w:val="fr-FR"/>
        </w:rPr>
      </w:pPr>
      <w:r w:rsidRPr="000C0F0C">
        <w:rPr>
          <w:lang w:val="fr-FR"/>
        </w:rPr>
        <w:t>d)</w:t>
      </w:r>
      <w:r w:rsidR="000B1463">
        <w:rPr>
          <w:lang w:val="fr-FR"/>
        </w:rPr>
        <w:tab/>
      </w:r>
      <w:r w:rsidRPr="000C0F0C">
        <w:rPr>
          <w:lang w:val="fr-FR"/>
        </w:rPr>
        <w:t xml:space="preserve">Au cours de la période de six ans, si la série des engins </w:t>
      </w:r>
      <w:r w:rsidRPr="000C0F0C">
        <w:rPr>
          <w:b/>
          <w:lang w:val="fr-FR"/>
        </w:rPr>
        <w:t xml:space="preserve">isothermes </w:t>
      </w:r>
      <w:r w:rsidRPr="000C0F0C">
        <w:rPr>
          <w:lang w:val="fr-FR"/>
        </w:rPr>
        <w:t>représente plus de 100 unités, l</w:t>
      </w:r>
      <w:r w:rsidR="00D1483D">
        <w:rPr>
          <w:lang w:val="fr-FR"/>
        </w:rPr>
        <w:t>’</w:t>
      </w:r>
      <w:r w:rsidRPr="000C0F0C">
        <w:rPr>
          <w:lang w:val="fr-FR"/>
        </w:rPr>
        <w:t>autorité compétente déterminera le pourcentage d</w:t>
      </w:r>
      <w:r w:rsidR="00D1483D">
        <w:rPr>
          <w:lang w:val="fr-FR"/>
        </w:rPr>
        <w:t>’</w:t>
      </w:r>
      <w:r w:rsidRPr="000C0F0C">
        <w:rPr>
          <w:lang w:val="fr-FR"/>
        </w:rPr>
        <w:t>essais à effectuer.</w:t>
      </w:r>
    </w:p>
    <w:p w14:paraId="735A833A" w14:textId="77777777" w:rsidR="00183EC2" w:rsidRDefault="00183EC2" w:rsidP="000B1463">
      <w:pPr>
        <w:pStyle w:val="HChG"/>
        <w:rPr>
          <w:lang w:val="fr-FR"/>
        </w:rPr>
      </w:pPr>
      <w:r w:rsidRPr="000C0F0C">
        <w:rPr>
          <w:lang w:val="fr-FR"/>
        </w:rPr>
        <w:tab/>
      </w:r>
      <w:r w:rsidRPr="000C0F0C">
        <w:rPr>
          <w:lang w:val="fr-FR"/>
        </w:rPr>
        <w:tab/>
        <w:t>Incidences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047"/>
      </w:tblGrid>
      <w:tr w:rsidR="000B1463" w:rsidRPr="00DF11CB" w14:paraId="5CC728F5" w14:textId="77777777" w:rsidTr="006F2FAC">
        <w:tc>
          <w:tcPr>
            <w:tcW w:w="2466" w:type="dxa"/>
            <w:shd w:val="clear" w:color="auto" w:fill="auto"/>
          </w:tcPr>
          <w:p w14:paraId="72693863" w14:textId="77777777" w:rsidR="000B1463" w:rsidRPr="00DF11CB" w:rsidRDefault="000B1463" w:rsidP="006F2FAC">
            <w:pPr>
              <w:spacing w:after="120"/>
              <w:jc w:val="both"/>
            </w:pPr>
            <w:r w:rsidRPr="000C0F0C">
              <w:rPr>
                <w:lang w:val="fr-FR"/>
              </w:rPr>
              <w:t>Coût</w:t>
            </w:r>
            <w:r w:rsidR="00D1483D">
              <w:rPr>
                <w:lang w:val="fr-FR"/>
              </w:rPr>
              <w:t> </w:t>
            </w:r>
            <w:r w:rsidRPr="000C0F0C">
              <w:rPr>
                <w:lang w:val="fr-FR"/>
              </w:rPr>
              <w:t>:</w:t>
            </w:r>
          </w:p>
        </w:tc>
        <w:tc>
          <w:tcPr>
            <w:tcW w:w="5047" w:type="dxa"/>
            <w:shd w:val="clear" w:color="auto" w:fill="auto"/>
          </w:tcPr>
          <w:p w14:paraId="49A51298" w14:textId="77777777" w:rsidR="000B1463" w:rsidRPr="00DF11CB" w:rsidRDefault="000B1463" w:rsidP="006F2FAC">
            <w:pPr>
              <w:spacing w:after="120"/>
            </w:pPr>
            <w:r w:rsidRPr="000C0F0C">
              <w:rPr>
                <w:lang w:val="fr-FR"/>
              </w:rPr>
              <w:t>Aucune incidence.</w:t>
            </w:r>
          </w:p>
        </w:tc>
      </w:tr>
      <w:tr w:rsidR="000B1463" w:rsidRPr="00DF11CB" w14:paraId="14B90538" w14:textId="77777777" w:rsidTr="006F2FAC">
        <w:tc>
          <w:tcPr>
            <w:tcW w:w="2466" w:type="dxa"/>
            <w:shd w:val="clear" w:color="auto" w:fill="auto"/>
          </w:tcPr>
          <w:p w14:paraId="5F7B33BE" w14:textId="77777777" w:rsidR="000B1463" w:rsidRPr="00DF11CB" w:rsidRDefault="000B1463" w:rsidP="006F2FAC">
            <w:pPr>
              <w:spacing w:after="120"/>
              <w:jc w:val="both"/>
            </w:pPr>
            <w:r w:rsidRPr="000C0F0C">
              <w:rPr>
                <w:lang w:val="fr-FR"/>
              </w:rPr>
              <w:t>Faisabilité</w:t>
            </w:r>
            <w:r w:rsidR="00D1483D">
              <w:rPr>
                <w:lang w:val="fr-FR"/>
              </w:rPr>
              <w:t> </w:t>
            </w:r>
            <w:r w:rsidRPr="000C0F0C">
              <w:rPr>
                <w:lang w:val="fr-FR"/>
              </w:rPr>
              <w:t>:</w:t>
            </w:r>
          </w:p>
        </w:tc>
        <w:tc>
          <w:tcPr>
            <w:tcW w:w="5047" w:type="dxa"/>
            <w:shd w:val="clear" w:color="auto" w:fill="auto"/>
          </w:tcPr>
          <w:p w14:paraId="147CD9B7" w14:textId="77777777" w:rsidR="000B1463" w:rsidRPr="00DF11CB" w:rsidRDefault="000B1463" w:rsidP="006F2FAC">
            <w:pPr>
              <w:spacing w:after="120"/>
            </w:pPr>
            <w:r w:rsidRPr="000C0F0C">
              <w:rPr>
                <w:lang w:val="fr-FR"/>
              </w:rPr>
              <w:t>L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>amendement proposé peut aisément être introduit dans l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>ATP. Il n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>est pas nécessaire de prévoir une période de transition.</w:t>
            </w:r>
          </w:p>
        </w:tc>
      </w:tr>
      <w:tr w:rsidR="000B1463" w:rsidRPr="00DF11CB" w14:paraId="6AC86862" w14:textId="77777777" w:rsidTr="006F2FAC">
        <w:trPr>
          <w:trHeight w:val="192"/>
        </w:trPr>
        <w:tc>
          <w:tcPr>
            <w:tcW w:w="2466" w:type="dxa"/>
            <w:shd w:val="clear" w:color="auto" w:fill="auto"/>
          </w:tcPr>
          <w:p w14:paraId="1909F09D" w14:textId="77777777" w:rsidR="000B1463" w:rsidRPr="00DF11CB" w:rsidRDefault="000B1463" w:rsidP="006F2FAC">
            <w:pPr>
              <w:spacing w:after="120"/>
              <w:jc w:val="both"/>
            </w:pPr>
            <w:r w:rsidRPr="000C0F0C">
              <w:rPr>
                <w:lang w:val="fr-FR"/>
              </w:rPr>
              <w:t>Application effective :</w:t>
            </w:r>
          </w:p>
        </w:tc>
        <w:tc>
          <w:tcPr>
            <w:tcW w:w="5047" w:type="dxa"/>
            <w:shd w:val="clear" w:color="auto" w:fill="auto"/>
          </w:tcPr>
          <w:p w14:paraId="2D608483" w14:textId="77777777" w:rsidR="000B1463" w:rsidRPr="00DF11CB" w:rsidRDefault="000B1463" w:rsidP="006F2FAC">
            <w:pPr>
              <w:spacing w:after="120"/>
              <w:jc w:val="both"/>
            </w:pPr>
            <w:r w:rsidRPr="000C0F0C">
              <w:rPr>
                <w:lang w:val="fr-FR"/>
              </w:rPr>
              <w:t>Aucune difficulté n</w:t>
            </w:r>
            <w:r w:rsidR="00D1483D">
              <w:rPr>
                <w:lang w:val="fr-FR"/>
              </w:rPr>
              <w:t>’</w:t>
            </w:r>
            <w:r w:rsidRPr="000C0F0C">
              <w:rPr>
                <w:lang w:val="fr-FR"/>
              </w:rPr>
              <w:t>est à prévoir.</w:t>
            </w:r>
          </w:p>
        </w:tc>
      </w:tr>
    </w:tbl>
    <w:p w14:paraId="25596CCB" w14:textId="77777777" w:rsidR="000B1463" w:rsidRPr="000B1463" w:rsidRDefault="000B1463" w:rsidP="000B14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1463" w:rsidRPr="000B1463" w:rsidSect="00183E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9375" w14:textId="77777777" w:rsidR="000338B3" w:rsidRDefault="000338B3" w:rsidP="00F95C08">
      <w:pPr>
        <w:spacing w:line="240" w:lineRule="auto"/>
      </w:pPr>
    </w:p>
  </w:endnote>
  <w:endnote w:type="continuationSeparator" w:id="0">
    <w:p w14:paraId="13875A81" w14:textId="77777777" w:rsidR="000338B3" w:rsidRPr="00AC3823" w:rsidRDefault="000338B3" w:rsidP="00AC3823">
      <w:pPr>
        <w:pStyle w:val="Footer"/>
      </w:pPr>
    </w:p>
  </w:endnote>
  <w:endnote w:type="continuationNotice" w:id="1">
    <w:p w14:paraId="200628E2" w14:textId="77777777" w:rsidR="000338B3" w:rsidRDefault="000338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B0D2" w14:textId="77777777" w:rsidR="00183EC2" w:rsidRPr="00183EC2" w:rsidRDefault="00183EC2" w:rsidP="00183EC2">
    <w:pPr>
      <w:pStyle w:val="Footer"/>
      <w:tabs>
        <w:tab w:val="right" w:pos="9638"/>
      </w:tabs>
    </w:pPr>
    <w:r w:rsidRPr="00183EC2">
      <w:rPr>
        <w:b/>
        <w:sz w:val="18"/>
      </w:rPr>
      <w:fldChar w:fldCharType="begin"/>
    </w:r>
    <w:r w:rsidRPr="00183EC2">
      <w:rPr>
        <w:b/>
        <w:sz w:val="18"/>
      </w:rPr>
      <w:instrText xml:space="preserve"> PAGE  \* MERGEFORMAT </w:instrText>
    </w:r>
    <w:r w:rsidRPr="00183EC2">
      <w:rPr>
        <w:b/>
        <w:sz w:val="18"/>
      </w:rPr>
      <w:fldChar w:fldCharType="separate"/>
    </w:r>
    <w:r w:rsidRPr="00183EC2">
      <w:rPr>
        <w:b/>
        <w:noProof/>
        <w:sz w:val="18"/>
      </w:rPr>
      <w:t>2</w:t>
    </w:r>
    <w:r w:rsidRPr="00183EC2">
      <w:rPr>
        <w:b/>
        <w:sz w:val="18"/>
      </w:rPr>
      <w:fldChar w:fldCharType="end"/>
    </w:r>
    <w:r>
      <w:rPr>
        <w:b/>
        <w:sz w:val="18"/>
      </w:rPr>
      <w:tab/>
    </w:r>
    <w:r>
      <w:t>GE.19-12556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70FD" w14:textId="77777777" w:rsidR="00183EC2" w:rsidRPr="00183EC2" w:rsidRDefault="00183EC2" w:rsidP="00183EC2">
    <w:pPr>
      <w:pStyle w:val="Footer"/>
      <w:tabs>
        <w:tab w:val="right" w:pos="9638"/>
      </w:tabs>
      <w:rPr>
        <w:b/>
        <w:sz w:val="18"/>
      </w:rPr>
    </w:pPr>
    <w:r>
      <w:t>GE.19-12556</w:t>
    </w:r>
    <w:r>
      <w:tab/>
    </w:r>
    <w:r w:rsidRPr="00183EC2">
      <w:rPr>
        <w:b/>
        <w:sz w:val="18"/>
      </w:rPr>
      <w:fldChar w:fldCharType="begin"/>
    </w:r>
    <w:r w:rsidRPr="00183EC2">
      <w:rPr>
        <w:b/>
        <w:sz w:val="18"/>
      </w:rPr>
      <w:instrText xml:space="preserve"> PAGE  \* MERGEFORMAT </w:instrText>
    </w:r>
    <w:r w:rsidRPr="00183EC2">
      <w:rPr>
        <w:b/>
        <w:sz w:val="18"/>
      </w:rPr>
      <w:fldChar w:fldCharType="separate"/>
    </w:r>
    <w:r w:rsidRPr="00183EC2">
      <w:rPr>
        <w:b/>
        <w:noProof/>
        <w:sz w:val="18"/>
      </w:rPr>
      <w:t>3</w:t>
    </w:r>
    <w:r w:rsidRPr="00183E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021E" w14:textId="77777777" w:rsidR="007F20FA" w:rsidRPr="00183EC2" w:rsidRDefault="00183EC2" w:rsidP="00183EC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57CDC9A" wp14:editId="5227FB9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12556  (</w:t>
    </w:r>
    <w:proofErr w:type="gramEnd"/>
    <w:r>
      <w:rPr>
        <w:sz w:val="20"/>
      </w:rPr>
      <w:t>F)</w:t>
    </w:r>
    <w:r w:rsidR="00D1483D">
      <w:rPr>
        <w:sz w:val="20"/>
      </w:rPr>
      <w:t xml:space="preserve">    160819    210819</w:t>
    </w:r>
    <w:r>
      <w:rPr>
        <w:sz w:val="20"/>
      </w:rPr>
      <w:br/>
    </w:r>
    <w:r w:rsidRPr="00183EC2">
      <w:rPr>
        <w:rFonts w:ascii="C39T30Lfz" w:hAnsi="C39T30Lfz"/>
        <w:sz w:val="56"/>
      </w:rPr>
      <w:t></w:t>
    </w:r>
    <w:r w:rsidRPr="00183EC2">
      <w:rPr>
        <w:rFonts w:ascii="C39T30Lfz" w:hAnsi="C39T30Lfz"/>
        <w:sz w:val="56"/>
      </w:rPr>
      <w:t></w:t>
    </w:r>
    <w:r w:rsidRPr="00183EC2">
      <w:rPr>
        <w:rFonts w:ascii="C39T30Lfz" w:hAnsi="C39T30Lfz"/>
        <w:sz w:val="56"/>
      </w:rPr>
      <w:t></w:t>
    </w:r>
    <w:r w:rsidRPr="00183EC2">
      <w:rPr>
        <w:rFonts w:ascii="C39T30Lfz" w:hAnsi="C39T30Lfz"/>
        <w:sz w:val="56"/>
      </w:rPr>
      <w:t></w:t>
    </w:r>
    <w:r w:rsidRPr="00183EC2">
      <w:rPr>
        <w:rFonts w:ascii="C39T30Lfz" w:hAnsi="C39T30Lfz"/>
        <w:sz w:val="56"/>
      </w:rPr>
      <w:t></w:t>
    </w:r>
    <w:r w:rsidRPr="00183EC2">
      <w:rPr>
        <w:rFonts w:ascii="C39T30Lfz" w:hAnsi="C39T30Lfz"/>
        <w:sz w:val="56"/>
      </w:rPr>
      <w:t></w:t>
    </w:r>
    <w:r w:rsidRPr="00183EC2">
      <w:rPr>
        <w:rFonts w:ascii="C39T30Lfz" w:hAnsi="C39T30Lfz"/>
        <w:sz w:val="56"/>
      </w:rPr>
      <w:t></w:t>
    </w:r>
    <w:r w:rsidRPr="00183EC2">
      <w:rPr>
        <w:rFonts w:ascii="C39T30Lfz" w:hAnsi="C39T30Lfz"/>
        <w:sz w:val="56"/>
      </w:rPr>
      <w:t></w:t>
    </w:r>
    <w:r w:rsidRPr="00183EC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2EB2B83" wp14:editId="72F13D1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145F" w14:textId="77777777" w:rsidR="000338B3" w:rsidRPr="00AC3823" w:rsidRDefault="000338B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A124E1" w14:textId="77777777" w:rsidR="000338B3" w:rsidRPr="00AC3823" w:rsidRDefault="000338B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5688D0" w14:textId="77777777" w:rsidR="000338B3" w:rsidRPr="00AC3823" w:rsidRDefault="000338B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7E31" w14:textId="587DA161" w:rsidR="00183EC2" w:rsidRPr="00183EC2" w:rsidRDefault="003938B8">
    <w:pPr>
      <w:pStyle w:val="Header"/>
    </w:pPr>
    <w:fldSimple w:instr=" TITLE  \* MERGEFORMAT ">
      <w:r w:rsidR="00D1155B">
        <w:t>ECE/TRANS/WP.11/2019/3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3E72" w14:textId="62963E80" w:rsidR="00183EC2" w:rsidRPr="00183EC2" w:rsidRDefault="003938B8" w:rsidP="00183EC2">
    <w:pPr>
      <w:pStyle w:val="Header"/>
      <w:jc w:val="right"/>
    </w:pPr>
    <w:fldSimple w:instr=" TITLE  \* MERGEFORMAT ">
      <w:r w:rsidR="00D1155B">
        <w:t>ECE/TRANS/WP.11/2019/3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3"/>
    <w:rsid w:val="00017F94"/>
    <w:rsid w:val="00023842"/>
    <w:rsid w:val="000334F9"/>
    <w:rsid w:val="000338B3"/>
    <w:rsid w:val="00045FEB"/>
    <w:rsid w:val="0007796D"/>
    <w:rsid w:val="000B1463"/>
    <w:rsid w:val="000B7790"/>
    <w:rsid w:val="00111F2F"/>
    <w:rsid w:val="0014365E"/>
    <w:rsid w:val="001437B0"/>
    <w:rsid w:val="00143C66"/>
    <w:rsid w:val="00176178"/>
    <w:rsid w:val="00183EC2"/>
    <w:rsid w:val="001F525A"/>
    <w:rsid w:val="00223272"/>
    <w:rsid w:val="0024779E"/>
    <w:rsid w:val="00257168"/>
    <w:rsid w:val="002744B8"/>
    <w:rsid w:val="002832AC"/>
    <w:rsid w:val="002D7C93"/>
    <w:rsid w:val="003033E7"/>
    <w:rsid w:val="00305801"/>
    <w:rsid w:val="00326EF7"/>
    <w:rsid w:val="003916DE"/>
    <w:rsid w:val="00391DDD"/>
    <w:rsid w:val="003938B8"/>
    <w:rsid w:val="003F17D8"/>
    <w:rsid w:val="00421996"/>
    <w:rsid w:val="00441C3B"/>
    <w:rsid w:val="00446FE5"/>
    <w:rsid w:val="00452396"/>
    <w:rsid w:val="004837D8"/>
    <w:rsid w:val="004A2096"/>
    <w:rsid w:val="004E2EED"/>
    <w:rsid w:val="004E468C"/>
    <w:rsid w:val="005505B7"/>
    <w:rsid w:val="005615F1"/>
    <w:rsid w:val="00573BE5"/>
    <w:rsid w:val="00586ED3"/>
    <w:rsid w:val="00596AA9"/>
    <w:rsid w:val="00626E8F"/>
    <w:rsid w:val="0071601D"/>
    <w:rsid w:val="007A62E6"/>
    <w:rsid w:val="007F20FA"/>
    <w:rsid w:val="0080684C"/>
    <w:rsid w:val="00843442"/>
    <w:rsid w:val="00871C75"/>
    <w:rsid w:val="00875159"/>
    <w:rsid w:val="008776DC"/>
    <w:rsid w:val="009446C0"/>
    <w:rsid w:val="009705C8"/>
    <w:rsid w:val="009C1CF4"/>
    <w:rsid w:val="009F6B74"/>
    <w:rsid w:val="00A3029F"/>
    <w:rsid w:val="00A30353"/>
    <w:rsid w:val="00AB6465"/>
    <w:rsid w:val="00AC3823"/>
    <w:rsid w:val="00AE13FA"/>
    <w:rsid w:val="00AE323C"/>
    <w:rsid w:val="00AF0CB5"/>
    <w:rsid w:val="00B00181"/>
    <w:rsid w:val="00B00B0D"/>
    <w:rsid w:val="00B45F2E"/>
    <w:rsid w:val="00B65721"/>
    <w:rsid w:val="00B765F7"/>
    <w:rsid w:val="00BA0CA9"/>
    <w:rsid w:val="00C02897"/>
    <w:rsid w:val="00C32504"/>
    <w:rsid w:val="00C97039"/>
    <w:rsid w:val="00D1155B"/>
    <w:rsid w:val="00D1483D"/>
    <w:rsid w:val="00D3439C"/>
    <w:rsid w:val="00DB1831"/>
    <w:rsid w:val="00DD3BFD"/>
    <w:rsid w:val="00DF6678"/>
    <w:rsid w:val="00E0299A"/>
    <w:rsid w:val="00E7464C"/>
    <w:rsid w:val="00E85C74"/>
    <w:rsid w:val="00EA6547"/>
    <w:rsid w:val="00EB3340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106B1"/>
  <w15:docId w15:val="{632A125A-D1D7-4CD5-A7CC-61CA34C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83EC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ECE/TRANS/WP.11/2019/3</vt:lpstr>
      <vt:lpstr>ECE/TRANS/WP.11/2019/3</vt:lpstr>
    </vt:vector>
  </TitlesOfParts>
  <Company>DCM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ECE/TRANS/WP.11/2019/3</dc:title>
  <dc:subject/>
  <dc:creator>Julien OKRZESIK</dc:creator>
  <cp:keywords/>
  <cp:lastModifiedBy>Marie-Claude Collet</cp:lastModifiedBy>
  <cp:revision>3</cp:revision>
  <cp:lastPrinted>2019-08-22T06:12:00Z</cp:lastPrinted>
  <dcterms:created xsi:type="dcterms:W3CDTF">2019-08-22T06:12:00Z</dcterms:created>
  <dcterms:modified xsi:type="dcterms:W3CDTF">2019-08-22T06:12:00Z</dcterms:modified>
</cp:coreProperties>
</file>