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C976A0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ADC7D7" w14:textId="77777777" w:rsidR="00F35BAF" w:rsidRPr="00DB58B5" w:rsidRDefault="00F35BAF" w:rsidP="006E45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D844E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D7CB1A" w14:textId="77777777" w:rsidR="00F35BAF" w:rsidRPr="00DB58B5" w:rsidRDefault="006E45A3" w:rsidP="006E45A3">
            <w:pPr>
              <w:jc w:val="right"/>
            </w:pPr>
            <w:r w:rsidRPr="006E45A3">
              <w:rPr>
                <w:sz w:val="40"/>
              </w:rPr>
              <w:t>ECE</w:t>
            </w:r>
            <w:r>
              <w:t>/TRANS/WP.11/2019/16</w:t>
            </w:r>
          </w:p>
        </w:tc>
      </w:tr>
      <w:tr w:rsidR="00F35BAF" w:rsidRPr="00DB58B5" w14:paraId="273AD6B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CC6B1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0161211" wp14:editId="39BFC24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35EAB5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77A245B" w14:textId="77777777" w:rsidR="00F35BAF" w:rsidRDefault="006E45A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3D1819D" w14:textId="77777777" w:rsidR="006E45A3" w:rsidRDefault="006E45A3" w:rsidP="006E45A3">
            <w:pPr>
              <w:spacing w:line="240" w:lineRule="exact"/>
            </w:pPr>
            <w:r>
              <w:t>24 juillet 2019</w:t>
            </w:r>
          </w:p>
          <w:p w14:paraId="0766339D" w14:textId="77777777" w:rsidR="006E45A3" w:rsidRDefault="006E45A3" w:rsidP="006E45A3">
            <w:pPr>
              <w:spacing w:line="240" w:lineRule="exact"/>
            </w:pPr>
            <w:r>
              <w:t>Français</w:t>
            </w:r>
          </w:p>
          <w:p w14:paraId="76D6BDC3" w14:textId="77777777" w:rsidR="006E45A3" w:rsidRPr="00DB58B5" w:rsidRDefault="006E45A3" w:rsidP="006E45A3">
            <w:pPr>
              <w:spacing w:line="240" w:lineRule="exact"/>
            </w:pPr>
            <w:r>
              <w:t>Original : anglais</w:t>
            </w:r>
          </w:p>
        </w:tc>
      </w:tr>
    </w:tbl>
    <w:p w14:paraId="174C853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536E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D9EB10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BF9EF32" w14:textId="77777777" w:rsidR="006E45A3" w:rsidRPr="00685843" w:rsidRDefault="006E45A3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3E5A3E09" w14:textId="77777777" w:rsidR="006E45A3" w:rsidRPr="00F30D47" w:rsidRDefault="006E45A3" w:rsidP="00305801">
      <w:pPr>
        <w:spacing w:before="120"/>
        <w:rPr>
          <w:b/>
        </w:rPr>
      </w:pPr>
      <w:r>
        <w:rPr>
          <w:b/>
          <w:bCs/>
          <w:lang w:val="fr-FR"/>
        </w:rPr>
        <w:t>Soixante-quinzième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270AB643" w14:textId="77777777" w:rsidR="006E45A3" w:rsidRDefault="006E45A3" w:rsidP="00305801">
      <w:r>
        <w:t xml:space="preserve">Genève, </w:t>
      </w:r>
      <w:r>
        <w:rPr>
          <w:lang w:val="fr-FR"/>
        </w:rPr>
        <w:t>8-11 octobre 2019</w:t>
      </w:r>
    </w:p>
    <w:p w14:paraId="60FEFDC2" w14:textId="77777777" w:rsidR="006E45A3" w:rsidRDefault="006E45A3" w:rsidP="00305801">
      <w:r>
        <w:t xml:space="preserve">Point </w:t>
      </w:r>
      <w:r>
        <w:rPr>
          <w:lang w:val="fr-FR"/>
        </w:rPr>
        <w:t xml:space="preserve">5 b) </w:t>
      </w:r>
      <w:r>
        <w:t>de l</w:t>
      </w:r>
      <w:r w:rsidR="00F536E7">
        <w:t>’</w:t>
      </w:r>
      <w:r>
        <w:t>ordre du jour provisoire</w:t>
      </w:r>
    </w:p>
    <w:p w14:paraId="3159D804" w14:textId="77777777" w:rsidR="006E45A3" w:rsidRDefault="006E45A3" w:rsidP="006E45A3">
      <w:pPr>
        <w:rPr>
          <w:b/>
        </w:rPr>
      </w:pPr>
      <w:r>
        <w:rPr>
          <w:b/>
          <w:bCs/>
          <w:lang w:val="fr-FR"/>
        </w:rPr>
        <w:t>Propositions d</w:t>
      </w:r>
      <w:r w:rsidR="00F536E7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l</w:t>
      </w:r>
      <w:r w:rsidR="00F536E7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ATP : </w:t>
      </w:r>
      <w:r>
        <w:rPr>
          <w:b/>
          <w:bCs/>
          <w:lang w:val="fr-FR"/>
        </w:rPr>
        <w:br/>
        <w:t>Nouvelles propositions</w:t>
      </w:r>
    </w:p>
    <w:p w14:paraId="5EC0D171" w14:textId="77777777" w:rsidR="006E45A3" w:rsidRPr="00496B0F" w:rsidRDefault="006E45A3" w:rsidP="006E45A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Propositions visant à améliorer les procès-verbaux d</w:t>
      </w:r>
      <w:r w:rsidR="00F536E7">
        <w:rPr>
          <w:lang w:val="fr-FR"/>
        </w:rPr>
        <w:t>’</w:t>
      </w:r>
      <w:r>
        <w:rPr>
          <w:lang w:val="fr-FR"/>
        </w:rPr>
        <w:t>essai et l</w:t>
      </w:r>
      <w:r w:rsidR="00F536E7">
        <w:rPr>
          <w:lang w:val="fr-FR"/>
        </w:rPr>
        <w:t>’</w:t>
      </w:r>
      <w:r>
        <w:rPr>
          <w:lang w:val="fr-FR"/>
        </w:rPr>
        <w:t>attestation de conformité à l</w:t>
      </w:r>
      <w:r w:rsidR="00F536E7">
        <w:rPr>
          <w:lang w:val="fr-FR"/>
        </w:rPr>
        <w:t>’</w:t>
      </w:r>
      <w:r>
        <w:rPr>
          <w:lang w:val="fr-FR"/>
        </w:rPr>
        <w:t>ATP</w:t>
      </w:r>
    </w:p>
    <w:p w14:paraId="262FBA8A" w14:textId="77777777" w:rsidR="006E45A3" w:rsidRPr="00496B0F" w:rsidRDefault="006E45A3" w:rsidP="006E45A3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des Pays-Bas au nom du groupe de travail informel de l</w:t>
      </w:r>
      <w:r w:rsidR="00F536E7">
        <w:rPr>
          <w:lang w:val="fr-FR"/>
        </w:rPr>
        <w:t>’</w:t>
      </w:r>
      <w:r>
        <w:rPr>
          <w:lang w:val="fr-FR"/>
        </w:rPr>
        <w:t>amélioration du système d</w:t>
      </w:r>
      <w:r w:rsidR="00F536E7">
        <w:rPr>
          <w:lang w:val="fr-FR"/>
        </w:rPr>
        <w:t>’</w:t>
      </w:r>
      <w:r>
        <w:rPr>
          <w:lang w:val="fr-FR"/>
        </w:rPr>
        <w:t xml:space="preserve">homologation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> engins et unités thermiques ATP</w:t>
      </w:r>
    </w:p>
    <w:p w14:paraId="1013F57C" w14:textId="77777777" w:rsidR="006E45A3" w:rsidRDefault="006E45A3" w:rsidP="006E45A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8BD561C" w14:textId="77777777" w:rsidR="006E45A3" w:rsidRDefault="006E45A3" w:rsidP="006E45A3">
      <w:pPr>
        <w:pStyle w:val="SingleTxtG"/>
        <w:rPr>
          <w:b/>
        </w:rPr>
      </w:pPr>
      <w:r>
        <w:rPr>
          <w:lang w:val="fr-FR"/>
        </w:rPr>
        <w:t>1.</w:t>
      </w:r>
      <w:r>
        <w:rPr>
          <w:lang w:val="fr-FR"/>
        </w:rPr>
        <w:tab/>
        <w:t>Le groupe de travail informel de l</w:t>
      </w:r>
      <w:r w:rsidR="00F536E7">
        <w:rPr>
          <w:lang w:val="fr-FR"/>
        </w:rPr>
        <w:t>’</w:t>
      </w:r>
      <w:r>
        <w:rPr>
          <w:lang w:val="fr-FR"/>
        </w:rPr>
        <w:t>amélioration du système d</w:t>
      </w:r>
      <w:r w:rsidR="00F536E7">
        <w:rPr>
          <w:lang w:val="fr-FR"/>
        </w:rPr>
        <w:t>’</w:t>
      </w:r>
      <w:r>
        <w:rPr>
          <w:lang w:val="fr-FR"/>
        </w:rPr>
        <w:t>homologation des engins et unités thermiques ATP est chargé d</w:t>
      </w:r>
      <w:r w:rsidR="00F536E7">
        <w:rPr>
          <w:lang w:val="fr-FR"/>
        </w:rPr>
        <w:t>’</w:t>
      </w:r>
      <w:r>
        <w:rPr>
          <w:lang w:val="fr-FR"/>
        </w:rPr>
        <w:t>étudier des questions susceptibles de faciliter l</w:t>
      </w:r>
      <w:r w:rsidR="00F536E7">
        <w:rPr>
          <w:lang w:val="fr-FR"/>
        </w:rPr>
        <w:t>’</w:t>
      </w:r>
      <w:r>
        <w:rPr>
          <w:lang w:val="fr-FR"/>
        </w:rPr>
        <w:t>approbation des demandes d</w:t>
      </w:r>
      <w:r w:rsidR="00F536E7">
        <w:rPr>
          <w:lang w:val="fr-FR"/>
        </w:rPr>
        <w:t>’</w:t>
      </w:r>
      <w:r>
        <w:rPr>
          <w:lang w:val="fr-FR"/>
        </w:rPr>
        <w:t>homologation. Le rapport du groupe informel décrivant les débats tenus et les suggestions formulées en vue d</w:t>
      </w:r>
      <w:r w:rsidR="00F536E7">
        <w:rPr>
          <w:lang w:val="fr-FR"/>
        </w:rPr>
        <w:t>’</w:t>
      </w:r>
      <w:r>
        <w:rPr>
          <w:lang w:val="fr-FR"/>
        </w:rPr>
        <w:t>améliorer le système sera présenté dans un document informel qui sera soumis prochainement. Le groupe de travail a convenu de procéder à quelques modifications de détail susceptibles de favoriser l</w:t>
      </w:r>
      <w:r w:rsidR="00F536E7">
        <w:rPr>
          <w:lang w:val="fr-FR"/>
        </w:rPr>
        <w:t>’</w:t>
      </w:r>
      <w:r>
        <w:rPr>
          <w:lang w:val="fr-FR"/>
        </w:rPr>
        <w:t>acceptation des procès-verbaux d</w:t>
      </w:r>
      <w:r w:rsidR="00F536E7">
        <w:rPr>
          <w:lang w:val="fr-FR"/>
        </w:rPr>
        <w:t>’</w:t>
      </w:r>
      <w:r>
        <w:rPr>
          <w:lang w:val="fr-FR"/>
        </w:rPr>
        <w:t>essai et d</w:t>
      </w:r>
      <w:r w:rsidR="00F536E7">
        <w:rPr>
          <w:lang w:val="fr-FR"/>
        </w:rPr>
        <w:t>’</w:t>
      </w:r>
      <w:r>
        <w:rPr>
          <w:lang w:val="fr-FR"/>
        </w:rPr>
        <w:t>accélérer la délivrance des attestations ATP.</w:t>
      </w:r>
    </w:p>
    <w:p w14:paraId="429D55A0" w14:textId="77777777" w:rsidR="006E45A3" w:rsidRPr="00482896" w:rsidRDefault="006E45A3" w:rsidP="006E45A3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Partie 1</w:t>
      </w:r>
    </w:p>
    <w:p w14:paraId="28EAB2B8" w14:textId="77777777" w:rsidR="006E45A3" w:rsidRPr="004B604A" w:rsidRDefault="006E45A3" w:rsidP="006E45A3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D02EDD" w:rsidRPr="00D02EDD">
        <w:rPr>
          <w:lang w:val="fr-FR"/>
        </w:rPr>
        <w:t>Utilisation cohérente des termes «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>autonome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>», «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>non-autonome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>» et «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>raccordé à une installation centrale</w:t>
      </w:r>
      <w:r w:rsidR="00D02EDD">
        <w:rPr>
          <w:lang w:val="fr-FR"/>
        </w:rPr>
        <w:t> »</w:t>
      </w:r>
      <w:r w:rsidR="00D02EDD" w:rsidRPr="00D02EDD">
        <w:rPr>
          <w:lang w:val="fr-FR"/>
        </w:rPr>
        <w:t>. Dans la version anglaise, «</w:t>
      </w:r>
      <w:r w:rsidR="00D02EDD">
        <w:rPr>
          <w:lang w:val="fr-FR"/>
        </w:rPr>
        <w:t> </w:t>
      </w:r>
      <w:proofErr w:type="spellStart"/>
      <w:r w:rsidR="00D02EDD" w:rsidRPr="00D02EDD">
        <w:rPr>
          <w:lang w:val="fr-FR"/>
        </w:rPr>
        <w:t>independent</w:t>
      </w:r>
      <w:proofErr w:type="spellEnd"/>
      <w:r w:rsidR="00D02EDD">
        <w:rPr>
          <w:lang w:val="fr-FR"/>
        </w:rPr>
        <w:t> </w:t>
      </w:r>
      <w:r w:rsidR="00D02EDD" w:rsidRPr="00D02EDD">
        <w:rPr>
          <w:lang w:val="fr-FR"/>
        </w:rPr>
        <w:t>», «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 xml:space="preserve">non </w:t>
      </w:r>
      <w:proofErr w:type="spellStart"/>
      <w:r w:rsidR="00D02EDD" w:rsidRPr="00D02EDD">
        <w:rPr>
          <w:lang w:val="fr-FR"/>
        </w:rPr>
        <w:t>independent</w:t>
      </w:r>
      <w:proofErr w:type="spellEnd"/>
      <w:r w:rsidR="00D02EDD">
        <w:rPr>
          <w:lang w:val="fr-FR"/>
        </w:rPr>
        <w:t> </w:t>
      </w:r>
      <w:r w:rsidR="00D02EDD" w:rsidRPr="00D02EDD">
        <w:rPr>
          <w:lang w:val="fr-FR"/>
        </w:rPr>
        <w:t>» et «</w:t>
      </w:r>
      <w:r w:rsidR="00D02EDD">
        <w:rPr>
          <w:lang w:val="fr-FR"/>
        </w:rPr>
        <w:t> </w:t>
      </w:r>
      <w:r w:rsidR="00D02EDD" w:rsidRPr="00D02EDD">
        <w:rPr>
          <w:lang w:val="fr-FR"/>
        </w:rPr>
        <w:t xml:space="preserve">mains </w:t>
      </w:r>
      <w:proofErr w:type="spellStart"/>
      <w:r w:rsidR="00D02EDD" w:rsidRPr="00D02EDD">
        <w:rPr>
          <w:lang w:val="fr-FR"/>
        </w:rPr>
        <w:t>operated</w:t>
      </w:r>
      <w:proofErr w:type="spellEnd"/>
      <w:r w:rsidR="00D02EDD">
        <w:rPr>
          <w:lang w:val="fr-FR"/>
        </w:rPr>
        <w:t> </w:t>
      </w:r>
      <w:r w:rsidR="00D02EDD" w:rsidRPr="00D02EDD">
        <w:rPr>
          <w:lang w:val="fr-FR"/>
        </w:rPr>
        <w:t>».</w:t>
      </w:r>
      <w:r w:rsidR="00D02EDD">
        <w:rPr>
          <w:lang w:val="fr-FR"/>
        </w:rPr>
        <w:t xml:space="preserve"> </w:t>
      </w:r>
    </w:p>
    <w:p w14:paraId="4ED6FD48" w14:textId="77777777" w:rsidR="006E45A3" w:rsidRPr="002252A3" w:rsidRDefault="002252A3" w:rsidP="002252A3">
      <w:pPr>
        <w:pStyle w:val="H4G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 w:rsidR="006E45A3" w:rsidRPr="002252A3">
        <w:rPr>
          <w:b/>
          <w:lang w:val="fr-FR"/>
        </w:rPr>
        <w:t>Proposition 1</w:t>
      </w:r>
    </w:p>
    <w:p w14:paraId="28BF9517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Dans le modèle de procès-verbal d</w:t>
      </w:r>
      <w:r w:rsidR="00F536E7">
        <w:rPr>
          <w:lang w:val="fr-FR"/>
        </w:rPr>
        <w:t>’</w:t>
      </w:r>
      <w:r>
        <w:rPr>
          <w:lang w:val="fr-FR"/>
        </w:rPr>
        <w:t>essai n</w:t>
      </w:r>
      <w:r>
        <w:rPr>
          <w:vertAlign w:val="superscript"/>
          <w:lang w:val="fr-FR"/>
        </w:rPr>
        <w:t>o</w:t>
      </w:r>
      <w:r w:rsidRPr="002252A3">
        <w:rPr>
          <w:lang w:val="fr-FR"/>
        </w:rPr>
        <w:t> </w:t>
      </w:r>
      <w:r>
        <w:rPr>
          <w:lang w:val="fr-FR"/>
        </w:rPr>
        <w:t>12 «</w:t>
      </w:r>
      <w:r w:rsidR="002252A3">
        <w:rPr>
          <w:lang w:val="fr-FR"/>
        </w:rPr>
        <w:t> </w:t>
      </w:r>
      <w:r>
        <w:rPr>
          <w:lang w:val="fr-FR"/>
        </w:rPr>
        <w:t>Détermination de la puissance frigorifique utile d</w:t>
      </w:r>
      <w:r w:rsidR="00F536E7">
        <w:rPr>
          <w:lang w:val="fr-FR"/>
        </w:rPr>
        <w:t>’</w:t>
      </w:r>
      <w:r>
        <w:rPr>
          <w:lang w:val="fr-FR"/>
        </w:rPr>
        <w:t>un groupe frigorifique conformément à la section 4 de l</w:t>
      </w:r>
      <w:r w:rsidR="00F536E7">
        <w:rPr>
          <w:lang w:val="fr-FR"/>
        </w:rPr>
        <w:t>’</w:t>
      </w:r>
      <w:r>
        <w:rPr>
          <w:lang w:val="fr-FR"/>
        </w:rPr>
        <w:t>appendice 2 de l</w:t>
      </w:r>
      <w:r w:rsidR="00F536E7">
        <w:rPr>
          <w:lang w:val="fr-FR"/>
        </w:rPr>
        <w:t>’</w:t>
      </w:r>
      <w:r>
        <w:rPr>
          <w:lang w:val="fr-FR"/>
        </w:rPr>
        <w:t>annexe 1</w:t>
      </w:r>
      <w:r w:rsidR="002252A3">
        <w:rPr>
          <w:lang w:val="fr-FR"/>
        </w:rPr>
        <w:t> </w:t>
      </w:r>
      <w:r>
        <w:rPr>
          <w:lang w:val="fr-FR"/>
        </w:rPr>
        <w:t>», remplacer, dans la rubrique «</w:t>
      </w:r>
      <w:r w:rsidR="002252A3">
        <w:rPr>
          <w:lang w:val="fr-FR"/>
        </w:rPr>
        <w:t> </w:t>
      </w:r>
      <w:r>
        <w:rPr>
          <w:lang w:val="fr-FR"/>
        </w:rPr>
        <w:t>Genre</w:t>
      </w:r>
      <w:r w:rsidR="002252A3">
        <w:rPr>
          <w:lang w:val="fr-FR"/>
        </w:rPr>
        <w:t> </w:t>
      </w:r>
      <w:r>
        <w:rPr>
          <w:lang w:val="fr-FR"/>
        </w:rPr>
        <w:t>» :</w:t>
      </w:r>
    </w:p>
    <w:p w14:paraId="58C75657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«</w:t>
      </w:r>
      <w:r w:rsidR="002252A3">
        <w:rPr>
          <w:lang w:val="fr-FR"/>
        </w:rPr>
        <w:t> </w:t>
      </w:r>
      <w:r>
        <w:rPr>
          <w:lang w:val="fr-FR"/>
        </w:rPr>
        <w:t xml:space="preserve">Autonome </w:t>
      </w:r>
      <w:r w:rsidR="002252A3">
        <w:rPr>
          <w:b/>
          <w:spacing w:val="-3"/>
        </w:rPr>
        <w:t>−</w:t>
      </w:r>
      <w:r>
        <w:rPr>
          <w:lang w:val="fr-FR"/>
        </w:rPr>
        <w:t xml:space="preserve"> non autonome</w:t>
      </w:r>
      <w:r w:rsidR="002252A3">
        <w:rPr>
          <w:lang w:val="fr-FR"/>
        </w:rPr>
        <w:t> </w:t>
      </w:r>
      <w:r>
        <w:rPr>
          <w:lang w:val="fr-FR"/>
        </w:rPr>
        <w:t>» par «</w:t>
      </w:r>
      <w:r w:rsidR="002252A3">
        <w:rPr>
          <w:lang w:val="fr-FR"/>
        </w:rPr>
        <w:t> </w:t>
      </w:r>
      <w:r>
        <w:rPr>
          <w:lang w:val="fr-FR"/>
        </w:rPr>
        <w:t>Fonctionnement de manière autonome/non autonome/raccordé à une installation centrale</w:t>
      </w:r>
      <w:r>
        <w:rPr>
          <w:vertAlign w:val="superscript"/>
          <w:lang w:val="fr-FR"/>
        </w:rPr>
        <w:t>1</w:t>
      </w:r>
      <w:r w:rsidR="002252A3" w:rsidRPr="002252A3">
        <w:rPr>
          <w:lang w:val="fr-FR"/>
        </w:rPr>
        <w:t> </w:t>
      </w:r>
      <w:r>
        <w:rPr>
          <w:lang w:val="fr-FR"/>
        </w:rPr>
        <w:t>».</w:t>
      </w:r>
    </w:p>
    <w:p w14:paraId="72483047" w14:textId="77777777" w:rsidR="006E45A3" w:rsidRPr="00482896" w:rsidRDefault="002252A3" w:rsidP="002252A3">
      <w:pPr>
        <w:pStyle w:val="H4G"/>
        <w:rPr>
          <w:b/>
          <w:bCs/>
          <w:iCs/>
        </w:rPr>
      </w:pPr>
      <w:r>
        <w:rPr>
          <w:b/>
          <w:lang w:val="fr-FR"/>
        </w:rPr>
        <w:lastRenderedPageBreak/>
        <w:tab/>
      </w:r>
      <w:r>
        <w:rPr>
          <w:b/>
          <w:lang w:val="fr-FR"/>
        </w:rPr>
        <w:tab/>
      </w:r>
      <w:r w:rsidR="006E45A3" w:rsidRPr="002252A3">
        <w:rPr>
          <w:b/>
          <w:lang w:val="fr-FR"/>
        </w:rPr>
        <w:t>Proposition</w:t>
      </w:r>
      <w:r w:rsidR="006E45A3">
        <w:rPr>
          <w:b/>
          <w:bCs/>
          <w:iCs/>
          <w:lang w:val="fr-FR"/>
        </w:rPr>
        <w:t> 2</w:t>
      </w:r>
    </w:p>
    <w:p w14:paraId="56710A7A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Dans le «</w:t>
      </w:r>
      <w:r w:rsidR="002252A3">
        <w:rPr>
          <w:lang w:val="fr-FR"/>
        </w:rPr>
        <w:t> </w:t>
      </w:r>
      <w:r>
        <w:rPr>
          <w:lang w:val="fr-FR"/>
        </w:rPr>
        <w:t>Modèle de la formule d</w:t>
      </w:r>
      <w:r w:rsidR="00F536E7">
        <w:rPr>
          <w:lang w:val="fr-FR"/>
        </w:rPr>
        <w:t>’</w:t>
      </w:r>
      <w:r>
        <w:rPr>
          <w:lang w:val="fr-FR"/>
        </w:rPr>
        <w:t>attestation de conformité de l</w:t>
      </w:r>
      <w:r w:rsidR="00F536E7">
        <w:rPr>
          <w:lang w:val="fr-FR"/>
        </w:rPr>
        <w:t>’</w:t>
      </w:r>
      <w:r>
        <w:rPr>
          <w:lang w:val="fr-FR"/>
        </w:rPr>
        <w:t>engin prescrite au paragraphe 3 de l</w:t>
      </w:r>
      <w:r w:rsidR="00F536E7">
        <w:rPr>
          <w:lang w:val="fr-FR"/>
        </w:rPr>
        <w:t>’</w:t>
      </w:r>
      <w:r>
        <w:rPr>
          <w:lang w:val="fr-FR"/>
        </w:rPr>
        <w:t>appendice 1 de l</w:t>
      </w:r>
      <w:r w:rsidR="00F536E7">
        <w:rPr>
          <w:lang w:val="fr-FR"/>
        </w:rPr>
        <w:t>’</w:t>
      </w:r>
      <w:r>
        <w:rPr>
          <w:lang w:val="fr-FR"/>
        </w:rPr>
        <w:t>annexe 1</w:t>
      </w:r>
      <w:r w:rsidR="002252A3">
        <w:rPr>
          <w:lang w:val="fr-FR"/>
        </w:rPr>
        <w:t> </w:t>
      </w:r>
      <w:r>
        <w:rPr>
          <w:lang w:val="fr-FR"/>
        </w:rPr>
        <w:t>», à la ligne 6.1.2 (version anglaise uniquement) :</w:t>
      </w:r>
    </w:p>
    <w:p w14:paraId="49ABDFBC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Remplacer «</w:t>
      </w:r>
      <w:r w:rsidR="002252A3">
        <w:rPr>
          <w:lang w:val="fr-FR"/>
        </w:rPr>
        <w:t> </w:t>
      </w:r>
      <w:r>
        <w:rPr>
          <w:lang w:val="fr-FR"/>
        </w:rPr>
        <w:t>Not independent</w:t>
      </w:r>
      <w:r w:rsidR="002252A3">
        <w:rPr>
          <w:lang w:val="fr-FR"/>
        </w:rPr>
        <w:t> </w:t>
      </w:r>
      <w:r>
        <w:rPr>
          <w:lang w:val="fr-FR"/>
        </w:rPr>
        <w:t>» par «</w:t>
      </w:r>
      <w:r w:rsidR="002252A3">
        <w:rPr>
          <w:lang w:val="fr-FR"/>
        </w:rPr>
        <w:t> </w:t>
      </w:r>
      <w:r>
        <w:rPr>
          <w:lang w:val="fr-FR"/>
        </w:rPr>
        <w:t>dependent</w:t>
      </w:r>
      <w:r w:rsidR="002252A3">
        <w:rPr>
          <w:lang w:val="fr-FR"/>
        </w:rPr>
        <w:t> </w:t>
      </w:r>
      <w:r>
        <w:rPr>
          <w:lang w:val="fr-FR"/>
        </w:rPr>
        <w:t>».</w:t>
      </w:r>
    </w:p>
    <w:p w14:paraId="61B2FAF9" w14:textId="77777777" w:rsidR="006E45A3" w:rsidRPr="00482896" w:rsidRDefault="002252A3" w:rsidP="002252A3">
      <w:pPr>
        <w:pStyle w:val="H4G"/>
        <w:rPr>
          <w:b/>
          <w:bCs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6E45A3" w:rsidRPr="002252A3">
        <w:rPr>
          <w:b/>
          <w:lang w:val="fr-FR"/>
        </w:rPr>
        <w:t>Proposition</w:t>
      </w:r>
      <w:r w:rsidR="006E45A3">
        <w:rPr>
          <w:b/>
          <w:bCs/>
          <w:iCs/>
          <w:lang w:val="fr-FR"/>
        </w:rPr>
        <w:t> 3</w:t>
      </w:r>
    </w:p>
    <w:p w14:paraId="2A530DD5" w14:textId="77777777" w:rsidR="006E45A3" w:rsidRPr="00ED6F5B" w:rsidRDefault="006E45A3" w:rsidP="002252A3">
      <w:pPr>
        <w:pStyle w:val="SingleTxtG"/>
        <w:ind w:left="1701"/>
      </w:pPr>
      <w:r>
        <w:rPr>
          <w:lang w:val="fr-FR"/>
        </w:rPr>
        <w:t>À la première ligne du paragraphe qui suit les exemples de marques d</w:t>
      </w:r>
      <w:r w:rsidR="00F536E7">
        <w:rPr>
          <w:lang w:val="fr-FR"/>
        </w:rPr>
        <w:t>’</w:t>
      </w:r>
      <w:r>
        <w:rPr>
          <w:lang w:val="fr-FR"/>
        </w:rPr>
        <w:t>identification à apposer, remplacer «</w:t>
      </w:r>
      <w:r w:rsidR="002252A3">
        <w:rPr>
          <w:lang w:val="fr-FR"/>
        </w:rPr>
        <w:t> </w:t>
      </w:r>
      <w:r>
        <w:rPr>
          <w:lang w:val="fr-FR"/>
        </w:rPr>
        <w:t>non autonome</w:t>
      </w:r>
      <w:r w:rsidR="002252A3">
        <w:rPr>
          <w:lang w:val="fr-FR"/>
        </w:rPr>
        <w:t> </w:t>
      </w:r>
      <w:r>
        <w:rPr>
          <w:lang w:val="fr-FR"/>
        </w:rPr>
        <w:t>» par «</w:t>
      </w:r>
      <w:r w:rsidR="002252A3">
        <w:rPr>
          <w:lang w:val="fr-FR"/>
        </w:rPr>
        <w:t> </w:t>
      </w:r>
      <w:r>
        <w:rPr>
          <w:lang w:val="fr-FR"/>
        </w:rPr>
        <w:t>autonome</w:t>
      </w:r>
      <w:r w:rsidR="002252A3">
        <w:rPr>
          <w:lang w:val="fr-FR"/>
        </w:rPr>
        <w:t> </w:t>
      </w:r>
      <w:r>
        <w:rPr>
          <w:lang w:val="fr-FR"/>
        </w:rPr>
        <w:t>».</w:t>
      </w:r>
    </w:p>
    <w:p w14:paraId="4F466305" w14:textId="77777777" w:rsidR="006E45A3" w:rsidRPr="00482896" w:rsidRDefault="002252A3" w:rsidP="002252A3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6E45A3">
        <w:rPr>
          <w:lang w:val="fr-FR"/>
        </w:rPr>
        <w:t>Justification</w:t>
      </w:r>
    </w:p>
    <w:p w14:paraId="5A518AF6" w14:textId="77777777" w:rsidR="006E45A3" w:rsidRDefault="006E45A3" w:rsidP="002252A3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Dans l</w:t>
      </w:r>
      <w:r w:rsidR="00F536E7">
        <w:rPr>
          <w:lang w:val="fr-FR"/>
        </w:rPr>
        <w:t>’</w:t>
      </w:r>
      <w:r>
        <w:rPr>
          <w:lang w:val="fr-FR"/>
        </w:rPr>
        <w:t>ATP, une distinction est établie entre les dispositifs thermiques qui peuvent fonctionner indépendamment du mouvement et du fonctionnement du moteur d</w:t>
      </w:r>
      <w:r w:rsidR="00F536E7">
        <w:rPr>
          <w:lang w:val="fr-FR"/>
        </w:rPr>
        <w:t>’</w:t>
      </w:r>
      <w:r>
        <w:rPr>
          <w:lang w:val="fr-FR"/>
        </w:rPr>
        <w:t>un véhicule et les dispositifs non autonomes. Cela signifie que pendant les phases d</w:t>
      </w:r>
      <w:r w:rsidR="00F536E7">
        <w:rPr>
          <w:lang w:val="fr-FR"/>
        </w:rPr>
        <w:t>’</w:t>
      </w:r>
      <w:r>
        <w:rPr>
          <w:lang w:val="fr-FR"/>
        </w:rPr>
        <w:t>arrêt du véhicule, le fonctionnement global ou partiel de l</w:t>
      </w:r>
      <w:r w:rsidR="00F536E7">
        <w:rPr>
          <w:lang w:val="fr-FR"/>
        </w:rPr>
        <w:t>’</w:t>
      </w:r>
      <w:r>
        <w:rPr>
          <w:lang w:val="fr-FR"/>
        </w:rPr>
        <w:t>engin frigorifique ou calorifique n</w:t>
      </w:r>
      <w:r w:rsidR="00F536E7">
        <w:rPr>
          <w:lang w:val="fr-FR"/>
        </w:rPr>
        <w:t>’</w:t>
      </w:r>
      <w:r>
        <w:rPr>
          <w:lang w:val="fr-FR"/>
        </w:rPr>
        <w:t>est pas assuré. Les termes correspondants ne sont pas employés de manière cohérente, en particulier dans la version anglaise, ce qui prête à confusion.</w:t>
      </w:r>
    </w:p>
    <w:p w14:paraId="054CD889" w14:textId="77777777" w:rsidR="006E45A3" w:rsidRPr="00482896" w:rsidRDefault="006E45A3" w:rsidP="002252A3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Partie 2</w:t>
      </w:r>
    </w:p>
    <w:p w14:paraId="701BB916" w14:textId="77777777" w:rsidR="006E45A3" w:rsidRDefault="006E45A3" w:rsidP="002252A3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Étant donné qu</w:t>
      </w:r>
      <w:r w:rsidR="00F536E7">
        <w:rPr>
          <w:lang w:val="fr-FR"/>
        </w:rPr>
        <w:t>’</w:t>
      </w:r>
      <w:r>
        <w:rPr>
          <w:lang w:val="fr-FR"/>
        </w:rPr>
        <w:t>il est difficile de trouver la date exacte de fabrication d</w:t>
      </w:r>
      <w:r w:rsidR="00F536E7">
        <w:rPr>
          <w:lang w:val="fr-FR"/>
        </w:rPr>
        <w:t>’</w:t>
      </w:r>
      <w:r>
        <w:rPr>
          <w:lang w:val="fr-FR"/>
        </w:rPr>
        <w:t>un engin, il peut arriver que le champ correspondant ne soit pas rempli correctement, ce qui peut entraîner un refus du procès-verbal d</w:t>
      </w:r>
      <w:r w:rsidR="00F536E7">
        <w:rPr>
          <w:lang w:val="fr-FR"/>
        </w:rPr>
        <w:t>’</w:t>
      </w:r>
      <w:r>
        <w:rPr>
          <w:lang w:val="fr-FR"/>
        </w:rPr>
        <w:t>essai et des retards dans la délivrance des attestations ATP. Il n</w:t>
      </w:r>
      <w:r w:rsidR="00F536E7">
        <w:rPr>
          <w:lang w:val="fr-FR"/>
        </w:rPr>
        <w:t>’</w:t>
      </w:r>
      <w:r>
        <w:rPr>
          <w:lang w:val="fr-FR"/>
        </w:rPr>
        <w:t>y a pas de raison particulière d</w:t>
      </w:r>
      <w:r w:rsidR="00F536E7">
        <w:rPr>
          <w:lang w:val="fr-FR"/>
        </w:rPr>
        <w:t>’</w:t>
      </w:r>
      <w:r>
        <w:rPr>
          <w:lang w:val="fr-FR"/>
        </w:rPr>
        <w:t xml:space="preserve">exiger un tel degré de précision. </w:t>
      </w:r>
    </w:p>
    <w:p w14:paraId="72987F78" w14:textId="77777777" w:rsidR="006E45A3" w:rsidRPr="002252A3" w:rsidRDefault="002252A3" w:rsidP="002252A3">
      <w:pPr>
        <w:pStyle w:val="H4G"/>
        <w:rPr>
          <w:b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6E45A3" w:rsidRPr="002252A3">
        <w:rPr>
          <w:b/>
          <w:lang w:val="fr-FR"/>
        </w:rPr>
        <w:t>Proposition 4</w:t>
      </w:r>
    </w:p>
    <w:p w14:paraId="5F5F0FCF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Dans le modèle de procès-verbal d</w:t>
      </w:r>
      <w:r w:rsidR="00F536E7">
        <w:rPr>
          <w:lang w:val="fr-FR"/>
        </w:rPr>
        <w:t>’</w:t>
      </w:r>
      <w:r>
        <w:rPr>
          <w:lang w:val="fr-FR"/>
        </w:rPr>
        <w:t>essai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893F22">
        <w:rPr>
          <w:lang w:val="fr-FR"/>
        </w:rPr>
        <w:t>12</w:t>
      </w:r>
      <w:r>
        <w:rPr>
          <w:lang w:val="fr-FR"/>
        </w:rPr>
        <w:t xml:space="preserve"> «</w:t>
      </w:r>
      <w:r w:rsidR="00FB20E0">
        <w:rPr>
          <w:lang w:val="fr-FR"/>
        </w:rPr>
        <w:t> </w:t>
      </w:r>
      <w:r>
        <w:rPr>
          <w:lang w:val="fr-FR"/>
        </w:rPr>
        <w:t>Détermination de la puissance frigorifique utile d</w:t>
      </w:r>
      <w:r w:rsidR="00F536E7">
        <w:rPr>
          <w:lang w:val="fr-FR"/>
        </w:rPr>
        <w:t>’</w:t>
      </w:r>
      <w:r>
        <w:rPr>
          <w:lang w:val="fr-FR"/>
        </w:rPr>
        <w:t>un groupe frigorifique conformément à la section 4 de l</w:t>
      </w:r>
      <w:r w:rsidR="00F536E7">
        <w:rPr>
          <w:lang w:val="fr-FR"/>
        </w:rPr>
        <w:t>’</w:t>
      </w:r>
      <w:r>
        <w:rPr>
          <w:lang w:val="fr-FR"/>
        </w:rPr>
        <w:t>appendice 2 de l</w:t>
      </w:r>
      <w:r w:rsidR="00F536E7">
        <w:rPr>
          <w:lang w:val="fr-FR"/>
        </w:rPr>
        <w:t>’</w:t>
      </w:r>
      <w:r>
        <w:rPr>
          <w:lang w:val="fr-FR"/>
        </w:rPr>
        <w:t>annexe 1</w:t>
      </w:r>
      <w:r w:rsidR="00FB20E0">
        <w:rPr>
          <w:lang w:val="fr-FR"/>
        </w:rPr>
        <w:t> </w:t>
      </w:r>
      <w:r>
        <w:rPr>
          <w:lang w:val="fr-FR"/>
        </w:rPr>
        <w:t>», à l</w:t>
      </w:r>
      <w:r w:rsidR="00F536E7">
        <w:rPr>
          <w:lang w:val="fr-FR"/>
        </w:rPr>
        <w:t>’</w:t>
      </w:r>
      <w:r>
        <w:rPr>
          <w:lang w:val="fr-FR"/>
        </w:rPr>
        <w:t>alinéa a) relatif aux spécifications techniques :</w:t>
      </w:r>
    </w:p>
    <w:p w14:paraId="5CEE63B8" w14:textId="77777777" w:rsidR="006E45A3" w:rsidRDefault="006E45A3" w:rsidP="002252A3">
      <w:pPr>
        <w:pStyle w:val="SingleTxtG"/>
        <w:ind w:left="1701"/>
      </w:pPr>
      <w:r>
        <w:rPr>
          <w:lang w:val="fr-FR"/>
        </w:rPr>
        <w:t>Remplacer «</w:t>
      </w:r>
      <w:r w:rsidR="00FB20E0">
        <w:rPr>
          <w:lang w:val="fr-FR"/>
        </w:rPr>
        <w:t> </w:t>
      </w:r>
      <w:r>
        <w:rPr>
          <w:lang w:val="fr-FR"/>
        </w:rPr>
        <w:t>Date de construction</w:t>
      </w:r>
      <w:r w:rsidR="00FB20E0">
        <w:rPr>
          <w:lang w:val="fr-FR"/>
        </w:rPr>
        <w:t> </w:t>
      </w:r>
      <w:r>
        <w:rPr>
          <w:lang w:val="fr-FR"/>
        </w:rPr>
        <w:t>» par «</w:t>
      </w:r>
      <w:r w:rsidR="00FB20E0">
        <w:rPr>
          <w:lang w:val="fr-FR"/>
        </w:rPr>
        <w:t> </w:t>
      </w:r>
      <w:r>
        <w:rPr>
          <w:lang w:val="fr-FR"/>
        </w:rPr>
        <w:t>Année de construction</w:t>
      </w:r>
      <w:r w:rsidR="00FB20E0">
        <w:rPr>
          <w:lang w:val="fr-FR"/>
        </w:rPr>
        <w:t> </w:t>
      </w:r>
      <w:r>
        <w:rPr>
          <w:lang w:val="fr-FR"/>
        </w:rPr>
        <w:t>».</w:t>
      </w:r>
    </w:p>
    <w:p w14:paraId="40747CC9" w14:textId="77777777" w:rsidR="006E45A3" w:rsidRPr="00482896" w:rsidRDefault="002252A3" w:rsidP="002252A3">
      <w:pPr>
        <w:pStyle w:val="H23G"/>
        <w:rPr>
          <w:bCs/>
        </w:rPr>
      </w:pPr>
      <w:r>
        <w:rPr>
          <w:lang w:val="fr-FR"/>
        </w:rPr>
        <w:tab/>
      </w:r>
      <w:r>
        <w:rPr>
          <w:lang w:val="fr-FR"/>
        </w:rPr>
        <w:tab/>
      </w:r>
      <w:r w:rsidR="006E45A3" w:rsidRPr="002252A3">
        <w:rPr>
          <w:lang w:val="fr-FR"/>
        </w:rPr>
        <w:t>Justification</w:t>
      </w:r>
    </w:p>
    <w:p w14:paraId="4FE3F6EC" w14:textId="77777777" w:rsidR="006E45A3" w:rsidRDefault="006E45A3" w:rsidP="002252A3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Dans tous les autres procès-verbaux d</w:t>
      </w:r>
      <w:r w:rsidR="00F536E7">
        <w:rPr>
          <w:lang w:val="fr-FR"/>
        </w:rPr>
        <w:t>’</w:t>
      </w:r>
      <w:r>
        <w:rPr>
          <w:lang w:val="fr-FR"/>
        </w:rPr>
        <w:t>essai, seule l</w:t>
      </w:r>
      <w:r w:rsidR="00F536E7">
        <w:rPr>
          <w:lang w:val="fr-FR"/>
        </w:rPr>
        <w:t>’</w:t>
      </w:r>
      <w:r>
        <w:rPr>
          <w:lang w:val="fr-FR"/>
        </w:rPr>
        <w:t xml:space="preserve">année de construction doit être précisée. Il est estimé que, dans le cas du modèle </w:t>
      </w:r>
      <w:r w:rsidRPr="00893F22">
        <w:rPr>
          <w:lang w:val="fr-FR"/>
        </w:rPr>
        <w:t>n</w:t>
      </w:r>
      <w:r w:rsidRPr="00893F22">
        <w:rPr>
          <w:vertAlign w:val="superscript"/>
          <w:lang w:val="fr-FR"/>
        </w:rPr>
        <w:t>o</w:t>
      </w:r>
      <w:r w:rsidRPr="00893F22">
        <w:rPr>
          <w:lang w:val="fr-FR"/>
        </w:rPr>
        <w:t> 12, la date de construction ne présente pas d</w:t>
      </w:r>
      <w:r w:rsidR="00F536E7" w:rsidRPr="00893F22">
        <w:rPr>
          <w:lang w:val="fr-FR"/>
        </w:rPr>
        <w:t>’</w:t>
      </w:r>
      <w:r w:rsidRPr="00893F22">
        <w:rPr>
          <w:lang w:val="fr-FR"/>
        </w:rPr>
        <w:t>intérêt particulier, d</w:t>
      </w:r>
      <w:r w:rsidR="00F536E7" w:rsidRPr="00893F22">
        <w:rPr>
          <w:lang w:val="fr-FR"/>
        </w:rPr>
        <w:t>’</w:t>
      </w:r>
      <w:r w:rsidRPr="00893F22">
        <w:rPr>
          <w:lang w:val="fr-FR"/>
        </w:rPr>
        <w:t>autant qu</w:t>
      </w:r>
      <w:r w:rsidR="00F536E7" w:rsidRPr="00893F22">
        <w:rPr>
          <w:lang w:val="fr-FR"/>
        </w:rPr>
        <w:t>’</w:t>
      </w:r>
      <w:r w:rsidRPr="00893F22">
        <w:rPr>
          <w:lang w:val="fr-FR"/>
        </w:rPr>
        <w:t xml:space="preserve">elle est de toutes </w:t>
      </w:r>
      <w:proofErr w:type="gramStart"/>
      <w:r w:rsidRPr="00893F22">
        <w:rPr>
          <w:lang w:val="fr-FR"/>
        </w:rPr>
        <w:t>façons</w:t>
      </w:r>
      <w:r>
        <w:rPr>
          <w:lang w:val="fr-FR"/>
        </w:rPr>
        <w:t xml:space="preserve"> difficile</w:t>
      </w:r>
      <w:proofErr w:type="gramEnd"/>
      <w:r>
        <w:rPr>
          <w:lang w:val="fr-FR"/>
        </w:rPr>
        <w:t xml:space="preserve"> à retrouver. En outre, seuls le mois et l</w:t>
      </w:r>
      <w:r w:rsidR="00F536E7">
        <w:rPr>
          <w:lang w:val="fr-FR"/>
        </w:rPr>
        <w:t>’</w:t>
      </w:r>
      <w:r>
        <w:rPr>
          <w:lang w:val="fr-FR"/>
        </w:rPr>
        <w:t>année de fabrication, mais pas le jour, doivent figurer sur la plaque d</w:t>
      </w:r>
      <w:r w:rsidR="00F536E7">
        <w:rPr>
          <w:lang w:val="fr-FR"/>
        </w:rPr>
        <w:t>’</w:t>
      </w:r>
      <w:r>
        <w:rPr>
          <w:lang w:val="fr-FR"/>
        </w:rPr>
        <w:t>identification apposée par le constructeur en vertu du paragraphe 5 de l</w:t>
      </w:r>
      <w:r w:rsidR="00F536E7">
        <w:rPr>
          <w:lang w:val="fr-FR"/>
        </w:rPr>
        <w:t>’</w:t>
      </w:r>
      <w:r>
        <w:rPr>
          <w:lang w:val="fr-FR"/>
        </w:rPr>
        <w:t>appendice 1 de l</w:t>
      </w:r>
      <w:r w:rsidR="00F536E7">
        <w:rPr>
          <w:lang w:val="fr-FR"/>
        </w:rPr>
        <w:t>’</w:t>
      </w:r>
      <w:r>
        <w:rPr>
          <w:lang w:val="fr-FR"/>
        </w:rPr>
        <w:t>annexe 1.</w:t>
      </w:r>
    </w:p>
    <w:p w14:paraId="778495A5" w14:textId="77777777" w:rsidR="006E45A3" w:rsidRPr="00482896" w:rsidRDefault="006E45A3" w:rsidP="002252A3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2252A3">
        <w:rPr>
          <w:lang w:val="fr-FR"/>
        </w:rPr>
        <w:t>Partie</w:t>
      </w:r>
      <w:r>
        <w:rPr>
          <w:bCs/>
          <w:lang w:val="fr-FR"/>
        </w:rPr>
        <w:t> 3</w:t>
      </w:r>
    </w:p>
    <w:p w14:paraId="346DD9F2" w14:textId="77777777" w:rsidR="006E45A3" w:rsidRDefault="006E45A3" w:rsidP="002252A3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Informations détaillées concernant le condenseur mentionné dans le modèle de procès-verbal d</w:t>
      </w:r>
      <w:r w:rsidR="00F536E7">
        <w:rPr>
          <w:lang w:val="fr-FR"/>
        </w:rPr>
        <w:t>’</w:t>
      </w:r>
      <w:r>
        <w:rPr>
          <w:lang w:val="fr-FR"/>
        </w:rPr>
        <w:t>essai n</w:t>
      </w:r>
      <w:r w:rsidR="002252A3" w:rsidRPr="002252A3">
        <w:rPr>
          <w:vertAlign w:val="superscript"/>
          <w:lang w:val="fr-FR"/>
        </w:rPr>
        <w:t>o</w:t>
      </w:r>
      <w:r w:rsidR="002252A3">
        <w:rPr>
          <w:lang w:val="fr-FR"/>
        </w:rPr>
        <w:t> </w:t>
      </w:r>
      <w:r w:rsidRPr="00893F22">
        <w:rPr>
          <w:lang w:val="fr-FR"/>
        </w:rPr>
        <w:t>12</w:t>
      </w:r>
      <w:r>
        <w:rPr>
          <w:lang w:val="fr-FR"/>
        </w:rPr>
        <w:t>.</w:t>
      </w:r>
    </w:p>
    <w:p w14:paraId="754EEE41" w14:textId="77777777" w:rsidR="006E45A3" w:rsidRPr="00482896" w:rsidRDefault="00FB20E0" w:rsidP="00FB20E0">
      <w:pPr>
        <w:pStyle w:val="H4G"/>
        <w:rPr>
          <w:b/>
          <w:bCs/>
          <w:iCs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 w:rsidR="006E45A3" w:rsidRPr="00FB20E0">
        <w:rPr>
          <w:b/>
          <w:lang w:val="fr-FR"/>
        </w:rPr>
        <w:t>Proposition 5</w:t>
      </w:r>
    </w:p>
    <w:p w14:paraId="70172F8B" w14:textId="77777777" w:rsidR="006E45A3" w:rsidRDefault="006E45A3" w:rsidP="00FB20E0">
      <w:pPr>
        <w:pStyle w:val="SingleTxtG"/>
        <w:ind w:left="1701"/>
        <w:rPr>
          <w:lang w:val="fr-FR"/>
        </w:rPr>
      </w:pPr>
      <w:r>
        <w:rPr>
          <w:lang w:val="fr-FR"/>
        </w:rPr>
        <w:t>Modifier la première ligne du tableau concernant les «</w:t>
      </w:r>
      <w:r w:rsidR="00FB20E0">
        <w:rPr>
          <w:lang w:val="fr-FR"/>
        </w:rPr>
        <w:t> </w:t>
      </w:r>
      <w:r>
        <w:rPr>
          <w:lang w:val="fr-FR"/>
        </w:rPr>
        <w:t>échangeurs</w:t>
      </w:r>
      <w:r w:rsidR="00FB20E0">
        <w:rPr>
          <w:lang w:val="fr-FR"/>
        </w:rPr>
        <w:t> </w:t>
      </w:r>
      <w:r>
        <w:rPr>
          <w:lang w:val="fr-FR"/>
        </w:rPr>
        <w:t>» comme suit :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911"/>
        <w:gridCol w:w="2340"/>
        <w:gridCol w:w="2119"/>
      </w:tblGrid>
      <w:tr w:rsidR="00FB20E0" w14:paraId="6ECDC996" w14:textId="77777777" w:rsidTr="00E2582E">
        <w:trPr>
          <w:trHeight w:val="315"/>
        </w:trPr>
        <w:tc>
          <w:tcPr>
            <w:tcW w:w="2911" w:type="dxa"/>
          </w:tcPr>
          <w:p w14:paraId="4487D21E" w14:textId="77777777" w:rsidR="00FB20E0" w:rsidRPr="00E0350B" w:rsidRDefault="00FB20E0" w:rsidP="00E2582E">
            <w:pPr>
              <w:ind w:left="1134" w:right="284"/>
              <w:rPr>
                <w:i/>
              </w:rPr>
            </w:pPr>
          </w:p>
        </w:tc>
        <w:tc>
          <w:tcPr>
            <w:tcW w:w="2340" w:type="dxa"/>
          </w:tcPr>
          <w:p w14:paraId="2994B506" w14:textId="77777777" w:rsidR="00FB20E0" w:rsidRPr="00F2014A" w:rsidRDefault="00FB20E0" w:rsidP="00E2582E">
            <w:pPr>
              <w:ind w:right="284"/>
              <w:jc w:val="center"/>
              <w:rPr>
                <w:i/>
              </w:rPr>
            </w:pPr>
            <w:r>
              <w:rPr>
                <w:i/>
                <w:iCs/>
                <w:lang w:val="fr-FR"/>
              </w:rPr>
              <w:t>Condenseur</w:t>
            </w:r>
          </w:p>
        </w:tc>
        <w:tc>
          <w:tcPr>
            <w:tcW w:w="2119" w:type="dxa"/>
          </w:tcPr>
          <w:p w14:paraId="48F15EC7" w14:textId="77777777" w:rsidR="00FB20E0" w:rsidRPr="00F2014A" w:rsidRDefault="00FB20E0" w:rsidP="00E2582E">
            <w:pPr>
              <w:ind w:right="284"/>
              <w:jc w:val="center"/>
              <w:rPr>
                <w:i/>
              </w:rPr>
            </w:pPr>
            <w:r>
              <w:rPr>
                <w:i/>
                <w:iCs/>
                <w:lang w:val="fr-FR"/>
              </w:rPr>
              <w:t>Évaporateur</w:t>
            </w:r>
          </w:p>
        </w:tc>
      </w:tr>
      <w:tr w:rsidR="00FB20E0" w14:paraId="7788A263" w14:textId="77777777" w:rsidTr="00E2582E">
        <w:trPr>
          <w:trHeight w:val="303"/>
        </w:trPr>
        <w:tc>
          <w:tcPr>
            <w:tcW w:w="2911" w:type="dxa"/>
          </w:tcPr>
          <w:p w14:paraId="67BB82C4" w14:textId="77777777" w:rsidR="00FB20E0" w:rsidRPr="004538C6" w:rsidRDefault="00FB20E0" w:rsidP="00E2582E">
            <w:pPr>
              <w:tabs>
                <w:tab w:val="left" w:pos="1335"/>
              </w:tabs>
              <w:ind w:right="284"/>
              <w:rPr>
                <w:i/>
              </w:rPr>
            </w:pPr>
            <w:r w:rsidRPr="004538C6">
              <w:rPr>
                <w:i/>
              </w:rPr>
              <w:t xml:space="preserve">    </w:t>
            </w:r>
            <w:r>
              <w:rPr>
                <w:i/>
                <w:iCs/>
                <w:lang w:val="fr-FR"/>
              </w:rPr>
              <w:t>Marque </w:t>
            </w:r>
            <w:r>
              <w:rPr>
                <w:i/>
                <w:iCs/>
                <w:vertAlign w:val="superscript"/>
                <w:lang w:val="fr-FR"/>
              </w:rPr>
              <w:t>2/</w:t>
            </w:r>
          </w:p>
        </w:tc>
        <w:tc>
          <w:tcPr>
            <w:tcW w:w="2340" w:type="dxa"/>
          </w:tcPr>
          <w:p w14:paraId="1F947C09" w14:textId="77777777" w:rsidR="00FB20E0" w:rsidRPr="00F2014A" w:rsidRDefault="00FB20E0" w:rsidP="00190200">
            <w:pPr>
              <w:ind w:left="1134" w:right="284"/>
              <w:rPr>
                <w:i/>
              </w:rPr>
            </w:pPr>
          </w:p>
        </w:tc>
        <w:tc>
          <w:tcPr>
            <w:tcW w:w="2119" w:type="dxa"/>
          </w:tcPr>
          <w:p w14:paraId="1E672F27" w14:textId="77777777" w:rsidR="00FB20E0" w:rsidRPr="00F2014A" w:rsidRDefault="00FB20E0" w:rsidP="00190200">
            <w:pPr>
              <w:ind w:left="1134" w:right="284"/>
              <w:rPr>
                <w:i/>
              </w:rPr>
            </w:pPr>
          </w:p>
        </w:tc>
      </w:tr>
      <w:tr w:rsidR="00FB20E0" w14:paraId="193C46DB" w14:textId="77777777" w:rsidTr="00E2582E">
        <w:trPr>
          <w:trHeight w:val="315"/>
        </w:trPr>
        <w:tc>
          <w:tcPr>
            <w:tcW w:w="2911" w:type="dxa"/>
          </w:tcPr>
          <w:p w14:paraId="4FCAAB25" w14:textId="77777777" w:rsidR="00FB20E0" w:rsidRPr="004538C6" w:rsidRDefault="00FB20E0" w:rsidP="00E2582E">
            <w:pPr>
              <w:ind w:right="88"/>
              <w:rPr>
                <w:i/>
                <w:lang w:val="en-US"/>
              </w:rPr>
            </w:pPr>
            <w:r w:rsidRPr="004538C6">
              <w:rPr>
                <w:i/>
              </w:rPr>
              <w:t xml:space="preserve">    </w:t>
            </w:r>
            <w:r>
              <w:rPr>
                <w:i/>
                <w:iCs/>
                <w:lang w:val="fr-FR"/>
              </w:rPr>
              <w:t xml:space="preserve">Type (le cas échéant) </w:t>
            </w:r>
            <w:r>
              <w:rPr>
                <w:i/>
                <w:iCs/>
                <w:vertAlign w:val="superscript"/>
                <w:lang w:val="fr-FR"/>
              </w:rPr>
              <w:t>2</w:t>
            </w:r>
            <w:r w:rsidRPr="004538C6">
              <w:rPr>
                <w:i/>
                <w:vertAlign w:val="superscript"/>
                <w:lang w:val="en-US"/>
              </w:rPr>
              <w:t>/</w:t>
            </w:r>
          </w:p>
        </w:tc>
        <w:tc>
          <w:tcPr>
            <w:tcW w:w="2340" w:type="dxa"/>
          </w:tcPr>
          <w:p w14:paraId="2D149BF6" w14:textId="77777777" w:rsidR="00FB20E0" w:rsidRPr="00F2014A" w:rsidRDefault="00FB20E0" w:rsidP="00190200">
            <w:pPr>
              <w:ind w:left="1134" w:right="284"/>
              <w:rPr>
                <w:i/>
              </w:rPr>
            </w:pPr>
          </w:p>
        </w:tc>
        <w:tc>
          <w:tcPr>
            <w:tcW w:w="2119" w:type="dxa"/>
          </w:tcPr>
          <w:p w14:paraId="0AAFE6F7" w14:textId="77777777" w:rsidR="00FB20E0" w:rsidRPr="00F2014A" w:rsidRDefault="00FB20E0" w:rsidP="00190200">
            <w:pPr>
              <w:ind w:left="1134" w:right="284"/>
              <w:rPr>
                <w:i/>
              </w:rPr>
            </w:pPr>
          </w:p>
        </w:tc>
      </w:tr>
    </w:tbl>
    <w:p w14:paraId="38771115" w14:textId="77777777" w:rsidR="006E45A3" w:rsidRPr="00482896" w:rsidRDefault="00FB20E0" w:rsidP="00FB20E0">
      <w:pPr>
        <w:pStyle w:val="H4G"/>
        <w:rPr>
          <w:b/>
          <w:bCs/>
          <w:iCs/>
        </w:rPr>
      </w:pPr>
      <w:r>
        <w:rPr>
          <w:b/>
          <w:lang w:val="fr-FR"/>
        </w:rPr>
        <w:lastRenderedPageBreak/>
        <w:tab/>
      </w:r>
      <w:r>
        <w:rPr>
          <w:b/>
          <w:lang w:val="fr-FR"/>
        </w:rPr>
        <w:tab/>
      </w:r>
      <w:r w:rsidR="006E45A3" w:rsidRPr="00FB20E0">
        <w:rPr>
          <w:b/>
          <w:lang w:val="fr-FR"/>
        </w:rPr>
        <w:t>Proposition 6</w:t>
      </w:r>
    </w:p>
    <w:p w14:paraId="4AD71E15" w14:textId="77777777" w:rsidR="006E45A3" w:rsidRDefault="006E45A3" w:rsidP="00F536E7">
      <w:pPr>
        <w:pStyle w:val="SingleTxtG"/>
        <w:keepNext/>
        <w:ind w:left="1701"/>
      </w:pPr>
      <w:r>
        <w:rPr>
          <w:lang w:val="fr-FR"/>
        </w:rPr>
        <w:t>À la fin du modèle de procès-verbal n</w:t>
      </w:r>
      <w:r>
        <w:rPr>
          <w:vertAlign w:val="superscript"/>
          <w:lang w:val="fr-FR"/>
        </w:rPr>
        <w:t>o</w:t>
      </w:r>
      <w:r>
        <w:rPr>
          <w:lang w:val="fr-FR"/>
        </w:rPr>
        <w:t> 12, modifier la note de bas de page «</w:t>
      </w:r>
      <w:r w:rsidR="00FB20E0">
        <w:rPr>
          <w:lang w:val="fr-FR"/>
        </w:rPr>
        <w:t> </w:t>
      </w:r>
      <w:r>
        <w:rPr>
          <w:lang w:val="fr-FR"/>
        </w:rPr>
        <w:t>2</w:t>
      </w:r>
      <w:r w:rsidR="00FB20E0">
        <w:rPr>
          <w:lang w:val="fr-FR"/>
        </w:rPr>
        <w:t> </w:t>
      </w:r>
      <w:r>
        <w:rPr>
          <w:lang w:val="fr-FR"/>
        </w:rPr>
        <w:t>» comme suit :</w:t>
      </w:r>
    </w:p>
    <w:p w14:paraId="39A9E219" w14:textId="77777777" w:rsidR="006E45A3" w:rsidRDefault="006E45A3" w:rsidP="00F536E7">
      <w:pPr>
        <w:pStyle w:val="SingleTxtG"/>
        <w:keepNext/>
        <w:ind w:left="1701"/>
        <w:rPr>
          <w:lang w:val="fr-FR"/>
        </w:rPr>
      </w:pPr>
      <w:r>
        <w:rPr>
          <w:lang w:val="fr-FR"/>
        </w:rPr>
        <w:t>Remplacer «</w:t>
      </w:r>
      <w:r w:rsidR="00FB20E0">
        <w:rPr>
          <w:lang w:val="fr-FR"/>
        </w:rPr>
        <w:t> </w:t>
      </w:r>
      <w:r w:rsidRPr="001D4076">
        <w:rPr>
          <w:vertAlign w:val="superscript"/>
          <w:lang w:val="fr-FR"/>
        </w:rPr>
        <w:t>2</w:t>
      </w:r>
      <w:r>
        <w:rPr>
          <w:lang w:val="fr-FR"/>
        </w:rPr>
        <w:t xml:space="preserve"> Valeur indiquée par le constructeur</w:t>
      </w:r>
      <w:r w:rsidR="00FB20E0">
        <w:rPr>
          <w:lang w:val="fr-FR"/>
        </w:rPr>
        <w:t> </w:t>
      </w:r>
      <w:r>
        <w:rPr>
          <w:lang w:val="fr-FR"/>
        </w:rPr>
        <w:t>» par «</w:t>
      </w:r>
      <w:r w:rsidR="00FB20E0">
        <w:rPr>
          <w:lang w:val="fr-FR"/>
        </w:rPr>
        <w:t> </w:t>
      </w:r>
      <w:r w:rsidRPr="001D4076">
        <w:rPr>
          <w:vertAlign w:val="superscript"/>
          <w:lang w:val="fr-FR"/>
        </w:rPr>
        <w:t>2</w:t>
      </w:r>
      <w:r>
        <w:rPr>
          <w:lang w:val="fr-FR"/>
        </w:rPr>
        <w:t xml:space="preserve"> Informations communiquées par le constructeur</w:t>
      </w:r>
      <w:r w:rsidR="00FB20E0">
        <w:rPr>
          <w:lang w:val="fr-FR"/>
        </w:rPr>
        <w:t> </w:t>
      </w:r>
      <w:r>
        <w:rPr>
          <w:lang w:val="fr-FR"/>
        </w:rPr>
        <w:t>».</w:t>
      </w:r>
    </w:p>
    <w:p w14:paraId="4553A416" w14:textId="77777777" w:rsidR="006E45A3" w:rsidRPr="00D24D69" w:rsidRDefault="00FB20E0" w:rsidP="00FB20E0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E45A3">
        <w:rPr>
          <w:lang w:val="fr-FR"/>
        </w:rPr>
        <w:t>Justification</w:t>
      </w:r>
    </w:p>
    <w:p w14:paraId="34CAB304" w14:textId="77777777" w:rsidR="00F9573C" w:rsidRDefault="006E45A3" w:rsidP="00FB20E0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Certaines informations ne sont tout simplement pas disponibles ou ne peuvent pas être vérifiées lorsqu</w:t>
      </w:r>
      <w:r w:rsidR="00F536E7">
        <w:rPr>
          <w:lang w:val="fr-FR"/>
        </w:rPr>
        <w:t>’</w:t>
      </w:r>
      <w:r>
        <w:rPr>
          <w:lang w:val="fr-FR"/>
        </w:rPr>
        <w:t>elles sont présentées au titre de l</w:t>
      </w:r>
      <w:r w:rsidR="00F536E7">
        <w:rPr>
          <w:lang w:val="fr-FR"/>
        </w:rPr>
        <w:t>’</w:t>
      </w:r>
      <w:r>
        <w:rPr>
          <w:lang w:val="fr-FR"/>
        </w:rPr>
        <w:t>essai en raison de la conception de l</w:t>
      </w:r>
      <w:r w:rsidR="00F536E7">
        <w:rPr>
          <w:lang w:val="fr-FR"/>
        </w:rPr>
        <w:t>’</w:t>
      </w:r>
      <w:r>
        <w:rPr>
          <w:lang w:val="fr-FR"/>
        </w:rPr>
        <w:t>engin. Dans bien des cas le condenseur est fabriqué par le constructeur de l</w:t>
      </w:r>
      <w:r w:rsidR="00F536E7">
        <w:rPr>
          <w:lang w:val="fr-FR"/>
        </w:rPr>
        <w:t>’</w:t>
      </w:r>
      <w:r>
        <w:rPr>
          <w:lang w:val="fr-FR"/>
        </w:rPr>
        <w:t>engin lui</w:t>
      </w:r>
      <w:r w:rsidR="00FB20E0">
        <w:rPr>
          <w:lang w:val="fr-FR"/>
        </w:rPr>
        <w:noBreakHyphen/>
      </w:r>
      <w:r>
        <w:rPr>
          <w:lang w:val="fr-FR"/>
        </w:rPr>
        <w:t>même et il est donc propre à ce type d</w:t>
      </w:r>
      <w:r w:rsidR="00F536E7">
        <w:rPr>
          <w:lang w:val="fr-FR"/>
        </w:rPr>
        <w:t>’</w:t>
      </w:r>
      <w:r>
        <w:rPr>
          <w:lang w:val="fr-FR"/>
        </w:rPr>
        <w:t>engin, sans avoir de nom de type particulier.</w:t>
      </w:r>
    </w:p>
    <w:p w14:paraId="5F425DD1" w14:textId="77777777" w:rsidR="00FB20E0" w:rsidRPr="00FB20E0" w:rsidRDefault="00FB20E0" w:rsidP="00FB20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20E0" w:rsidRPr="00FB20E0" w:rsidSect="006E45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6623" w14:textId="77777777" w:rsidR="00B34B26" w:rsidRDefault="00B34B26" w:rsidP="00F95C08">
      <w:pPr>
        <w:spacing w:line="240" w:lineRule="auto"/>
      </w:pPr>
    </w:p>
  </w:endnote>
  <w:endnote w:type="continuationSeparator" w:id="0">
    <w:p w14:paraId="3682C2EF" w14:textId="77777777" w:rsidR="00B34B26" w:rsidRPr="00AC3823" w:rsidRDefault="00B34B26" w:rsidP="00AC3823">
      <w:pPr>
        <w:pStyle w:val="Footer"/>
      </w:pPr>
    </w:p>
  </w:endnote>
  <w:endnote w:type="continuationNotice" w:id="1">
    <w:p w14:paraId="48D1E0FB" w14:textId="77777777" w:rsidR="00B34B26" w:rsidRDefault="00B34B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8A46" w14:textId="77777777" w:rsidR="006E45A3" w:rsidRPr="006E45A3" w:rsidRDefault="006E45A3" w:rsidP="006E45A3">
    <w:pPr>
      <w:pStyle w:val="Footer"/>
      <w:tabs>
        <w:tab w:val="right" w:pos="9638"/>
      </w:tabs>
    </w:pPr>
    <w:r w:rsidRPr="006E45A3">
      <w:rPr>
        <w:b/>
        <w:sz w:val="18"/>
      </w:rPr>
      <w:fldChar w:fldCharType="begin"/>
    </w:r>
    <w:r w:rsidRPr="006E45A3">
      <w:rPr>
        <w:b/>
        <w:sz w:val="18"/>
      </w:rPr>
      <w:instrText xml:space="preserve"> PAGE  \* MERGEFORMAT </w:instrText>
    </w:r>
    <w:r w:rsidRPr="006E45A3">
      <w:rPr>
        <w:b/>
        <w:sz w:val="18"/>
      </w:rPr>
      <w:fldChar w:fldCharType="separate"/>
    </w:r>
    <w:r w:rsidRPr="006E45A3">
      <w:rPr>
        <w:b/>
        <w:noProof/>
        <w:sz w:val="18"/>
      </w:rPr>
      <w:t>2</w:t>
    </w:r>
    <w:r w:rsidRPr="006E45A3">
      <w:rPr>
        <w:b/>
        <w:sz w:val="18"/>
      </w:rPr>
      <w:fldChar w:fldCharType="end"/>
    </w:r>
    <w:r>
      <w:rPr>
        <w:b/>
        <w:sz w:val="18"/>
      </w:rPr>
      <w:tab/>
    </w:r>
    <w:r>
      <w:t>GE.19-12581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95FC" w14:textId="77777777" w:rsidR="006E45A3" w:rsidRPr="006E45A3" w:rsidRDefault="006E45A3" w:rsidP="006E45A3">
    <w:pPr>
      <w:pStyle w:val="Footer"/>
      <w:tabs>
        <w:tab w:val="right" w:pos="9638"/>
      </w:tabs>
      <w:rPr>
        <w:b/>
        <w:sz w:val="18"/>
      </w:rPr>
    </w:pPr>
    <w:r>
      <w:t>GE.19-12581</w:t>
    </w:r>
    <w:r>
      <w:tab/>
    </w:r>
    <w:r w:rsidRPr="006E45A3">
      <w:rPr>
        <w:b/>
        <w:sz w:val="18"/>
      </w:rPr>
      <w:fldChar w:fldCharType="begin"/>
    </w:r>
    <w:r w:rsidRPr="006E45A3">
      <w:rPr>
        <w:b/>
        <w:sz w:val="18"/>
      </w:rPr>
      <w:instrText xml:space="preserve"> PAGE  \* MERGEFORMAT </w:instrText>
    </w:r>
    <w:r w:rsidRPr="006E45A3">
      <w:rPr>
        <w:b/>
        <w:sz w:val="18"/>
      </w:rPr>
      <w:fldChar w:fldCharType="separate"/>
    </w:r>
    <w:r w:rsidRPr="006E45A3">
      <w:rPr>
        <w:b/>
        <w:noProof/>
        <w:sz w:val="18"/>
      </w:rPr>
      <w:t>3</w:t>
    </w:r>
    <w:r w:rsidRPr="006E45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0DDC" w14:textId="77777777" w:rsidR="007F20FA" w:rsidRPr="006E45A3" w:rsidRDefault="006E45A3" w:rsidP="006E45A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903A7FC" wp14:editId="1C5078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12581  (</w:t>
    </w:r>
    <w:proofErr w:type="gramEnd"/>
    <w:r>
      <w:rPr>
        <w:sz w:val="20"/>
      </w:rPr>
      <w:t>F)</w:t>
    </w:r>
    <w:r w:rsidR="00F536E7">
      <w:rPr>
        <w:sz w:val="20"/>
      </w:rPr>
      <w:t xml:space="preserve">    160819    220819</w:t>
    </w:r>
    <w:r>
      <w:rPr>
        <w:sz w:val="20"/>
      </w:rPr>
      <w:br/>
    </w:r>
    <w:r w:rsidRPr="006E45A3">
      <w:rPr>
        <w:rFonts w:ascii="C39T30Lfz" w:hAnsi="C39T30Lfz"/>
        <w:sz w:val="56"/>
      </w:rPr>
      <w:t></w:t>
    </w:r>
    <w:r w:rsidRPr="006E45A3">
      <w:rPr>
        <w:rFonts w:ascii="C39T30Lfz" w:hAnsi="C39T30Lfz"/>
        <w:sz w:val="56"/>
      </w:rPr>
      <w:t></w:t>
    </w:r>
    <w:r w:rsidRPr="006E45A3">
      <w:rPr>
        <w:rFonts w:ascii="C39T30Lfz" w:hAnsi="C39T30Lfz"/>
        <w:sz w:val="56"/>
      </w:rPr>
      <w:t></w:t>
    </w:r>
    <w:r w:rsidRPr="006E45A3">
      <w:rPr>
        <w:rFonts w:ascii="C39T30Lfz" w:hAnsi="C39T30Lfz"/>
        <w:sz w:val="56"/>
      </w:rPr>
      <w:t></w:t>
    </w:r>
    <w:r w:rsidRPr="006E45A3">
      <w:rPr>
        <w:rFonts w:ascii="C39T30Lfz" w:hAnsi="C39T30Lfz"/>
        <w:sz w:val="56"/>
      </w:rPr>
      <w:t></w:t>
    </w:r>
    <w:r w:rsidRPr="006E45A3">
      <w:rPr>
        <w:rFonts w:ascii="C39T30Lfz" w:hAnsi="C39T30Lfz"/>
        <w:sz w:val="56"/>
      </w:rPr>
      <w:t></w:t>
    </w:r>
    <w:r w:rsidRPr="006E45A3">
      <w:rPr>
        <w:rFonts w:ascii="C39T30Lfz" w:hAnsi="C39T30Lfz"/>
        <w:sz w:val="56"/>
      </w:rPr>
      <w:t></w:t>
    </w:r>
    <w:r w:rsidRPr="006E45A3">
      <w:rPr>
        <w:rFonts w:ascii="C39T30Lfz" w:hAnsi="C39T30Lfz"/>
        <w:sz w:val="56"/>
      </w:rPr>
      <w:t></w:t>
    </w:r>
    <w:r w:rsidRPr="006E45A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6229D25" wp14:editId="08F3897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A2B6" w14:textId="77777777" w:rsidR="00B34B26" w:rsidRPr="00AC3823" w:rsidRDefault="00B34B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D7AEE1" w14:textId="77777777" w:rsidR="00B34B26" w:rsidRPr="00AC3823" w:rsidRDefault="00B34B2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D36DA6A" w14:textId="77777777" w:rsidR="00B34B26" w:rsidRPr="00AC3823" w:rsidRDefault="00B34B2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07D" w14:textId="4F4B721B" w:rsidR="006E45A3" w:rsidRPr="006E45A3" w:rsidRDefault="00340F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B82" w14:textId="74FE1854" w:rsidR="006E45A3" w:rsidRPr="006E45A3" w:rsidRDefault="00340FF8" w:rsidP="006E45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26"/>
    <w:rsid w:val="00017F94"/>
    <w:rsid w:val="00023842"/>
    <w:rsid w:val="000334F9"/>
    <w:rsid w:val="00045FEB"/>
    <w:rsid w:val="0007796D"/>
    <w:rsid w:val="000B7790"/>
    <w:rsid w:val="000E3525"/>
    <w:rsid w:val="00111F2F"/>
    <w:rsid w:val="00124C49"/>
    <w:rsid w:val="0014365E"/>
    <w:rsid w:val="00143C66"/>
    <w:rsid w:val="00176178"/>
    <w:rsid w:val="00190200"/>
    <w:rsid w:val="001F525A"/>
    <w:rsid w:val="00223272"/>
    <w:rsid w:val="002252A3"/>
    <w:rsid w:val="0024779E"/>
    <w:rsid w:val="00257168"/>
    <w:rsid w:val="002744B8"/>
    <w:rsid w:val="002832AC"/>
    <w:rsid w:val="002D7C93"/>
    <w:rsid w:val="00305801"/>
    <w:rsid w:val="00340FF8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E45A3"/>
    <w:rsid w:val="0071601D"/>
    <w:rsid w:val="007A62E6"/>
    <w:rsid w:val="007F20FA"/>
    <w:rsid w:val="0080684C"/>
    <w:rsid w:val="00871C75"/>
    <w:rsid w:val="008776DC"/>
    <w:rsid w:val="00893F22"/>
    <w:rsid w:val="008F16BE"/>
    <w:rsid w:val="009446C0"/>
    <w:rsid w:val="009705C8"/>
    <w:rsid w:val="009C1CF4"/>
    <w:rsid w:val="009F6B74"/>
    <w:rsid w:val="00A3029F"/>
    <w:rsid w:val="00A30353"/>
    <w:rsid w:val="00A47380"/>
    <w:rsid w:val="00AC3823"/>
    <w:rsid w:val="00AE323C"/>
    <w:rsid w:val="00AF0CB5"/>
    <w:rsid w:val="00B00181"/>
    <w:rsid w:val="00B00B0D"/>
    <w:rsid w:val="00B34B26"/>
    <w:rsid w:val="00B45F2E"/>
    <w:rsid w:val="00B765F7"/>
    <w:rsid w:val="00BA0CA9"/>
    <w:rsid w:val="00C02897"/>
    <w:rsid w:val="00C97039"/>
    <w:rsid w:val="00D02EDD"/>
    <w:rsid w:val="00D3439C"/>
    <w:rsid w:val="00DB1831"/>
    <w:rsid w:val="00DD3BFD"/>
    <w:rsid w:val="00DF6678"/>
    <w:rsid w:val="00E0299A"/>
    <w:rsid w:val="00E85C74"/>
    <w:rsid w:val="00EA6547"/>
    <w:rsid w:val="00EC453E"/>
    <w:rsid w:val="00EF2E22"/>
    <w:rsid w:val="00F024B4"/>
    <w:rsid w:val="00F35BAF"/>
    <w:rsid w:val="00F536E7"/>
    <w:rsid w:val="00F660DF"/>
    <w:rsid w:val="00F94664"/>
    <w:rsid w:val="00F9573C"/>
    <w:rsid w:val="00F95C08"/>
    <w:rsid w:val="00FB20E0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171B8"/>
  <w15:docId w15:val="{44186AFA-0072-410A-B06B-4093DF0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ECE/TRANS/WP.11/2019/16</vt:lpstr>
      <vt:lpstr>ECE/TRANS/WP.11/2019/16</vt:lpstr>
    </vt:vector>
  </TitlesOfParts>
  <Company>DCM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ECE/TRANS/WP.11/2019/16</dc:title>
  <dc:subject/>
  <dc:creator>Julien OKRZESIK</dc:creator>
  <cp:keywords/>
  <cp:lastModifiedBy>Marie-Claude Collet</cp:lastModifiedBy>
  <cp:revision>3</cp:revision>
  <cp:lastPrinted>2019-09-04T12:09:00Z</cp:lastPrinted>
  <dcterms:created xsi:type="dcterms:W3CDTF">2019-09-04T12:09:00Z</dcterms:created>
  <dcterms:modified xsi:type="dcterms:W3CDTF">2019-09-04T12:09:00Z</dcterms:modified>
</cp:coreProperties>
</file>