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30CC" w:rsidRPr="00DC1BF6" w:rsidTr="00DC1BF6">
        <w:tc>
          <w:tcPr>
            <w:tcW w:w="4785" w:type="dxa"/>
          </w:tcPr>
          <w:p w:rsidR="002C2FCA" w:rsidRDefault="00B530CC" w:rsidP="00DC1B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43D">
              <w:rPr>
                <w:rFonts w:ascii="Times New Roman" w:hAnsi="Times New Roman"/>
                <w:bCs/>
                <w:sz w:val="24"/>
                <w:szCs w:val="24"/>
              </w:rPr>
              <w:t xml:space="preserve">Transmitted by the </w:t>
            </w:r>
            <w:r w:rsidR="00DC1BF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C2FCA">
              <w:rPr>
                <w:rFonts w:ascii="Times New Roman" w:hAnsi="Times New Roman"/>
                <w:bCs/>
                <w:sz w:val="24"/>
                <w:szCs w:val="24"/>
              </w:rPr>
              <w:t xml:space="preserve">Co-Chairs of </w:t>
            </w:r>
            <w:r w:rsidR="00616190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Informal Working </w:t>
            </w:r>
          </w:p>
          <w:p w:rsidR="00B530CC" w:rsidRPr="00DE343D" w:rsidRDefault="00B530CC" w:rsidP="006161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Group on P</w:t>
            </w:r>
            <w:r w:rsidR="00616190">
              <w:rPr>
                <w:rFonts w:ascii="Times New Roman" w:hAnsi="Times New Roman"/>
                <w:bCs/>
                <w:sz w:val="24"/>
                <w:szCs w:val="24"/>
              </w:rPr>
              <w:t>eriodical Technical Inspections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4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13CCD" w:rsidRDefault="00DC1BF6" w:rsidP="00A13C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3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Informal document</w:t>
            </w:r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3314">
              <w:rPr>
                <w:rFonts w:ascii="Times New Roman" w:hAnsi="Times New Roman"/>
                <w:b/>
                <w:bCs/>
                <w:sz w:val="24"/>
                <w:szCs w:val="24"/>
              </w:rPr>
              <w:t>WP.29-17</w:t>
            </w:r>
            <w:r w:rsidR="00136E28" w:rsidRPr="00136E2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5033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A13CC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  <w:p w:rsidR="00DC1BF6" w:rsidRPr="00503314" w:rsidRDefault="00DC1BF6" w:rsidP="00A13C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136E28" w:rsidRPr="00136E2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850FC" w:rsidRPr="0050331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 xml:space="preserve"> WP.29, </w:t>
            </w:r>
            <w:r w:rsidR="0061619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36E28" w:rsidRPr="002E3C5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36E28" w:rsidRPr="002E3C5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DB1477" w:rsidRPr="005033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5E82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  <w:r w:rsidR="00136E28">
              <w:rPr>
                <w:rFonts w:ascii="Times New Roman" w:hAnsi="Times New Roman"/>
                <w:bCs/>
                <w:sz w:val="24"/>
                <w:szCs w:val="24"/>
              </w:rPr>
              <w:t>une</w:t>
            </w:r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61619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DC1BF6" w:rsidRPr="00DC1BF6" w:rsidRDefault="00DC1BF6" w:rsidP="00A13C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  <w:r w:rsidRPr="00DC1BF6">
              <w:rPr>
                <w:rFonts w:ascii="Times New Roman" w:hAnsi="Times New Roman"/>
                <w:bCs/>
                <w:sz w:val="24"/>
                <w:szCs w:val="24"/>
                <w:lang w:val="fr-CH"/>
              </w:rPr>
              <w:t xml:space="preserve">Agenda item </w:t>
            </w:r>
            <w:r>
              <w:rPr>
                <w:rFonts w:ascii="Times New Roman" w:hAnsi="Times New Roman"/>
                <w:bCs/>
                <w:sz w:val="24"/>
                <w:szCs w:val="24"/>
                <w:lang w:val="fr-CH"/>
              </w:rPr>
              <w:t>7</w:t>
            </w:r>
          </w:p>
        </w:tc>
      </w:tr>
    </w:tbl>
    <w:p w:rsidR="00014134" w:rsidRPr="00DC1BF6" w:rsidRDefault="00014134" w:rsidP="00016529">
      <w:pPr>
        <w:pStyle w:val="HChG"/>
        <w:rPr>
          <w:lang w:val="fr-CH"/>
        </w:rPr>
      </w:pPr>
    </w:p>
    <w:p w:rsidR="009B76AA" w:rsidRDefault="009B76AA" w:rsidP="00B530CC">
      <w:pPr>
        <w:pStyle w:val="HChG"/>
        <w:jc w:val="center"/>
      </w:pPr>
      <w:r w:rsidRPr="008A118A">
        <w:t xml:space="preserve">Report to WP.29 </w:t>
      </w:r>
      <w:r w:rsidR="003D7634" w:rsidRPr="008A118A">
        <w:t xml:space="preserve">about results of </w:t>
      </w:r>
      <w:r w:rsidR="003B25EC">
        <w:t xml:space="preserve">the </w:t>
      </w:r>
      <w:r w:rsidR="00C850FC">
        <w:t>1</w:t>
      </w:r>
      <w:r w:rsidR="00136E28">
        <w:t>4</w:t>
      </w:r>
      <w:r w:rsidRPr="008A118A">
        <w:rPr>
          <w:vertAlign w:val="superscript"/>
        </w:rPr>
        <w:t>th</w:t>
      </w:r>
      <w:r w:rsidRPr="008A118A">
        <w:t xml:space="preserve"> </w:t>
      </w:r>
      <w:r w:rsidR="003D7634" w:rsidRPr="008A118A">
        <w:t xml:space="preserve">meeting of </w:t>
      </w:r>
      <w:r w:rsidR="00C92FE2">
        <w:t xml:space="preserve">the </w:t>
      </w:r>
      <w:r w:rsidR="003D7634" w:rsidRPr="008A118A">
        <w:t xml:space="preserve">Informal </w:t>
      </w:r>
      <w:r w:rsidR="00C92FE2">
        <w:t xml:space="preserve">Working </w:t>
      </w:r>
      <w:r w:rsidR="003D7634" w:rsidRPr="008A118A">
        <w:t>Group on Periodical Technical Inspections</w:t>
      </w:r>
    </w:p>
    <w:p w:rsidR="003F2D0A" w:rsidRDefault="003F2D0A" w:rsidP="00E84FAF">
      <w:pPr>
        <w:pStyle w:val="SingleTxtG"/>
        <w:spacing w:after="0" w:line="240" w:lineRule="auto"/>
        <w:ind w:left="0" w:firstLine="675"/>
        <w:rPr>
          <w:rFonts w:cs="Arial"/>
          <w:color w:val="585858"/>
          <w:lang w:val="en"/>
        </w:rPr>
      </w:pPr>
      <w:r w:rsidRPr="00CD2FAD">
        <w:rPr>
          <w:sz w:val="24"/>
          <w:szCs w:val="24"/>
        </w:rPr>
        <w:t>The 1</w:t>
      </w:r>
      <w:r w:rsidR="00136E28">
        <w:rPr>
          <w:sz w:val="24"/>
          <w:szCs w:val="24"/>
          <w:lang w:val="en-US"/>
        </w:rPr>
        <w:t>4</w:t>
      </w:r>
      <w:proofErr w:type="spellStart"/>
      <w:r w:rsidRPr="00CD2FAD">
        <w:rPr>
          <w:sz w:val="24"/>
          <w:szCs w:val="24"/>
          <w:vertAlign w:val="superscript"/>
        </w:rPr>
        <w:t>th</w:t>
      </w:r>
      <w:proofErr w:type="spellEnd"/>
      <w:r w:rsidRPr="00CD2FAD">
        <w:rPr>
          <w:sz w:val="24"/>
          <w:szCs w:val="24"/>
        </w:rPr>
        <w:t xml:space="preserve"> IWG on PTI meeting was arranged with support of I</w:t>
      </w:r>
      <w:r w:rsidRPr="00CD2FAD">
        <w:rPr>
          <w:rStyle w:val="Strong"/>
          <w:rFonts w:cs="Helvetica"/>
          <w:b w:val="0"/>
          <w:sz w:val="24"/>
          <w:szCs w:val="24"/>
          <w:lang w:val="en-GB"/>
        </w:rPr>
        <w:t xml:space="preserve">nternational </w:t>
      </w:r>
      <w:r>
        <w:rPr>
          <w:rStyle w:val="Strong"/>
          <w:rFonts w:cs="Helvetica"/>
          <w:b w:val="0"/>
          <w:sz w:val="24"/>
          <w:szCs w:val="24"/>
          <w:lang w:val="en-GB"/>
        </w:rPr>
        <w:t>Motor V</w:t>
      </w:r>
      <w:r w:rsidRPr="00CD2FAD">
        <w:rPr>
          <w:rStyle w:val="Strong"/>
          <w:rFonts w:cs="Helvetica"/>
          <w:b w:val="0"/>
          <w:sz w:val="24"/>
          <w:szCs w:val="24"/>
          <w:lang w:val="en-GB"/>
        </w:rPr>
        <w:t xml:space="preserve">ehicle </w:t>
      </w:r>
      <w:r>
        <w:rPr>
          <w:rStyle w:val="Strong"/>
          <w:rFonts w:cs="Helvetica"/>
          <w:b w:val="0"/>
          <w:sz w:val="24"/>
          <w:szCs w:val="24"/>
          <w:lang w:val="en-GB"/>
        </w:rPr>
        <w:t xml:space="preserve">Inspection Committee </w:t>
      </w:r>
      <w:r w:rsidRPr="00CD2FAD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en-US"/>
        </w:rPr>
        <w:t>CITA</w:t>
      </w:r>
      <w:r w:rsidRPr="00CD2FAD">
        <w:rPr>
          <w:color w:val="000000"/>
          <w:sz w:val="24"/>
          <w:szCs w:val="24"/>
        </w:rPr>
        <w:t xml:space="preserve">) </w:t>
      </w:r>
      <w:r w:rsidRPr="00CD2FAD">
        <w:rPr>
          <w:sz w:val="24"/>
          <w:szCs w:val="24"/>
          <w:lang w:val="en-GB"/>
        </w:rPr>
        <w:t xml:space="preserve">and held on </w:t>
      </w:r>
      <w:r w:rsidR="00136E28">
        <w:rPr>
          <w:sz w:val="24"/>
          <w:szCs w:val="24"/>
          <w:lang w:val="en-GB"/>
        </w:rPr>
        <w:t>28</w:t>
      </w:r>
      <w:r w:rsidRPr="00CD2FAD">
        <w:rPr>
          <w:sz w:val="24"/>
          <w:szCs w:val="24"/>
          <w:lang w:val="en-GB"/>
        </w:rPr>
        <w:t xml:space="preserve"> </w:t>
      </w:r>
      <w:r w:rsidR="00136E28">
        <w:rPr>
          <w:sz w:val="24"/>
          <w:szCs w:val="24"/>
          <w:lang w:val="en-US"/>
        </w:rPr>
        <w:t>May</w:t>
      </w:r>
      <w:r w:rsidRPr="00CD2FAD">
        <w:rPr>
          <w:sz w:val="24"/>
          <w:szCs w:val="24"/>
          <w:lang w:val="en-GB"/>
        </w:rPr>
        <w:t xml:space="preserve"> 201</w:t>
      </w:r>
      <w:r>
        <w:rPr>
          <w:sz w:val="24"/>
          <w:szCs w:val="24"/>
          <w:lang w:val="en-GB"/>
        </w:rPr>
        <w:t>9</w:t>
      </w:r>
      <w:r w:rsidRPr="00CD2FAD">
        <w:rPr>
          <w:sz w:val="24"/>
          <w:szCs w:val="24"/>
          <w:lang w:val="en-GB"/>
        </w:rPr>
        <w:t xml:space="preserve"> in </w:t>
      </w:r>
      <w:r>
        <w:rPr>
          <w:sz w:val="24"/>
          <w:szCs w:val="24"/>
          <w:lang w:val="en-US"/>
        </w:rPr>
        <w:t>Brussels</w:t>
      </w:r>
      <w:r w:rsidRPr="00CD2FAD">
        <w:rPr>
          <w:sz w:val="24"/>
          <w:szCs w:val="24"/>
          <w:lang w:val="en-GB"/>
        </w:rPr>
        <w:t xml:space="preserve"> (</w:t>
      </w:r>
      <w:r>
        <w:rPr>
          <w:sz w:val="24"/>
          <w:szCs w:val="24"/>
          <w:lang w:val="en-GB"/>
        </w:rPr>
        <w:t>Belgium</w:t>
      </w:r>
      <w:r w:rsidRPr="00CD2FAD">
        <w:rPr>
          <w:sz w:val="24"/>
          <w:szCs w:val="24"/>
          <w:lang w:val="en-GB"/>
        </w:rPr>
        <w:t>).</w:t>
      </w:r>
      <w:r w:rsidRPr="008630E1">
        <w:rPr>
          <w:rFonts w:cs="Arial"/>
          <w:color w:val="585858"/>
          <w:lang w:val="en"/>
        </w:rPr>
        <w:t xml:space="preserve"> </w:t>
      </w:r>
    </w:p>
    <w:p w:rsidR="00A13CCD" w:rsidRPr="003A405E" w:rsidRDefault="00A13CCD" w:rsidP="00E84FAF">
      <w:pPr>
        <w:pStyle w:val="SingleTxtG"/>
        <w:spacing w:after="0" w:line="240" w:lineRule="auto"/>
        <w:ind w:left="0" w:firstLine="675"/>
        <w:rPr>
          <w:rFonts w:cs="Arial"/>
          <w:color w:val="585858"/>
          <w:lang w:val="en"/>
        </w:rPr>
      </w:pPr>
    </w:p>
    <w:p w:rsidR="00A13CCD" w:rsidRDefault="003F2D0A" w:rsidP="00A13CCD">
      <w:pPr>
        <w:pStyle w:val="HChG"/>
        <w:keepNext w:val="0"/>
        <w:keepLines w:val="0"/>
        <w:numPr>
          <w:ilvl w:val="0"/>
          <w:numId w:val="23"/>
        </w:numPr>
        <w:tabs>
          <w:tab w:val="clear" w:pos="851"/>
          <w:tab w:val="right" w:pos="709"/>
        </w:tabs>
        <w:suppressAutoHyphens w:val="0"/>
        <w:spacing w:before="0"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Priorities of the </w:t>
      </w:r>
      <w:r w:rsidRPr="00CD2FAD">
        <w:rPr>
          <w:sz w:val="24"/>
          <w:szCs w:val="24"/>
        </w:rPr>
        <w:t>IWG on PTI</w:t>
      </w:r>
      <w:r>
        <w:rPr>
          <w:sz w:val="22"/>
          <w:szCs w:val="22"/>
        </w:rPr>
        <w:t xml:space="preserve"> and timeline</w:t>
      </w:r>
    </w:p>
    <w:p w:rsidR="00A13CCD" w:rsidRPr="00A13CCD" w:rsidRDefault="00A13CCD" w:rsidP="00A13CCD">
      <w:pPr>
        <w:spacing w:after="0" w:line="240" w:lineRule="auto"/>
        <w:rPr>
          <w:lang w:val="en-GB"/>
        </w:rPr>
      </w:pPr>
    </w:p>
    <w:p w:rsidR="00EC18AA" w:rsidRDefault="009F2CA3" w:rsidP="00E84FAF">
      <w:pPr>
        <w:pStyle w:val="Default"/>
        <w:ind w:right="1134" w:firstLine="720"/>
        <w:jc w:val="both"/>
        <w:rPr>
          <w:lang w:val="en-US"/>
        </w:rPr>
      </w:pPr>
      <w:r w:rsidRPr="009F2CA3">
        <w:rPr>
          <w:lang w:val="en-US"/>
        </w:rPr>
        <w:t>The</w:t>
      </w:r>
      <w:r w:rsidR="00EC18AA">
        <w:rPr>
          <w:lang w:val="en-US"/>
        </w:rPr>
        <w:t xml:space="preserve"> group start concentrating its efforts on the</w:t>
      </w:r>
      <w:r w:rsidRPr="00F32C4E">
        <w:rPr>
          <w:lang w:val="en-GB"/>
        </w:rPr>
        <w:t xml:space="preserve"> general framework of in-service compliance assessment the vehicles and their components</w:t>
      </w:r>
      <w:r w:rsidR="00EC18AA">
        <w:rPr>
          <w:lang w:val="en-GB"/>
        </w:rPr>
        <w:t>.</w:t>
      </w:r>
      <w:r w:rsidRPr="00E3068F">
        <w:rPr>
          <w:lang w:val="en-US"/>
        </w:rPr>
        <w:t xml:space="preserve"> </w:t>
      </w:r>
      <w:r w:rsidR="00EC18AA">
        <w:rPr>
          <w:lang w:val="en-US"/>
        </w:rPr>
        <w:t>It implies the definition of t</w:t>
      </w:r>
      <w:r w:rsidR="00EC18AA" w:rsidRPr="00E3068F">
        <w:rPr>
          <w:lang w:val="en-US"/>
        </w:rPr>
        <w:t>he object for in service compliance</w:t>
      </w:r>
      <w:r w:rsidR="00EC18AA">
        <w:rPr>
          <w:lang w:val="en-US"/>
        </w:rPr>
        <w:t>, durability requirements, methods and instruments to be used.</w:t>
      </w:r>
      <w:r w:rsidR="00EC18AA" w:rsidRPr="00E3068F">
        <w:rPr>
          <w:lang w:val="en-US"/>
        </w:rPr>
        <w:t xml:space="preserve"> </w:t>
      </w:r>
    </w:p>
    <w:p w:rsidR="00E3068F" w:rsidRPr="00E3068F" w:rsidRDefault="00E3068F" w:rsidP="00E84FAF">
      <w:pPr>
        <w:pStyle w:val="Default"/>
        <w:ind w:right="1134" w:firstLine="720"/>
        <w:jc w:val="both"/>
        <w:rPr>
          <w:color w:val="auto"/>
          <w:lang w:val="en-US"/>
        </w:rPr>
      </w:pPr>
      <w:r w:rsidRPr="00E3068F">
        <w:rPr>
          <w:lang w:val="en-US"/>
        </w:rPr>
        <w:t xml:space="preserve">The group </w:t>
      </w:r>
      <w:r>
        <w:rPr>
          <w:lang w:val="en-US"/>
        </w:rPr>
        <w:t>confirmed</w:t>
      </w:r>
      <w:r w:rsidRPr="00E3068F">
        <w:rPr>
          <w:lang w:val="en-US"/>
        </w:rPr>
        <w:t xml:space="preserve"> that </w:t>
      </w:r>
      <w:r w:rsidRPr="00E3068F">
        <w:rPr>
          <w:color w:val="auto"/>
          <w:lang w:val="en-US"/>
        </w:rPr>
        <w:t>activity on the assessment of the feasibility of a Particulate Number (PN) and NO</w:t>
      </w:r>
      <w:r w:rsidRPr="00E3068F">
        <w:rPr>
          <w:color w:val="auto"/>
          <w:vertAlign w:val="subscript"/>
          <w:lang w:val="en-US"/>
        </w:rPr>
        <w:t>x</w:t>
      </w:r>
      <w:r w:rsidRPr="00E3068F">
        <w:rPr>
          <w:color w:val="auto"/>
          <w:lang w:val="en-US"/>
        </w:rPr>
        <w:t xml:space="preserve"> measurement methods </w:t>
      </w:r>
      <w:r>
        <w:rPr>
          <w:color w:val="auto"/>
          <w:lang w:val="en-US"/>
        </w:rPr>
        <w:t>shall be continued</w:t>
      </w:r>
      <w:r w:rsidRPr="00E3068F">
        <w:rPr>
          <w:color w:val="auto"/>
          <w:lang w:val="en-US"/>
        </w:rPr>
        <w:t xml:space="preserve">. </w:t>
      </w:r>
    </w:p>
    <w:p w:rsidR="00E3068F" w:rsidRPr="00FC278C" w:rsidRDefault="000D63BE" w:rsidP="00E84FAF">
      <w:pPr>
        <w:pStyle w:val="Default"/>
        <w:ind w:right="1134" w:firstLine="708"/>
        <w:jc w:val="both"/>
        <w:rPr>
          <w:lang w:val="en-US"/>
        </w:rPr>
      </w:pPr>
      <w:r w:rsidRPr="00FC278C">
        <w:rPr>
          <w:lang w:val="en-US"/>
        </w:rPr>
        <w:t>T</w:t>
      </w:r>
      <w:r w:rsidR="00E3068F" w:rsidRPr="00FC278C">
        <w:rPr>
          <w:lang w:val="en-US"/>
        </w:rPr>
        <w:t xml:space="preserve">he approach proposed by the group for a safety assurance framework, based on a risk-analysis </w:t>
      </w:r>
      <w:r w:rsidR="00FC278C" w:rsidRPr="00FC278C">
        <w:rPr>
          <w:lang w:val="en-US"/>
        </w:rPr>
        <w:t>method</w:t>
      </w:r>
      <w:r w:rsidR="00FC278C">
        <w:rPr>
          <w:lang w:val="en-US"/>
        </w:rPr>
        <w:t>,</w:t>
      </w:r>
      <w:r w:rsidR="00E3068F" w:rsidRPr="00FC278C">
        <w:rPr>
          <w:lang w:val="en-US"/>
        </w:rPr>
        <w:t xml:space="preserve"> </w:t>
      </w:r>
      <w:r w:rsidR="00975E82" w:rsidRPr="00FC278C">
        <w:rPr>
          <w:lang w:val="en-US"/>
        </w:rPr>
        <w:t xml:space="preserve">has to be </w:t>
      </w:r>
      <w:r w:rsidRPr="00FC278C">
        <w:rPr>
          <w:lang w:val="en-US"/>
        </w:rPr>
        <w:t xml:space="preserve">further </w:t>
      </w:r>
      <w:r w:rsidR="00FC278C" w:rsidRPr="00FC278C">
        <w:rPr>
          <w:lang w:val="en-US"/>
        </w:rPr>
        <w:t xml:space="preserve">developed in accordance with WP.29 </w:t>
      </w:r>
      <w:r w:rsidR="00FC278C" w:rsidRPr="00FC278C">
        <w:rPr>
          <w:bCs/>
          <w:lang w:val="en-US"/>
        </w:rPr>
        <w:t>f</w:t>
      </w:r>
      <w:r w:rsidR="00FC278C">
        <w:rPr>
          <w:bCs/>
          <w:lang w:val="en-US"/>
        </w:rPr>
        <w:t xml:space="preserve">ramework document on </w:t>
      </w:r>
      <w:r w:rsidR="00FC278C" w:rsidRPr="00FC278C">
        <w:rPr>
          <w:bCs/>
          <w:lang w:val="en-US"/>
        </w:rPr>
        <w:t>automated/autonomous vehicles</w:t>
      </w:r>
      <w:r w:rsidR="00FC278C">
        <w:rPr>
          <w:bCs/>
          <w:lang w:val="en-US"/>
        </w:rPr>
        <w:t>.</w:t>
      </w:r>
      <w:r w:rsidR="00FC278C" w:rsidRPr="00FC278C">
        <w:rPr>
          <w:b/>
          <w:bCs/>
          <w:sz w:val="28"/>
          <w:szCs w:val="28"/>
          <w:lang w:val="en-US"/>
        </w:rPr>
        <w:t xml:space="preserve"> </w:t>
      </w:r>
    </w:p>
    <w:p w:rsidR="003F2D0A" w:rsidRDefault="003F2D0A" w:rsidP="00E84FAF">
      <w:pPr>
        <w:pStyle w:val="HChG"/>
        <w:keepNext w:val="0"/>
        <w:keepLines w:val="0"/>
        <w:numPr>
          <w:ilvl w:val="0"/>
          <w:numId w:val="9"/>
        </w:numPr>
        <w:tabs>
          <w:tab w:val="clear" w:pos="851"/>
          <w:tab w:val="right" w:pos="709"/>
        </w:tabs>
        <w:suppressAutoHyphens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Coordination of the IWG on PTI with other WP.29 activities</w:t>
      </w:r>
    </w:p>
    <w:p w:rsidR="0003367C" w:rsidRDefault="003A405E" w:rsidP="00A13CCD">
      <w:pPr>
        <w:pStyle w:val="BodyText"/>
        <w:tabs>
          <w:tab w:val="clear" w:pos="480"/>
          <w:tab w:val="left" w:pos="709"/>
        </w:tabs>
        <w:ind w:right="1134"/>
      </w:pPr>
      <w:r>
        <w:rPr>
          <w:szCs w:val="24"/>
        </w:rPr>
        <w:tab/>
      </w:r>
      <w:r w:rsidR="009D5462">
        <w:rPr>
          <w:rFonts w:eastAsiaTheme="minorHAnsi"/>
          <w:szCs w:val="24"/>
          <w:lang w:val="en-US"/>
        </w:rPr>
        <w:t xml:space="preserve">The group considers that the </w:t>
      </w:r>
      <w:r w:rsidR="009D5462" w:rsidRPr="00271B95">
        <w:rPr>
          <w:szCs w:val="24"/>
        </w:rPr>
        <w:t xml:space="preserve">requirements for the performance of </w:t>
      </w:r>
      <w:r w:rsidR="009D5462">
        <w:rPr>
          <w:szCs w:val="24"/>
        </w:rPr>
        <w:t xml:space="preserve">vehicles their </w:t>
      </w:r>
      <w:r w:rsidR="009D5462" w:rsidRPr="00271B95">
        <w:rPr>
          <w:szCs w:val="24"/>
        </w:rPr>
        <w:t>systems and</w:t>
      </w:r>
      <w:r w:rsidR="009D5462">
        <w:rPr>
          <w:szCs w:val="24"/>
        </w:rPr>
        <w:t xml:space="preserve"> components including automated/</w:t>
      </w:r>
      <w:r w:rsidR="009D5462" w:rsidRPr="00271B95">
        <w:rPr>
          <w:szCs w:val="24"/>
        </w:rPr>
        <w:t xml:space="preserve">autonomous driving systems for in service </w:t>
      </w:r>
      <w:r w:rsidR="009D5462">
        <w:rPr>
          <w:szCs w:val="24"/>
        </w:rPr>
        <w:t xml:space="preserve">compliance is one of </w:t>
      </w:r>
      <w:r w:rsidR="0003367C">
        <w:rPr>
          <w:szCs w:val="24"/>
        </w:rPr>
        <w:t>the WP.29</w:t>
      </w:r>
      <w:r w:rsidR="009D5462">
        <w:rPr>
          <w:szCs w:val="24"/>
        </w:rPr>
        <w:t xml:space="preserve"> priority task. </w:t>
      </w:r>
      <w:r w:rsidR="0003367C">
        <w:rPr>
          <w:szCs w:val="24"/>
        </w:rPr>
        <w:t>The</w:t>
      </w:r>
      <w:r w:rsidR="0003367C" w:rsidRPr="00F32C4E">
        <w:rPr>
          <w:szCs w:val="24"/>
        </w:rPr>
        <w:t xml:space="preserve"> general framework of in-service compliance assessment the vehicles and their components</w:t>
      </w:r>
      <w:r w:rsidR="0003367C">
        <w:rPr>
          <w:szCs w:val="24"/>
        </w:rPr>
        <w:t xml:space="preserve"> could be </w:t>
      </w:r>
      <w:r w:rsidR="0003367C" w:rsidRPr="005F3E9A">
        <w:t xml:space="preserve">a guidance for WP.29 and its subsidiary </w:t>
      </w:r>
      <w:r w:rsidR="0003367C">
        <w:t>GR</w:t>
      </w:r>
      <w:r w:rsidR="0003367C" w:rsidRPr="005F3E9A">
        <w:t xml:space="preserve">s to facilitate and guide discussions and activities on </w:t>
      </w:r>
      <w:r w:rsidR="0003367C" w:rsidRPr="00DD10C9">
        <w:t xml:space="preserve">in-service </w:t>
      </w:r>
      <w:r w:rsidR="0003367C" w:rsidRPr="005F3E9A">
        <w:t>performance</w:t>
      </w:r>
      <w:r w:rsidR="0003367C" w:rsidRPr="00DD10C9">
        <w:t xml:space="preserve"> </w:t>
      </w:r>
      <w:r w:rsidR="0003367C">
        <w:t>of</w:t>
      </w:r>
      <w:r w:rsidR="0003367C" w:rsidRPr="00DD10C9">
        <w:t xml:space="preserve"> the vehicles</w:t>
      </w:r>
      <w:r w:rsidR="0003367C" w:rsidRPr="005F3E9A">
        <w:t xml:space="preserve"> </w:t>
      </w:r>
      <w:r w:rsidR="0003367C">
        <w:t xml:space="preserve">including </w:t>
      </w:r>
      <w:r w:rsidR="0003367C" w:rsidRPr="005F3E9A">
        <w:t xml:space="preserve">automated/autonomous vehicle. </w:t>
      </w:r>
    </w:p>
    <w:p w:rsidR="0003367C" w:rsidRDefault="0003367C" w:rsidP="0003367C">
      <w:pPr>
        <w:pStyle w:val="BodyText"/>
      </w:pPr>
      <w:r w:rsidRPr="005F3E9A">
        <w:t xml:space="preserve"> </w:t>
      </w:r>
    </w:p>
    <w:p w:rsidR="003F2D0A" w:rsidRPr="0003367C" w:rsidRDefault="0003367C" w:rsidP="0003367C">
      <w:pPr>
        <w:pStyle w:val="BodyText"/>
        <w:rPr>
          <w:b/>
          <w:szCs w:val="24"/>
        </w:rPr>
      </w:pPr>
      <w:r w:rsidRPr="0003367C">
        <w:rPr>
          <w:b/>
          <w:szCs w:val="24"/>
        </w:rPr>
        <w:t xml:space="preserve">3.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3F2D0A" w:rsidRPr="0003367C">
        <w:rPr>
          <w:b/>
          <w:szCs w:val="24"/>
        </w:rPr>
        <w:t>In-Service compliance</w:t>
      </w:r>
    </w:p>
    <w:p w:rsidR="00F32C4E" w:rsidRDefault="004F3888" w:rsidP="00E84FAF">
      <w:pPr>
        <w:pStyle w:val="SingleTxtG"/>
        <w:spacing w:after="0" w:line="240" w:lineRule="auto"/>
        <w:ind w:left="0" w:firstLine="708"/>
        <w:rPr>
          <w:sz w:val="24"/>
          <w:szCs w:val="24"/>
          <w:lang w:val="en-GB"/>
        </w:rPr>
      </w:pPr>
      <w:r w:rsidRPr="00F32C4E">
        <w:rPr>
          <w:sz w:val="24"/>
          <w:szCs w:val="24"/>
          <w:lang w:val="en-GB"/>
        </w:rPr>
        <w:t>Following the working plan</w:t>
      </w:r>
      <w:r w:rsidR="002C707B" w:rsidRPr="00F32C4E">
        <w:rPr>
          <w:sz w:val="24"/>
          <w:szCs w:val="24"/>
          <w:lang w:val="en-GB"/>
        </w:rPr>
        <w:t>,</w:t>
      </w:r>
      <w:r w:rsidRPr="00F32C4E">
        <w:rPr>
          <w:sz w:val="24"/>
          <w:szCs w:val="24"/>
          <w:lang w:val="en-GB"/>
        </w:rPr>
        <w:t xml:space="preserve"> approved by the WP.29 at it’s the 177-th session</w:t>
      </w:r>
      <w:r w:rsidR="002C707B" w:rsidRPr="00F32C4E">
        <w:rPr>
          <w:sz w:val="24"/>
          <w:szCs w:val="24"/>
          <w:lang w:val="en-GB"/>
        </w:rPr>
        <w:t>,</w:t>
      </w:r>
      <w:r w:rsidRPr="00F32C4E">
        <w:rPr>
          <w:sz w:val="24"/>
          <w:szCs w:val="24"/>
          <w:lang w:val="en-GB"/>
        </w:rPr>
        <w:t xml:space="preserve"> the group </w:t>
      </w:r>
      <w:r w:rsidR="002C707B" w:rsidRPr="00F32C4E">
        <w:rPr>
          <w:sz w:val="24"/>
          <w:szCs w:val="24"/>
          <w:lang w:val="en-GB"/>
        </w:rPr>
        <w:t xml:space="preserve">began to discuss the structure of </w:t>
      </w:r>
      <w:r w:rsidR="002E3C5C" w:rsidRPr="00F32C4E">
        <w:rPr>
          <w:sz w:val="24"/>
          <w:szCs w:val="24"/>
          <w:lang w:val="en-GB"/>
        </w:rPr>
        <w:t>general framework of in-service compliance assessment the vehicles and their components.</w:t>
      </w:r>
      <w:r w:rsidR="00CD2B96" w:rsidRPr="00F32C4E">
        <w:rPr>
          <w:sz w:val="24"/>
          <w:szCs w:val="24"/>
          <w:lang w:val="en-GB"/>
        </w:rPr>
        <w:t xml:space="preserve"> </w:t>
      </w:r>
      <w:r w:rsidR="002C707B" w:rsidRPr="00F32C4E">
        <w:rPr>
          <w:sz w:val="24"/>
          <w:szCs w:val="24"/>
          <w:lang w:val="en-GB"/>
        </w:rPr>
        <w:t xml:space="preserve">The basic elements of the document could include in-service compliance assessment principles, </w:t>
      </w:r>
      <w:r w:rsidR="00AF4694" w:rsidRPr="00F32C4E">
        <w:rPr>
          <w:sz w:val="24"/>
          <w:szCs w:val="24"/>
          <w:lang w:val="en-GB"/>
        </w:rPr>
        <w:t>a risk-analysis approach,</w:t>
      </w:r>
      <w:r w:rsidR="00F32C4E" w:rsidRPr="00F32C4E">
        <w:rPr>
          <w:sz w:val="24"/>
          <w:szCs w:val="24"/>
          <w:lang w:val="en-GB"/>
        </w:rPr>
        <w:t xml:space="preserve"> and</w:t>
      </w:r>
      <w:r w:rsidR="00AF4694" w:rsidRPr="00F32C4E">
        <w:rPr>
          <w:sz w:val="24"/>
          <w:szCs w:val="24"/>
          <w:lang w:val="en-GB"/>
        </w:rPr>
        <w:t xml:space="preserve"> </w:t>
      </w:r>
      <w:r w:rsidR="00F32C4E" w:rsidRPr="00F32C4E">
        <w:rPr>
          <w:sz w:val="24"/>
          <w:szCs w:val="24"/>
          <w:lang w:val="en-GB"/>
        </w:rPr>
        <w:t>safety aspects.</w:t>
      </w:r>
      <w:r w:rsidR="00AF4694" w:rsidRPr="00F32C4E">
        <w:rPr>
          <w:sz w:val="24"/>
          <w:szCs w:val="24"/>
          <w:lang w:val="en-GB"/>
        </w:rPr>
        <w:t xml:space="preserve"> </w:t>
      </w:r>
      <w:r w:rsidR="00F32C4E">
        <w:rPr>
          <w:sz w:val="24"/>
          <w:szCs w:val="24"/>
          <w:lang w:val="en-GB"/>
        </w:rPr>
        <w:t xml:space="preserve">It </w:t>
      </w:r>
      <w:r w:rsidR="00F32C4E" w:rsidRPr="00F32C4E">
        <w:rPr>
          <w:sz w:val="24"/>
          <w:szCs w:val="24"/>
          <w:lang w:val="en-GB"/>
        </w:rPr>
        <w:t>provide</w:t>
      </w:r>
      <w:r w:rsidR="00F32C4E">
        <w:rPr>
          <w:sz w:val="24"/>
          <w:szCs w:val="24"/>
          <w:lang w:val="en-GB"/>
        </w:rPr>
        <w:t>s</w:t>
      </w:r>
      <w:r w:rsidR="00F32C4E" w:rsidRPr="00F32C4E">
        <w:rPr>
          <w:sz w:val="24"/>
          <w:szCs w:val="24"/>
          <w:lang w:val="en-GB"/>
        </w:rPr>
        <w:t xml:space="preserve"> a guidance for WP.29 and its subsidiary </w:t>
      </w:r>
      <w:r w:rsidR="00E6513A">
        <w:rPr>
          <w:sz w:val="24"/>
          <w:szCs w:val="24"/>
          <w:lang w:val="en-GB"/>
        </w:rPr>
        <w:t>GRs</w:t>
      </w:r>
      <w:r w:rsidR="00F32C4E" w:rsidRPr="00F32C4E">
        <w:rPr>
          <w:sz w:val="24"/>
          <w:szCs w:val="24"/>
          <w:lang w:val="en-GB"/>
        </w:rPr>
        <w:t xml:space="preserve"> to </w:t>
      </w:r>
      <w:r w:rsidR="00F32C4E">
        <w:rPr>
          <w:sz w:val="24"/>
          <w:szCs w:val="24"/>
          <w:lang w:val="en-GB"/>
        </w:rPr>
        <w:t>manage</w:t>
      </w:r>
      <w:r w:rsidR="00F32C4E" w:rsidRPr="00F32C4E">
        <w:rPr>
          <w:sz w:val="24"/>
          <w:szCs w:val="24"/>
          <w:lang w:val="en-GB"/>
        </w:rPr>
        <w:t xml:space="preserve"> activities on in-service performance of the vehicles including automated/autonomous vehicle.</w:t>
      </w:r>
    </w:p>
    <w:p w:rsidR="00E6513A" w:rsidRPr="00E6513A" w:rsidRDefault="00E6513A" w:rsidP="00E84FAF">
      <w:pPr>
        <w:pStyle w:val="SingleTxtG"/>
        <w:spacing w:after="0" w:line="240" w:lineRule="auto"/>
        <w:ind w:left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GB"/>
        </w:rPr>
        <w:t>Principles</w:t>
      </w:r>
      <w:r w:rsidRPr="00E6513A">
        <w:rPr>
          <w:rFonts w:eastAsia="Calibri"/>
          <w:sz w:val="24"/>
          <w:szCs w:val="24"/>
        </w:rPr>
        <w:t xml:space="preserve"> for in service compliance enforcement </w:t>
      </w:r>
      <w:r>
        <w:rPr>
          <w:rFonts w:eastAsia="Calibri"/>
          <w:sz w:val="24"/>
          <w:szCs w:val="24"/>
          <w:lang w:val="en-US"/>
        </w:rPr>
        <w:t xml:space="preserve">are </w:t>
      </w:r>
      <w:r w:rsidRPr="00E6513A">
        <w:rPr>
          <w:rFonts w:eastAsia="Calibri"/>
          <w:sz w:val="24"/>
          <w:szCs w:val="24"/>
        </w:rPr>
        <w:t>to be developed taking into consideration:</w:t>
      </w:r>
    </w:p>
    <w:p w:rsidR="00F32C4E" w:rsidRPr="00E6513A" w:rsidRDefault="00A13CCD" w:rsidP="00E84FAF">
      <w:pPr>
        <w:pStyle w:val="SingleTxtG"/>
        <w:spacing w:after="0" w:line="240" w:lineRule="auto"/>
        <w:ind w:left="0" w:firstLine="708"/>
        <w:rPr>
          <w:sz w:val="24"/>
          <w:szCs w:val="24"/>
          <w:lang w:val="en-GB"/>
        </w:rPr>
      </w:pPr>
      <w:r w:rsidRPr="00A13CCD">
        <w:rPr>
          <w:rFonts w:eastAsia="Calibri"/>
          <w:sz w:val="24"/>
          <w:szCs w:val="24"/>
          <w:lang w:val="en-GB"/>
        </w:rPr>
        <w:lastRenderedPageBreak/>
        <w:t xml:space="preserve">- </w:t>
      </w:r>
      <w:r w:rsidR="00F32C4E" w:rsidRPr="00F32C4E">
        <w:rPr>
          <w:rFonts w:eastAsia="Calibri"/>
          <w:sz w:val="24"/>
          <w:szCs w:val="24"/>
        </w:rPr>
        <w:t>a shift towards sustainability of transport systems, where all aspects of vehicle use need to be considered, including safety, the environment, mobility, efficiency, productivity and personal security;</w:t>
      </w:r>
    </w:p>
    <w:p w:rsidR="00F32C4E" w:rsidRPr="00F32C4E" w:rsidRDefault="00A13CCD" w:rsidP="00E84FAF">
      <w:pPr>
        <w:pStyle w:val="SingleTxtG"/>
        <w:spacing w:after="0" w:line="240" w:lineRule="auto"/>
        <w:ind w:left="0" w:firstLine="708"/>
        <w:rPr>
          <w:rFonts w:eastAsia="Calibri"/>
          <w:sz w:val="24"/>
          <w:szCs w:val="24"/>
        </w:rPr>
      </w:pPr>
      <w:r w:rsidRPr="00A13CCD">
        <w:rPr>
          <w:rFonts w:eastAsia="Calibri"/>
          <w:sz w:val="24"/>
          <w:szCs w:val="24"/>
          <w:lang w:val="en-GB"/>
        </w:rPr>
        <w:t xml:space="preserve">- </w:t>
      </w:r>
      <w:r w:rsidR="00F32C4E" w:rsidRPr="00F32C4E">
        <w:rPr>
          <w:rFonts w:eastAsia="Calibri"/>
          <w:sz w:val="24"/>
          <w:szCs w:val="24"/>
        </w:rPr>
        <w:t>the increased complexity of vehicles and the need for them to be properly maintained throughout their life;</w:t>
      </w:r>
    </w:p>
    <w:p w:rsidR="00F32C4E" w:rsidRPr="00A13CCD" w:rsidRDefault="00A13CCD" w:rsidP="00E84FAF">
      <w:pPr>
        <w:pStyle w:val="SingleTxtG"/>
        <w:spacing w:after="0" w:line="240" w:lineRule="auto"/>
        <w:ind w:left="0" w:firstLine="708"/>
        <w:rPr>
          <w:rFonts w:eastAsia="Calibri"/>
          <w:sz w:val="24"/>
          <w:szCs w:val="24"/>
          <w:lang w:val="en-GB"/>
        </w:rPr>
      </w:pPr>
      <w:r w:rsidRPr="00A13CCD">
        <w:rPr>
          <w:rFonts w:eastAsia="Calibri"/>
          <w:sz w:val="24"/>
          <w:szCs w:val="24"/>
          <w:lang w:val="en-GB"/>
        </w:rPr>
        <w:t xml:space="preserve">- </w:t>
      </w:r>
      <w:r w:rsidR="00F32C4E" w:rsidRPr="00F32C4E">
        <w:rPr>
          <w:rFonts w:eastAsia="Calibri"/>
          <w:sz w:val="24"/>
          <w:szCs w:val="24"/>
        </w:rPr>
        <w:t>the opportunities afforded by advanced on-board and off-board measurement systems to reduce the cost of compliance;</w:t>
      </w:r>
    </w:p>
    <w:p w:rsidR="00FA6809" w:rsidRPr="001F1DFF" w:rsidRDefault="00A13CCD" w:rsidP="00E84FAF">
      <w:pPr>
        <w:pStyle w:val="SingleTxtG"/>
        <w:spacing w:after="0" w:line="240" w:lineRule="auto"/>
        <w:ind w:left="0" w:firstLine="708"/>
        <w:rPr>
          <w:rFonts w:eastAsia="Calibri"/>
          <w:sz w:val="24"/>
          <w:szCs w:val="24"/>
          <w:lang w:val="en-US"/>
        </w:rPr>
      </w:pPr>
      <w:r>
        <w:rPr>
          <w:rFonts w:eastAsiaTheme="minorHAnsi"/>
          <w:color w:val="000000"/>
          <w:sz w:val="24"/>
          <w:szCs w:val="24"/>
          <w:lang w:val="en-US"/>
        </w:rPr>
        <w:t xml:space="preserve">- </w:t>
      </w:r>
      <w:r w:rsidR="001F1DFF">
        <w:rPr>
          <w:rFonts w:eastAsiaTheme="minorHAnsi"/>
          <w:color w:val="000000"/>
          <w:sz w:val="24"/>
          <w:szCs w:val="24"/>
          <w:lang w:val="en-US"/>
        </w:rPr>
        <w:t>vehicle d</w:t>
      </w:r>
      <w:proofErr w:type="spellStart"/>
      <w:r w:rsidR="00FA6809" w:rsidRPr="00FA6809">
        <w:rPr>
          <w:rFonts w:eastAsiaTheme="minorHAnsi"/>
          <w:color w:val="000000"/>
          <w:sz w:val="24"/>
          <w:szCs w:val="24"/>
        </w:rPr>
        <w:t>esign</w:t>
      </w:r>
      <w:proofErr w:type="spellEnd"/>
      <w:r w:rsidR="00FA6809" w:rsidRPr="00FA6809">
        <w:rPr>
          <w:rFonts w:eastAsiaTheme="minorHAnsi"/>
          <w:color w:val="000000"/>
          <w:sz w:val="24"/>
          <w:szCs w:val="24"/>
        </w:rPr>
        <w:t xml:space="preserve"> and validation methods should demonstrate</w:t>
      </w:r>
      <w:r w:rsidR="001F1DFF">
        <w:rPr>
          <w:rFonts w:eastAsiaTheme="minorHAnsi"/>
          <w:color w:val="000000"/>
          <w:sz w:val="24"/>
          <w:szCs w:val="24"/>
        </w:rPr>
        <w:t xml:space="preserve"> </w:t>
      </w:r>
      <w:r w:rsidR="001F1DFF">
        <w:rPr>
          <w:rFonts w:eastAsiaTheme="minorHAnsi"/>
          <w:color w:val="000000"/>
          <w:sz w:val="24"/>
          <w:szCs w:val="24"/>
          <w:lang w:val="en-US"/>
        </w:rPr>
        <w:t>compliance</w:t>
      </w:r>
      <w:r w:rsidR="001F1DFF">
        <w:rPr>
          <w:rFonts w:eastAsiaTheme="minorHAnsi"/>
          <w:color w:val="000000"/>
          <w:sz w:val="24"/>
          <w:szCs w:val="24"/>
        </w:rPr>
        <w:t xml:space="preserve"> a</w:t>
      </w:r>
      <w:r w:rsidR="00FA6809" w:rsidRPr="00FA6809">
        <w:rPr>
          <w:rFonts w:eastAsiaTheme="minorHAnsi"/>
          <w:color w:val="000000"/>
          <w:sz w:val="24"/>
          <w:szCs w:val="24"/>
        </w:rPr>
        <w:t xml:space="preserve"> </w:t>
      </w:r>
      <w:r w:rsidR="001F1DFF">
        <w:rPr>
          <w:rFonts w:eastAsiaTheme="minorHAnsi"/>
          <w:color w:val="000000"/>
          <w:sz w:val="24"/>
          <w:szCs w:val="24"/>
          <w:lang w:val="en-US"/>
        </w:rPr>
        <w:t>vehicle</w:t>
      </w:r>
      <w:r w:rsidR="00FA6809" w:rsidRPr="00FA6809">
        <w:rPr>
          <w:rFonts w:eastAsiaTheme="minorHAnsi"/>
          <w:color w:val="000000"/>
          <w:sz w:val="24"/>
          <w:szCs w:val="24"/>
        </w:rPr>
        <w:t xml:space="preserve"> would be expected to perform during a normal operation</w:t>
      </w:r>
      <w:r w:rsidR="001F1DFF" w:rsidRPr="001F1DFF">
        <w:rPr>
          <w:rFonts w:eastAsiaTheme="minorHAnsi"/>
          <w:color w:val="000000"/>
          <w:sz w:val="24"/>
          <w:szCs w:val="24"/>
          <w:lang w:val="en-US"/>
        </w:rPr>
        <w:t>;</w:t>
      </w:r>
    </w:p>
    <w:p w:rsidR="00E6513A" w:rsidRDefault="00A13CCD" w:rsidP="00E84FAF">
      <w:pPr>
        <w:pStyle w:val="SingleTxtG"/>
        <w:spacing w:after="0" w:line="240" w:lineRule="auto"/>
        <w:ind w:left="0" w:firstLine="708"/>
        <w:rPr>
          <w:rFonts w:eastAsia="Calibri"/>
          <w:sz w:val="24"/>
          <w:szCs w:val="24"/>
          <w:lang w:val="en-US"/>
        </w:rPr>
      </w:pPr>
      <w:r w:rsidRPr="00A13CCD">
        <w:rPr>
          <w:rFonts w:eastAsia="Calibri"/>
          <w:sz w:val="24"/>
          <w:szCs w:val="24"/>
          <w:lang w:val="en-GB"/>
        </w:rPr>
        <w:t xml:space="preserve">- </w:t>
      </w:r>
      <w:r w:rsidR="00F32C4E" w:rsidRPr="00F32C4E">
        <w:rPr>
          <w:rFonts w:eastAsia="Calibri"/>
          <w:sz w:val="24"/>
          <w:szCs w:val="24"/>
        </w:rPr>
        <w:t xml:space="preserve">access, under well-defined and agreed pre-conditions, to the technical specifications of each individual vehicle and the data needed for objective verification of the functionality of the safety and environment related systems, </w:t>
      </w:r>
      <w:proofErr w:type="gramStart"/>
      <w:r w:rsidR="00F32C4E" w:rsidRPr="00F32C4E">
        <w:rPr>
          <w:rFonts w:eastAsia="Calibri"/>
          <w:sz w:val="24"/>
          <w:szCs w:val="24"/>
        </w:rPr>
        <w:t>whether or not</w:t>
      </w:r>
      <w:proofErr w:type="gramEnd"/>
      <w:r w:rsidR="00F32C4E" w:rsidRPr="00F32C4E">
        <w:rPr>
          <w:rFonts w:eastAsia="Calibri"/>
          <w:sz w:val="24"/>
          <w:szCs w:val="24"/>
        </w:rPr>
        <w:t xml:space="preserve"> the safety and environment-related systems are functioning;</w:t>
      </w:r>
    </w:p>
    <w:p w:rsidR="00F32C4E" w:rsidRDefault="00A13CCD" w:rsidP="00E84FAF">
      <w:pPr>
        <w:pStyle w:val="SingleTxtG"/>
        <w:spacing w:after="0" w:line="240" w:lineRule="auto"/>
        <w:ind w:left="0" w:firstLine="708"/>
        <w:rPr>
          <w:rFonts w:eastAsia="Calibri"/>
          <w:sz w:val="24"/>
          <w:szCs w:val="24"/>
          <w:lang w:val="en-US"/>
        </w:rPr>
      </w:pPr>
      <w:r w:rsidRPr="00A13CCD">
        <w:rPr>
          <w:rFonts w:eastAsia="Calibri"/>
          <w:sz w:val="24"/>
          <w:szCs w:val="24"/>
          <w:lang w:val="en-GB"/>
        </w:rPr>
        <w:t xml:space="preserve">- </w:t>
      </w:r>
      <w:r w:rsidR="00F32C4E" w:rsidRPr="00F32C4E">
        <w:rPr>
          <w:rFonts w:eastAsia="Calibri"/>
          <w:sz w:val="24"/>
          <w:szCs w:val="24"/>
        </w:rPr>
        <w:t xml:space="preserve">development of </w:t>
      </w:r>
      <w:proofErr w:type="gramStart"/>
      <w:r w:rsidR="00F32C4E" w:rsidRPr="00F32C4E">
        <w:rPr>
          <w:rFonts w:eastAsia="Calibri"/>
          <w:sz w:val="24"/>
          <w:szCs w:val="24"/>
        </w:rPr>
        <w:t>in service</w:t>
      </w:r>
      <w:proofErr w:type="gramEnd"/>
      <w:r w:rsidR="00F32C4E" w:rsidRPr="00F32C4E">
        <w:rPr>
          <w:rFonts w:eastAsia="Calibri"/>
          <w:sz w:val="24"/>
          <w:szCs w:val="24"/>
        </w:rPr>
        <w:t xml:space="preserve"> compliance vehicle assessment methods for periodical technical inspection and where appropriate, road side inspection;</w:t>
      </w:r>
    </w:p>
    <w:p w:rsidR="00FC278C" w:rsidRPr="00852549" w:rsidRDefault="00A13CCD" w:rsidP="00E84FAF">
      <w:pPr>
        <w:pStyle w:val="SingleTxtG"/>
        <w:spacing w:after="0" w:line="240" w:lineRule="auto"/>
        <w:ind w:left="0" w:firstLine="708"/>
        <w:rPr>
          <w:rFonts w:eastAsia="Calibri"/>
          <w:sz w:val="24"/>
          <w:szCs w:val="24"/>
          <w:lang w:val="en-US"/>
        </w:rPr>
      </w:pPr>
      <w:r w:rsidRPr="00A13CCD">
        <w:rPr>
          <w:color w:val="000000"/>
          <w:sz w:val="24"/>
          <w:szCs w:val="24"/>
          <w:lang w:val="en-GB"/>
        </w:rPr>
        <w:t xml:space="preserve">- </w:t>
      </w:r>
      <w:r w:rsidR="00852549" w:rsidRPr="00852549">
        <w:rPr>
          <w:color w:val="000000"/>
          <w:sz w:val="24"/>
          <w:szCs w:val="24"/>
        </w:rPr>
        <w:t>role of roadworthiness inspections, including PTI, is to verify in</w:t>
      </w:r>
      <w:r w:rsidR="00852549" w:rsidRPr="00852549">
        <w:rPr>
          <w:sz w:val="24"/>
          <w:szCs w:val="24"/>
        </w:rPr>
        <w:t>-service vehicle compliance</w:t>
      </w:r>
      <w:r w:rsidR="00852549">
        <w:rPr>
          <w:sz w:val="24"/>
          <w:szCs w:val="24"/>
          <w:lang w:val="en-US"/>
        </w:rPr>
        <w:t>.</w:t>
      </w:r>
    </w:p>
    <w:p w:rsidR="00AE25C7" w:rsidRDefault="00852549" w:rsidP="00A13CCD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right="1043" w:firstLine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It was noted that s</w:t>
      </w:r>
      <w:r w:rsidR="007A3BBF">
        <w:rPr>
          <w:rFonts w:ascii="Times New Roman" w:eastAsiaTheme="minorHAnsi" w:hAnsi="Times New Roman"/>
          <w:color w:val="000000"/>
          <w:sz w:val="24"/>
          <w:szCs w:val="24"/>
        </w:rPr>
        <w:t>afety of in-use v</w:t>
      </w:r>
      <w:r w:rsidR="00FC278C" w:rsidRPr="00FC278C">
        <w:rPr>
          <w:rFonts w:ascii="Times New Roman" w:eastAsiaTheme="minorHAnsi" w:hAnsi="Times New Roman"/>
          <w:color w:val="000000"/>
          <w:sz w:val="24"/>
          <w:szCs w:val="24"/>
        </w:rPr>
        <w:t xml:space="preserve">ehicles </w:t>
      </w:r>
      <w:r w:rsidR="00FC278C" w:rsidRPr="007A3BBF">
        <w:rPr>
          <w:rFonts w:ascii="Times New Roman" w:eastAsiaTheme="minorHAnsi" w:hAnsi="Times New Roman"/>
          <w:color w:val="000000"/>
          <w:sz w:val="24"/>
          <w:szCs w:val="24"/>
        </w:rPr>
        <w:t xml:space="preserve">is </w:t>
      </w:r>
      <w:r w:rsidR="00FC278C" w:rsidRPr="007A3BBF">
        <w:rPr>
          <w:rFonts w:ascii="Times New Roman" w:hAnsi="Times New Roman"/>
          <w:sz w:val="24"/>
          <w:szCs w:val="24"/>
        </w:rPr>
        <w:t>not listed in the currently agreed WP29 priorities</w:t>
      </w:r>
      <w:r w:rsidR="007A3BBF" w:rsidRPr="007A3BBF">
        <w:rPr>
          <w:rFonts w:ascii="Times New Roman" w:hAnsi="Times New Roman"/>
          <w:sz w:val="24"/>
          <w:szCs w:val="24"/>
        </w:rPr>
        <w:t xml:space="preserve"> on automated/autonomous vehicles</w:t>
      </w:r>
      <w:r>
        <w:rPr>
          <w:rFonts w:ascii="Times New Roman" w:hAnsi="Times New Roman"/>
          <w:sz w:val="24"/>
          <w:szCs w:val="24"/>
        </w:rPr>
        <w:t>.</w:t>
      </w:r>
      <w:r w:rsidR="003F2D0A" w:rsidRPr="00852549">
        <w:rPr>
          <w:szCs w:val="24"/>
        </w:rPr>
        <w:t xml:space="preserve"> </w:t>
      </w:r>
    </w:p>
    <w:p w:rsidR="00E84FAF" w:rsidRPr="00AE25C7" w:rsidRDefault="00C627EC" w:rsidP="00A13CCD">
      <w:pPr>
        <w:numPr>
          <w:ilvl w:val="2"/>
          <w:numId w:val="22"/>
        </w:numPr>
        <w:autoSpaceDE w:val="0"/>
        <w:autoSpaceDN w:val="0"/>
        <w:adjustRightInd w:val="0"/>
        <w:spacing w:before="120" w:after="0" w:line="240" w:lineRule="auto"/>
        <w:ind w:right="1043" w:firstLine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25C7">
        <w:rPr>
          <w:rFonts w:ascii="Times New Roman" w:hAnsi="Times New Roman"/>
          <w:sz w:val="24"/>
          <w:szCs w:val="24"/>
        </w:rPr>
        <w:t xml:space="preserve">The general view of the group is that vehicle self-diagnosis might play a role in continuous compliance, provided it is trustable and impartial. In all cases, the </w:t>
      </w:r>
      <w:r w:rsidR="00E84FAF" w:rsidRPr="00AE25C7">
        <w:rPr>
          <w:rFonts w:ascii="Times New Roman" w:hAnsi="Times New Roman"/>
          <w:sz w:val="24"/>
          <w:szCs w:val="24"/>
        </w:rPr>
        <w:t xml:space="preserve">third party assessment </w:t>
      </w:r>
      <w:proofErr w:type="gramStart"/>
      <w:r w:rsidR="00E84FAF" w:rsidRPr="00AE25C7">
        <w:rPr>
          <w:rFonts w:ascii="Times New Roman" w:hAnsi="Times New Roman"/>
          <w:sz w:val="24"/>
          <w:szCs w:val="24"/>
        </w:rPr>
        <w:t xml:space="preserve">and </w:t>
      </w:r>
      <w:r w:rsidRPr="00AE25C7">
        <w:rPr>
          <w:rFonts w:ascii="Times New Roman" w:hAnsi="Times New Roman"/>
          <w:sz w:val="24"/>
          <w:szCs w:val="24"/>
        </w:rPr>
        <w:t xml:space="preserve"> inspection</w:t>
      </w:r>
      <w:proofErr w:type="gramEnd"/>
      <w:r w:rsidRPr="00AE25C7">
        <w:rPr>
          <w:rFonts w:ascii="Times New Roman" w:hAnsi="Times New Roman"/>
          <w:sz w:val="24"/>
          <w:szCs w:val="24"/>
        </w:rPr>
        <w:t xml:space="preserve"> will have an essential role to play. Furthermore, it is necessary that UN Regulations consider the concept of continuous compliance.</w:t>
      </w:r>
    </w:p>
    <w:p w:rsidR="00E84FAF" w:rsidRDefault="00E84FAF" w:rsidP="00E84FAF">
      <w:pPr>
        <w:spacing w:after="0" w:line="240" w:lineRule="auto"/>
        <w:ind w:right="1041" w:firstLine="360"/>
        <w:jc w:val="both"/>
        <w:rPr>
          <w:rFonts w:ascii="Times New Roman" w:hAnsi="Times New Roman"/>
          <w:sz w:val="24"/>
          <w:szCs w:val="24"/>
        </w:rPr>
      </w:pPr>
    </w:p>
    <w:p w:rsidR="003F2D0A" w:rsidRPr="00A13CCD" w:rsidRDefault="003F2D0A" w:rsidP="00A13CCD">
      <w:pPr>
        <w:pStyle w:val="ListParagraph"/>
        <w:numPr>
          <w:ilvl w:val="0"/>
          <w:numId w:val="9"/>
        </w:numPr>
        <w:spacing w:line="240" w:lineRule="auto"/>
        <w:ind w:leftChars="0" w:left="709" w:right="1041" w:hanging="709"/>
        <w:jc w:val="both"/>
        <w:rPr>
          <w:b/>
          <w:sz w:val="24"/>
          <w:szCs w:val="24"/>
        </w:rPr>
      </w:pPr>
      <w:r w:rsidRPr="00A13CCD">
        <w:rPr>
          <w:b/>
          <w:sz w:val="24"/>
          <w:szCs w:val="24"/>
        </w:rPr>
        <w:t>Measures to detect tampering: methods and supervision</w:t>
      </w:r>
    </w:p>
    <w:p w:rsidR="00A13CCD" w:rsidRPr="00A13CCD" w:rsidRDefault="00A13CCD" w:rsidP="00A13CCD">
      <w:pPr>
        <w:pStyle w:val="ListParagraph"/>
        <w:spacing w:line="240" w:lineRule="auto"/>
        <w:ind w:leftChars="0" w:left="0" w:right="1041"/>
        <w:jc w:val="both"/>
        <w:rPr>
          <w:b/>
          <w:sz w:val="24"/>
          <w:szCs w:val="24"/>
        </w:rPr>
      </w:pPr>
    </w:p>
    <w:p w:rsidR="00852549" w:rsidRPr="00852549" w:rsidRDefault="007209CF" w:rsidP="00E84FAF">
      <w:pPr>
        <w:spacing w:after="0" w:line="240" w:lineRule="auto"/>
        <w:ind w:right="1043"/>
        <w:jc w:val="both"/>
        <w:rPr>
          <w:rFonts w:ascii="Times New Roman" w:hAnsi="Times New Roman"/>
          <w:sz w:val="24"/>
          <w:szCs w:val="24"/>
        </w:rPr>
      </w:pPr>
      <w:r>
        <w:rPr>
          <w:lang w:val="en-GB"/>
        </w:rPr>
        <w:tab/>
      </w:r>
      <w:r w:rsidR="00852549" w:rsidRPr="00852549">
        <w:rPr>
          <w:rFonts w:ascii="Times New Roman" w:hAnsi="Times New Roman"/>
          <w:sz w:val="24"/>
          <w:szCs w:val="24"/>
        </w:rPr>
        <w:t xml:space="preserve">The </w:t>
      </w:r>
      <w:r w:rsidR="00852549">
        <w:rPr>
          <w:rFonts w:ascii="Times New Roman" w:hAnsi="Times New Roman"/>
          <w:sz w:val="24"/>
          <w:szCs w:val="24"/>
        </w:rPr>
        <w:t xml:space="preserve">group </w:t>
      </w:r>
      <w:r w:rsidR="004050ED">
        <w:rPr>
          <w:rFonts w:ascii="Times New Roman" w:hAnsi="Times New Roman"/>
          <w:sz w:val="24"/>
          <w:szCs w:val="24"/>
        </w:rPr>
        <w:t>reviewed</w:t>
      </w:r>
      <w:r w:rsidR="00852549" w:rsidRPr="00852549">
        <w:rPr>
          <w:rFonts w:ascii="Times New Roman" w:hAnsi="Times New Roman"/>
          <w:sz w:val="24"/>
          <w:szCs w:val="24"/>
        </w:rPr>
        <w:t xml:space="preserve"> set of measures aiming to facilitate the detection of tampering</w:t>
      </w:r>
      <w:r w:rsidR="00852549">
        <w:rPr>
          <w:rFonts w:ascii="Times New Roman" w:hAnsi="Times New Roman"/>
          <w:sz w:val="24"/>
          <w:szCs w:val="24"/>
        </w:rPr>
        <w:t xml:space="preserve">, presented to </w:t>
      </w:r>
      <w:r w:rsidR="004050ED" w:rsidRPr="00852549">
        <w:rPr>
          <w:rFonts w:ascii="Times New Roman" w:hAnsi="Times New Roman"/>
          <w:sz w:val="24"/>
          <w:szCs w:val="24"/>
        </w:rPr>
        <w:t>GRPE</w:t>
      </w:r>
      <w:r w:rsidR="00852549" w:rsidRPr="00852549">
        <w:rPr>
          <w:rFonts w:ascii="Times New Roman" w:hAnsi="Times New Roman"/>
          <w:sz w:val="24"/>
          <w:szCs w:val="24"/>
        </w:rPr>
        <w:t xml:space="preserve">. </w:t>
      </w:r>
      <w:r w:rsidR="004050ED">
        <w:rPr>
          <w:rFonts w:ascii="Times New Roman" w:hAnsi="Times New Roman"/>
          <w:sz w:val="24"/>
          <w:szCs w:val="24"/>
        </w:rPr>
        <w:t xml:space="preserve">The proposal of </w:t>
      </w:r>
      <w:r w:rsidR="00852549" w:rsidRPr="00852549">
        <w:rPr>
          <w:rFonts w:ascii="Times New Roman" w:hAnsi="Times New Roman"/>
          <w:sz w:val="24"/>
          <w:szCs w:val="24"/>
        </w:rPr>
        <w:t>GRPE to extend the work to other relevant regulation and to cover further aspects</w:t>
      </w:r>
      <w:r w:rsidR="004050ED">
        <w:rPr>
          <w:rFonts w:ascii="Times New Roman" w:hAnsi="Times New Roman"/>
          <w:sz w:val="24"/>
          <w:szCs w:val="24"/>
        </w:rPr>
        <w:t xml:space="preserve"> was supported</w:t>
      </w:r>
      <w:r w:rsidR="00852549" w:rsidRPr="00852549">
        <w:rPr>
          <w:rFonts w:ascii="Times New Roman" w:hAnsi="Times New Roman"/>
          <w:sz w:val="24"/>
          <w:szCs w:val="24"/>
        </w:rPr>
        <w:t>.</w:t>
      </w:r>
    </w:p>
    <w:p w:rsidR="00852549" w:rsidRPr="00852549" w:rsidRDefault="004050ED" w:rsidP="00E84FAF">
      <w:pPr>
        <w:spacing w:after="0" w:line="240" w:lineRule="auto"/>
        <w:ind w:right="10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representative of t</w:t>
      </w:r>
      <w:r w:rsidR="00852549" w:rsidRPr="00852549">
        <w:rPr>
          <w:rFonts w:ascii="Times New Roman" w:hAnsi="Times New Roman"/>
          <w:sz w:val="24"/>
          <w:szCs w:val="24"/>
        </w:rPr>
        <w:t xml:space="preserve">he Netherlands presented the methodology to measure PN during PTI. </w:t>
      </w:r>
    </w:p>
    <w:p w:rsidR="00852549" w:rsidRDefault="00852549" w:rsidP="00E84FAF">
      <w:pPr>
        <w:spacing w:after="0" w:line="240" w:lineRule="auto"/>
        <w:ind w:right="1041" w:firstLine="708"/>
        <w:jc w:val="both"/>
        <w:rPr>
          <w:rFonts w:ascii="Times New Roman" w:hAnsi="Times New Roman"/>
          <w:sz w:val="24"/>
          <w:szCs w:val="24"/>
        </w:rPr>
      </w:pPr>
      <w:r w:rsidRPr="00852549">
        <w:rPr>
          <w:rFonts w:ascii="Times New Roman" w:hAnsi="Times New Roman"/>
          <w:sz w:val="24"/>
          <w:szCs w:val="24"/>
        </w:rPr>
        <w:t>The PN measurement method is efficient to detect malfunctions and tampering in particle traps. The difference of readings between acceptable and non-acceptable vehicles is large enough to avoid doubtful assessments and the rejection of approved vehicles.</w:t>
      </w:r>
    </w:p>
    <w:p w:rsidR="004050ED" w:rsidRPr="00852549" w:rsidRDefault="004050ED" w:rsidP="00E84FAF">
      <w:pPr>
        <w:spacing w:after="0" w:line="240" w:lineRule="auto"/>
        <w:ind w:right="1041" w:firstLine="708"/>
        <w:jc w:val="both"/>
        <w:rPr>
          <w:rFonts w:ascii="Times New Roman" w:hAnsi="Times New Roman"/>
          <w:sz w:val="24"/>
          <w:szCs w:val="24"/>
        </w:rPr>
      </w:pPr>
    </w:p>
    <w:p w:rsidR="00105419" w:rsidRDefault="004050ED" w:rsidP="00E84FAF">
      <w:pPr>
        <w:pStyle w:val="SingleTxtG"/>
        <w:tabs>
          <w:tab w:val="left" w:pos="709"/>
        </w:tabs>
        <w:spacing w:after="0" w:line="240" w:lineRule="auto"/>
        <w:ind w:left="0" w:right="1043"/>
        <w:rPr>
          <w:b/>
          <w:sz w:val="24"/>
          <w:szCs w:val="24"/>
          <w:lang w:val="en-US"/>
        </w:rPr>
      </w:pPr>
      <w:r w:rsidRPr="004050ED">
        <w:rPr>
          <w:b/>
          <w:sz w:val="24"/>
          <w:szCs w:val="24"/>
          <w:lang w:val="en-US"/>
        </w:rPr>
        <w:t xml:space="preserve">5. </w:t>
      </w:r>
      <w:r w:rsidR="00E41C8C">
        <w:rPr>
          <w:b/>
          <w:sz w:val="24"/>
          <w:szCs w:val="24"/>
          <w:lang w:val="en-US"/>
        </w:rPr>
        <w:tab/>
      </w:r>
      <w:r w:rsidR="003F2D0A" w:rsidRPr="004050ED">
        <w:rPr>
          <w:b/>
          <w:sz w:val="24"/>
          <w:szCs w:val="24"/>
        </w:rPr>
        <w:t>Innovative technologies</w:t>
      </w:r>
    </w:p>
    <w:p w:rsidR="004050ED" w:rsidRPr="004050ED" w:rsidRDefault="004050ED" w:rsidP="00E84FAF">
      <w:pPr>
        <w:pStyle w:val="SingleTxtG"/>
        <w:tabs>
          <w:tab w:val="left" w:pos="709"/>
        </w:tabs>
        <w:spacing w:after="0" w:line="240" w:lineRule="auto"/>
        <w:ind w:left="0" w:right="1043"/>
        <w:rPr>
          <w:b/>
          <w:sz w:val="24"/>
          <w:szCs w:val="24"/>
          <w:lang w:val="en-US"/>
        </w:rPr>
      </w:pPr>
    </w:p>
    <w:p w:rsidR="004050ED" w:rsidRPr="004050ED" w:rsidRDefault="004050ED" w:rsidP="00E84FAF">
      <w:pPr>
        <w:spacing w:after="0" w:line="240" w:lineRule="auto"/>
        <w:ind w:right="1043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4050ED">
        <w:rPr>
          <w:rFonts w:ascii="Times New Roman" w:hAnsi="Times New Roman"/>
          <w:sz w:val="24"/>
          <w:szCs w:val="24"/>
        </w:rPr>
        <w:t xml:space="preserve">Accident emergency call systems </w:t>
      </w:r>
      <w:r w:rsidRPr="004050ED">
        <w:rPr>
          <w:rFonts w:ascii="Times New Roman" w:hAnsi="Times New Roman"/>
          <w:color w:val="333333"/>
          <w:sz w:val="24"/>
          <w:szCs w:val="24"/>
        </w:rPr>
        <w:t>are mandatory in the Russian Federation since 2015 and since 2018 for M</w:t>
      </w:r>
      <w:r w:rsidRPr="004050ED">
        <w:rPr>
          <w:rFonts w:ascii="Times New Roman" w:hAnsi="Times New Roman"/>
          <w:color w:val="333333"/>
          <w:sz w:val="24"/>
          <w:szCs w:val="24"/>
          <w:vertAlign w:val="subscript"/>
        </w:rPr>
        <w:t>1</w:t>
      </w:r>
      <w:r w:rsidRPr="004050ED">
        <w:rPr>
          <w:rFonts w:ascii="Times New Roman" w:hAnsi="Times New Roman"/>
          <w:color w:val="333333"/>
          <w:sz w:val="24"/>
          <w:szCs w:val="24"/>
        </w:rPr>
        <w:t xml:space="preserve"> and N</w:t>
      </w:r>
      <w:r w:rsidRPr="004050ED">
        <w:rPr>
          <w:rFonts w:ascii="Times New Roman" w:hAnsi="Times New Roman"/>
          <w:color w:val="333333"/>
          <w:sz w:val="24"/>
          <w:szCs w:val="24"/>
          <w:vertAlign w:val="subscript"/>
        </w:rPr>
        <w:t>1</w:t>
      </w:r>
      <w:r w:rsidRPr="004050ED">
        <w:rPr>
          <w:rFonts w:ascii="Times New Roman" w:hAnsi="Times New Roman"/>
          <w:color w:val="333333"/>
          <w:sz w:val="24"/>
          <w:szCs w:val="24"/>
        </w:rPr>
        <w:t xml:space="preserve"> vehicles registered in the European Union.</w:t>
      </w:r>
      <w:r w:rsidRPr="004050ED">
        <w:rPr>
          <w:rFonts w:ascii="Times New Roman" w:eastAsia="MS Mincho" w:hAnsi="Times New Roman"/>
          <w:sz w:val="24"/>
          <w:szCs w:val="24"/>
        </w:rPr>
        <w:t xml:space="preserve"> UN Regulation 144 had entered into force in 2018. The Russian Federation distributed the draft proposal for a new UN Rule devoted to </w:t>
      </w:r>
      <w:r w:rsidRPr="004050ED">
        <w:rPr>
          <w:rFonts w:ascii="Times New Roman" w:hAnsi="Times New Roman"/>
          <w:sz w:val="24"/>
          <w:szCs w:val="24"/>
        </w:rPr>
        <w:t xml:space="preserve">uniform provisions for periodical technical inspections of accident emergency call systems (AECS). It covers AECS control unit, </w:t>
      </w:r>
      <w:r w:rsidRPr="004050ED">
        <w:rPr>
          <w:rFonts w:ascii="Times New Roman" w:hAnsi="Times New Roman"/>
          <w:sz w:val="24"/>
          <w:szCs w:val="24"/>
        </w:rPr>
        <w:lastRenderedPageBreak/>
        <w:t>network access device, GNSS receiver, microphone, loudspeaker and other critical components, methods of inspection and main reasons for rejections.</w:t>
      </w:r>
      <w:r w:rsidRPr="004050ED">
        <w:rPr>
          <w:rFonts w:ascii="Times New Roman" w:eastAsia="MS Mincho" w:hAnsi="Times New Roman"/>
          <w:sz w:val="24"/>
          <w:szCs w:val="24"/>
        </w:rPr>
        <w:t xml:space="preserve"> </w:t>
      </w:r>
      <w:r w:rsidR="00E41C8C">
        <w:rPr>
          <w:rFonts w:ascii="Times New Roman" w:eastAsia="MS Mincho" w:hAnsi="Times New Roman"/>
          <w:sz w:val="24"/>
          <w:szCs w:val="24"/>
        </w:rPr>
        <w:t>T</w:t>
      </w:r>
      <w:r w:rsidRPr="004050ED">
        <w:rPr>
          <w:rFonts w:ascii="Times New Roman" w:eastAsia="MS Mincho" w:hAnsi="Times New Roman"/>
          <w:sz w:val="24"/>
          <w:szCs w:val="24"/>
        </w:rPr>
        <w:t xml:space="preserve">he document </w:t>
      </w:r>
      <w:r w:rsidR="00E41C8C">
        <w:rPr>
          <w:rFonts w:ascii="Times New Roman" w:eastAsia="MS Mincho" w:hAnsi="Times New Roman"/>
          <w:sz w:val="24"/>
          <w:szCs w:val="24"/>
        </w:rPr>
        <w:t>will</w:t>
      </w:r>
      <w:r w:rsidRPr="004050ED">
        <w:rPr>
          <w:rFonts w:ascii="Times New Roman" w:eastAsia="MS Mincho" w:hAnsi="Times New Roman"/>
          <w:sz w:val="24"/>
          <w:szCs w:val="24"/>
        </w:rPr>
        <w:t xml:space="preserve"> be discussed during the next meeting.</w:t>
      </w:r>
    </w:p>
    <w:p w:rsidR="004050ED" w:rsidRPr="004050ED" w:rsidRDefault="004050ED" w:rsidP="00E84FAF">
      <w:pPr>
        <w:pStyle w:val="SingleTxtG"/>
        <w:tabs>
          <w:tab w:val="left" w:pos="709"/>
        </w:tabs>
        <w:spacing w:after="0" w:line="240" w:lineRule="auto"/>
        <w:ind w:left="0" w:right="1041"/>
        <w:rPr>
          <w:sz w:val="22"/>
          <w:szCs w:val="22"/>
          <w:lang w:val="en-US"/>
        </w:rPr>
      </w:pPr>
    </w:p>
    <w:p w:rsidR="003F2D0A" w:rsidRPr="0003367C" w:rsidRDefault="00E41C8C" w:rsidP="00E84FAF">
      <w:pPr>
        <w:pStyle w:val="HChG"/>
        <w:keepNext w:val="0"/>
        <w:keepLines w:val="0"/>
        <w:tabs>
          <w:tab w:val="clear" w:pos="851"/>
          <w:tab w:val="right" w:pos="709"/>
        </w:tabs>
        <w:suppressAutoHyphens w:val="0"/>
        <w:spacing w:before="0" w:after="0" w:line="240" w:lineRule="auto"/>
        <w:ind w:left="0" w:right="1041" w:firstLine="0"/>
        <w:jc w:val="both"/>
        <w:rPr>
          <w:sz w:val="24"/>
          <w:szCs w:val="24"/>
        </w:rPr>
      </w:pPr>
      <w:r w:rsidRPr="0003367C">
        <w:rPr>
          <w:sz w:val="24"/>
          <w:szCs w:val="24"/>
        </w:rPr>
        <w:t>6.</w:t>
      </w:r>
      <w:r w:rsidRPr="0003367C">
        <w:rPr>
          <w:sz w:val="24"/>
          <w:szCs w:val="24"/>
        </w:rPr>
        <w:tab/>
        <w:t xml:space="preserve">         </w:t>
      </w:r>
      <w:r w:rsidR="003F2D0A" w:rsidRPr="0003367C">
        <w:rPr>
          <w:sz w:val="24"/>
          <w:szCs w:val="24"/>
        </w:rPr>
        <w:t>Guidance for road-side technical inspection and enforcement</w:t>
      </w:r>
    </w:p>
    <w:p w:rsidR="003F2D0A" w:rsidRDefault="003F2D0A" w:rsidP="00E84FAF">
      <w:pPr>
        <w:pStyle w:val="SingleTxtG"/>
        <w:tabs>
          <w:tab w:val="left" w:pos="709"/>
        </w:tabs>
        <w:spacing w:after="0" w:line="240" w:lineRule="auto"/>
        <w:ind w:left="0" w:right="1041"/>
        <w:rPr>
          <w:sz w:val="22"/>
          <w:szCs w:val="22"/>
          <w:lang w:val="en-GB"/>
        </w:rPr>
      </w:pPr>
    </w:p>
    <w:p w:rsidR="00E41C8C" w:rsidRPr="00E41C8C" w:rsidRDefault="00E41C8C" w:rsidP="00AE25C7">
      <w:pPr>
        <w:spacing w:after="0" w:line="240" w:lineRule="auto"/>
        <w:ind w:right="104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41C8C">
        <w:rPr>
          <w:rFonts w:ascii="Times New Roman" w:hAnsi="Times New Roman"/>
          <w:sz w:val="24"/>
          <w:szCs w:val="24"/>
        </w:rPr>
        <w:t xml:space="preserve">The Russian Federation and CITA updated proposals for </w:t>
      </w:r>
      <w:r w:rsidRPr="00E41C8C">
        <w:rPr>
          <w:rFonts w:ascii="Times New Roman" w:eastAsia="MS Mincho" w:hAnsi="Times New Roman"/>
          <w:sz w:val="24"/>
          <w:szCs w:val="24"/>
        </w:rPr>
        <w:t xml:space="preserve">road-side technical inspections as draft amendments to the resolution R.E.6. </w:t>
      </w:r>
      <w:r w:rsidR="00AA2BA5">
        <w:rPr>
          <w:rFonts w:ascii="Times New Roman" w:eastAsia="MS Mincho" w:hAnsi="Times New Roman"/>
          <w:sz w:val="24"/>
          <w:szCs w:val="24"/>
        </w:rPr>
        <w:t xml:space="preserve">It was decided </w:t>
      </w:r>
      <w:r w:rsidR="00AA2BA5">
        <w:rPr>
          <w:rFonts w:ascii="Times New Roman" w:hAnsi="Times New Roman"/>
          <w:sz w:val="24"/>
          <w:szCs w:val="24"/>
        </w:rPr>
        <w:t>t</w:t>
      </w:r>
      <w:r w:rsidRPr="00E41C8C">
        <w:rPr>
          <w:rFonts w:ascii="Times New Roman" w:hAnsi="Times New Roman"/>
          <w:sz w:val="24"/>
          <w:szCs w:val="24"/>
        </w:rPr>
        <w:t xml:space="preserve">he proposal </w:t>
      </w:r>
      <w:r w:rsidR="00AA2BA5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be </w:t>
      </w:r>
      <w:r w:rsidRPr="00E41C8C">
        <w:rPr>
          <w:rFonts w:ascii="Times New Roman" w:hAnsi="Times New Roman"/>
          <w:sz w:val="24"/>
          <w:szCs w:val="24"/>
        </w:rPr>
        <w:t xml:space="preserve">submitted </w:t>
      </w:r>
      <w:r>
        <w:rPr>
          <w:rFonts w:ascii="Times New Roman" w:hAnsi="Times New Roman"/>
          <w:sz w:val="24"/>
          <w:szCs w:val="24"/>
        </w:rPr>
        <w:t>to the WP.29</w:t>
      </w:r>
      <w:r w:rsidRPr="00E41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an informal document for</w:t>
      </w:r>
      <w:r w:rsidRPr="00E41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its </w:t>
      </w:r>
      <w:r w:rsidRPr="00E41C8C">
        <w:rPr>
          <w:rFonts w:ascii="Times New Roman" w:hAnsi="Times New Roman"/>
          <w:sz w:val="24"/>
          <w:szCs w:val="24"/>
        </w:rPr>
        <w:t xml:space="preserve">the 178-th session. </w:t>
      </w:r>
    </w:p>
    <w:p w:rsidR="00136E28" w:rsidRDefault="00136E28" w:rsidP="00AE25C7">
      <w:pPr>
        <w:pStyle w:val="Default"/>
        <w:ind w:right="1041"/>
        <w:jc w:val="both"/>
        <w:rPr>
          <w:lang w:val="en-US"/>
        </w:rPr>
      </w:pPr>
    </w:p>
    <w:p w:rsidR="00136E28" w:rsidRDefault="00AA2BA5" w:rsidP="00AE25C7">
      <w:pPr>
        <w:pStyle w:val="Heading1"/>
        <w:tabs>
          <w:tab w:val="left" w:pos="709"/>
        </w:tabs>
        <w:suppressAutoHyphens/>
        <w:spacing w:before="0" w:line="240" w:lineRule="auto"/>
        <w:ind w:left="720" w:right="1041" w:hanging="720"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7.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ab/>
      </w:r>
      <w:r w:rsidR="00136E28" w:rsidRPr="0003367C">
        <w:rPr>
          <w:rFonts w:ascii="Times New Roman" w:eastAsia="MS Mincho" w:hAnsi="Times New Roman" w:cs="Times New Roman"/>
          <w:color w:val="auto"/>
          <w:sz w:val="24"/>
          <w:szCs w:val="24"/>
        </w:rPr>
        <w:t>Consistency between the provisions of the 1968 Vienna Convention and the technical provisions for vehicles against the rules in the framework of the 1997 Vienna Agreement</w:t>
      </w:r>
    </w:p>
    <w:p w:rsidR="00A13CCD" w:rsidRPr="00A13CCD" w:rsidRDefault="00A13CCD" w:rsidP="00A13CCD"/>
    <w:p w:rsidR="00AA2BA5" w:rsidRPr="00AA2BA5" w:rsidRDefault="00AA2BA5" w:rsidP="00AE25C7">
      <w:pPr>
        <w:ind w:right="1041" w:firstLine="708"/>
        <w:rPr>
          <w:rFonts w:ascii="Times New Roman" w:eastAsia="MS Mincho" w:hAnsi="Times New Roman"/>
          <w:sz w:val="24"/>
          <w:szCs w:val="24"/>
          <w:lang w:val="ca-ES"/>
        </w:rPr>
      </w:pPr>
      <w:r>
        <w:rPr>
          <w:rFonts w:ascii="Times New Roman" w:eastAsia="MS Mincho" w:hAnsi="Times New Roman"/>
          <w:sz w:val="24"/>
          <w:szCs w:val="24"/>
          <w:lang w:val="ca-ES"/>
        </w:rPr>
        <w:t xml:space="preserve">The </w:t>
      </w:r>
      <w:r w:rsidR="00136E28" w:rsidRPr="0003367C">
        <w:rPr>
          <w:rFonts w:ascii="Times New Roman" w:eastAsia="MS Mincho" w:hAnsi="Times New Roman"/>
          <w:sz w:val="24"/>
          <w:szCs w:val="24"/>
          <w:lang w:val="ca-ES"/>
        </w:rPr>
        <w:t xml:space="preserve">1968 Vienna Convention is to be updated regarding </w:t>
      </w:r>
      <w:r w:rsidRPr="00AA2BA5">
        <w:rPr>
          <w:rFonts w:ascii="Times New Roman" w:hAnsi="Times New Roman"/>
          <w:sz w:val="24"/>
          <w:szCs w:val="24"/>
        </w:rPr>
        <w:t>the</w:t>
      </w:r>
      <w:r w:rsidRPr="00AA2BA5">
        <w:rPr>
          <w:rFonts w:ascii="Times New Roman" w:hAnsi="Times New Roman"/>
          <w:sz w:val="24"/>
          <w:szCs w:val="24"/>
          <w:lang w:val="en-GB"/>
        </w:rPr>
        <w:t xml:space="preserve"> general framework of in-service compliance assessment the vehicles and their components</w:t>
      </w:r>
      <w:r w:rsidR="00136E28" w:rsidRPr="00AA2BA5">
        <w:rPr>
          <w:rFonts w:ascii="Times New Roman" w:eastAsia="MS Mincho" w:hAnsi="Times New Roman"/>
          <w:sz w:val="24"/>
          <w:szCs w:val="24"/>
          <w:lang w:val="ca-ES"/>
        </w:rPr>
        <w:t xml:space="preserve">. </w:t>
      </w:r>
    </w:p>
    <w:p w:rsidR="00136E28" w:rsidRPr="0003367C" w:rsidRDefault="00AA2BA5" w:rsidP="00AE25C7">
      <w:pPr>
        <w:ind w:right="10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36E28" w:rsidRPr="0003367C">
        <w:rPr>
          <w:rFonts w:ascii="Times New Roman" w:hAnsi="Times New Roman"/>
          <w:b/>
          <w:sz w:val="24"/>
          <w:szCs w:val="24"/>
        </w:rPr>
        <w:t xml:space="preserve">. </w:t>
      </w:r>
      <w:r w:rsidR="00D549A7">
        <w:rPr>
          <w:rFonts w:ascii="Times New Roman" w:hAnsi="Times New Roman"/>
          <w:b/>
          <w:sz w:val="24"/>
          <w:szCs w:val="24"/>
        </w:rPr>
        <w:tab/>
      </w:r>
      <w:r w:rsidR="00136E28" w:rsidRPr="0003367C">
        <w:rPr>
          <w:rFonts w:ascii="Times New Roman" w:hAnsi="Times New Roman"/>
          <w:b/>
          <w:sz w:val="24"/>
          <w:szCs w:val="24"/>
        </w:rPr>
        <w:t>Other Business</w:t>
      </w:r>
    </w:p>
    <w:p w:rsidR="00136E28" w:rsidRPr="0003367C" w:rsidRDefault="00AA2BA5" w:rsidP="00AE25C7">
      <w:pPr>
        <w:spacing w:after="0" w:line="240" w:lineRule="auto"/>
        <w:ind w:right="10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group taken into consideration remark of t</w:t>
      </w:r>
      <w:r w:rsidR="00136E28" w:rsidRPr="0003367C">
        <w:rPr>
          <w:rFonts w:ascii="Times New Roman" w:hAnsi="Times New Roman"/>
          <w:sz w:val="24"/>
          <w:szCs w:val="24"/>
        </w:rPr>
        <w:t xml:space="preserve">he representative of Sweden </w:t>
      </w:r>
      <w:r>
        <w:rPr>
          <w:rFonts w:ascii="Times New Roman" w:hAnsi="Times New Roman"/>
          <w:sz w:val="24"/>
          <w:szCs w:val="24"/>
        </w:rPr>
        <w:t xml:space="preserve">related to </w:t>
      </w:r>
      <w:r w:rsidR="00D549A7">
        <w:rPr>
          <w:rFonts w:ascii="Times New Roman" w:hAnsi="Times New Roman"/>
          <w:sz w:val="24"/>
          <w:szCs w:val="24"/>
        </w:rPr>
        <w:t xml:space="preserve">absence of </w:t>
      </w:r>
      <w:r w:rsidR="00D549A7" w:rsidRPr="0003367C">
        <w:rPr>
          <w:rFonts w:ascii="Times New Roman" w:hAnsi="Times New Roman"/>
          <w:sz w:val="24"/>
          <w:szCs w:val="24"/>
          <w:shd w:val="clear" w:color="auto" w:fill="FFFFFF"/>
        </w:rPr>
        <w:t xml:space="preserve">the requirements for inspection of the gas tanks according to </w:t>
      </w:r>
      <w:r w:rsidR="00D549A7">
        <w:rPr>
          <w:rFonts w:ascii="Times New Roman" w:hAnsi="Times New Roman"/>
          <w:sz w:val="24"/>
          <w:szCs w:val="24"/>
          <w:shd w:val="clear" w:color="auto" w:fill="FFFFFF"/>
        </w:rPr>
        <w:t xml:space="preserve">UN </w:t>
      </w:r>
      <w:r w:rsidR="00D549A7" w:rsidRPr="0003367C">
        <w:rPr>
          <w:rFonts w:ascii="Times New Roman" w:hAnsi="Times New Roman"/>
          <w:sz w:val="24"/>
          <w:szCs w:val="24"/>
          <w:shd w:val="clear" w:color="auto" w:fill="FFFFFF"/>
        </w:rPr>
        <w:t>Regulation 110</w:t>
      </w:r>
      <w:r w:rsidR="00D549A7">
        <w:rPr>
          <w:rFonts w:ascii="Times New Roman" w:hAnsi="Times New Roman"/>
          <w:sz w:val="24"/>
          <w:szCs w:val="24"/>
          <w:shd w:val="clear" w:color="auto" w:fill="FFFFFF"/>
        </w:rPr>
        <w:t xml:space="preserve"> in </w:t>
      </w:r>
      <w:r>
        <w:rPr>
          <w:rFonts w:ascii="Times New Roman" w:hAnsi="Times New Roman"/>
          <w:sz w:val="24"/>
          <w:szCs w:val="24"/>
        </w:rPr>
        <w:t>UN</w:t>
      </w:r>
      <w:r w:rsidR="00136E28" w:rsidRPr="0003367C">
        <w:rPr>
          <w:rFonts w:ascii="Times New Roman" w:hAnsi="Times New Roman"/>
          <w:sz w:val="24"/>
          <w:szCs w:val="24"/>
        </w:rPr>
        <w:t xml:space="preserve"> Rule 3 </w:t>
      </w:r>
      <w:r w:rsidR="00D549A7">
        <w:rPr>
          <w:rFonts w:ascii="Times New Roman" w:hAnsi="Times New Roman"/>
          <w:sz w:val="24"/>
          <w:szCs w:val="24"/>
        </w:rPr>
        <w:t>“U</w:t>
      </w:r>
      <w:r w:rsidR="00D549A7" w:rsidRPr="00D549A7">
        <w:rPr>
          <w:rFonts w:ascii="Times New Roman" w:hAnsi="Times New Roman"/>
          <w:bCs/>
          <w:sz w:val="24"/>
          <w:szCs w:val="24"/>
        </w:rPr>
        <w:t>niform provisions for periodical technical inspections of motor vehicles using compressed natural gas (CNG) and/or liquefied natural gas (LNG) in their propulsion system with regard their roadworthiness</w:t>
      </w:r>
      <w:r w:rsidR="00D549A7">
        <w:rPr>
          <w:rFonts w:ascii="Times New Roman" w:hAnsi="Times New Roman"/>
          <w:bCs/>
          <w:sz w:val="24"/>
          <w:szCs w:val="24"/>
        </w:rPr>
        <w:t>”</w:t>
      </w:r>
      <w:r w:rsidR="00136E28" w:rsidRPr="0003367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549A7">
        <w:rPr>
          <w:rFonts w:ascii="Times New Roman" w:hAnsi="Times New Roman"/>
          <w:sz w:val="24"/>
          <w:szCs w:val="24"/>
          <w:shd w:val="clear" w:color="auto" w:fill="FFFFFF"/>
        </w:rPr>
        <w:t>It was agreed to continue discussion on the subject next session</w:t>
      </w:r>
      <w:r w:rsidR="00136E28" w:rsidRPr="0003367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136E28" w:rsidRPr="0003367C" w:rsidRDefault="00D549A7" w:rsidP="00AE25C7">
      <w:pPr>
        <w:spacing w:after="0" w:line="240" w:lineRule="auto"/>
        <w:ind w:right="1041" w:firstLine="709"/>
        <w:jc w:val="both"/>
        <w:rPr>
          <w:rStyle w:val="Hyperlink"/>
          <w:rFonts w:ascii="Times New Roman" w:hAnsi="Times New Roman"/>
          <w:sz w:val="24"/>
          <w:szCs w:val="24"/>
          <w:lang w:val="en-GB"/>
        </w:rPr>
      </w:pPr>
      <w:r>
        <w:rPr>
          <w:rStyle w:val="Hyperlink"/>
          <w:rFonts w:ascii="Times New Roman" w:hAnsi="Times New Roman"/>
          <w:sz w:val="24"/>
          <w:szCs w:val="24"/>
        </w:rPr>
        <w:t xml:space="preserve">The group monitor the activity </w:t>
      </w:r>
      <w:r w:rsidR="00136E28" w:rsidRPr="0003367C">
        <w:rPr>
          <w:rStyle w:val="Hyperlink"/>
          <w:rFonts w:ascii="Times New Roman" w:hAnsi="Times New Roman"/>
          <w:sz w:val="24"/>
          <w:szCs w:val="24"/>
        </w:rPr>
        <w:t>on the inclusion of two- and three-wheelers and light trailers in the scope of roadworthiness testing.</w:t>
      </w:r>
    </w:p>
    <w:p w:rsidR="00136E28" w:rsidRDefault="00136E28" w:rsidP="00AE25C7">
      <w:pPr>
        <w:spacing w:after="0" w:line="240" w:lineRule="auto"/>
        <w:ind w:right="1041" w:firstLine="709"/>
        <w:rPr>
          <w:rStyle w:val="Hyperlink"/>
          <w:rFonts w:ascii="Times New Roman" w:hAnsi="Times New Roman"/>
          <w:sz w:val="24"/>
          <w:szCs w:val="24"/>
        </w:rPr>
      </w:pPr>
      <w:r w:rsidRPr="0003367C">
        <w:rPr>
          <w:rStyle w:val="Hyperlink"/>
          <w:rFonts w:ascii="Times New Roman" w:hAnsi="Times New Roman"/>
          <w:sz w:val="24"/>
          <w:szCs w:val="24"/>
        </w:rPr>
        <w:t xml:space="preserve">The International Conference of CITA, hosted by KOTSA was </w:t>
      </w:r>
      <w:r w:rsidR="00D549A7">
        <w:rPr>
          <w:rStyle w:val="Hyperlink"/>
          <w:rFonts w:ascii="Times New Roman" w:hAnsi="Times New Roman"/>
          <w:sz w:val="24"/>
          <w:szCs w:val="24"/>
        </w:rPr>
        <w:t>hel</w:t>
      </w:r>
      <w:r w:rsidRPr="0003367C">
        <w:rPr>
          <w:rStyle w:val="Hyperlink"/>
          <w:rFonts w:ascii="Times New Roman" w:hAnsi="Times New Roman"/>
          <w:sz w:val="24"/>
          <w:szCs w:val="24"/>
        </w:rPr>
        <w:t xml:space="preserve">d </w:t>
      </w:r>
      <w:r w:rsidR="00D549A7">
        <w:rPr>
          <w:rStyle w:val="Hyperlink"/>
          <w:rFonts w:ascii="Times New Roman" w:hAnsi="Times New Roman"/>
          <w:sz w:val="24"/>
          <w:szCs w:val="24"/>
        </w:rPr>
        <w:t>on</w:t>
      </w:r>
      <w:r w:rsidRPr="0003367C">
        <w:rPr>
          <w:rStyle w:val="Hyperlink"/>
          <w:rFonts w:ascii="Times New Roman" w:hAnsi="Times New Roman"/>
          <w:sz w:val="24"/>
          <w:szCs w:val="24"/>
        </w:rPr>
        <w:t xml:space="preserve"> April 2nd to 4th, </w:t>
      </w:r>
      <w:r w:rsidR="00D549A7">
        <w:rPr>
          <w:rStyle w:val="Hyperlink"/>
          <w:rFonts w:ascii="Times New Roman" w:hAnsi="Times New Roman"/>
          <w:sz w:val="24"/>
          <w:szCs w:val="24"/>
        </w:rPr>
        <w:t xml:space="preserve">2019 </w:t>
      </w:r>
      <w:r w:rsidRPr="0003367C">
        <w:rPr>
          <w:rStyle w:val="Hyperlink"/>
          <w:rFonts w:ascii="Times New Roman" w:hAnsi="Times New Roman"/>
          <w:sz w:val="24"/>
          <w:szCs w:val="24"/>
        </w:rPr>
        <w:t>in Seoul, South Korea. The main outcome has been the shift of the aim o</w:t>
      </w:r>
      <w:r w:rsidR="00D549A7">
        <w:rPr>
          <w:rStyle w:val="Hyperlink"/>
          <w:rFonts w:ascii="Times New Roman" w:hAnsi="Times New Roman"/>
          <w:sz w:val="24"/>
          <w:szCs w:val="24"/>
        </w:rPr>
        <w:t>f</w:t>
      </w:r>
      <w:r w:rsidRPr="0003367C">
        <w:rPr>
          <w:rStyle w:val="Hyperlink"/>
          <w:rFonts w:ascii="Times New Roman" w:hAnsi="Times New Roman"/>
          <w:sz w:val="24"/>
          <w:szCs w:val="24"/>
        </w:rPr>
        <w:t xml:space="preserve"> the association, from periodical inspection to whole-life vehicle compliance. </w:t>
      </w:r>
      <w:r w:rsidR="00AE25C7">
        <w:rPr>
          <w:rStyle w:val="Hyperlink"/>
          <w:rFonts w:ascii="Times New Roman" w:hAnsi="Times New Roman"/>
          <w:sz w:val="24"/>
          <w:szCs w:val="24"/>
        </w:rPr>
        <w:t>The materials of the conference</w:t>
      </w:r>
      <w:r w:rsidRPr="0003367C">
        <w:rPr>
          <w:rStyle w:val="Hyperlink"/>
          <w:rFonts w:ascii="Times New Roman" w:hAnsi="Times New Roman"/>
          <w:sz w:val="24"/>
          <w:szCs w:val="24"/>
        </w:rPr>
        <w:t xml:space="preserve"> can be found in this link: </w:t>
      </w:r>
      <w:hyperlink r:id="rId8" w:history="1">
        <w:r w:rsidRPr="0003367C">
          <w:rPr>
            <w:rStyle w:val="Hyperlink"/>
            <w:rFonts w:ascii="Times New Roman" w:hAnsi="Times New Roman"/>
            <w:color w:val="2E74B5"/>
            <w:sz w:val="24"/>
            <w:szCs w:val="24"/>
            <w:u w:val="single"/>
          </w:rPr>
          <w:t>https://cita2019.citainsp.org/documents/</w:t>
        </w:r>
      </w:hyperlink>
      <w:r w:rsidRPr="0003367C"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p w:rsidR="00A13CCD" w:rsidRPr="0003367C" w:rsidRDefault="00A13CCD" w:rsidP="00AE25C7">
      <w:pPr>
        <w:spacing w:after="0" w:line="240" w:lineRule="auto"/>
        <w:ind w:right="1041" w:firstLine="709"/>
        <w:rPr>
          <w:rStyle w:val="Hyperlink"/>
          <w:rFonts w:ascii="Times New Roman" w:hAnsi="Times New Roman"/>
          <w:sz w:val="24"/>
          <w:szCs w:val="24"/>
          <w:lang w:val="en-GB"/>
        </w:rPr>
      </w:pPr>
    </w:p>
    <w:p w:rsidR="00136E28" w:rsidRDefault="00AE25C7" w:rsidP="00AE25C7">
      <w:pPr>
        <w:pStyle w:val="Subtitle"/>
        <w:spacing w:after="0" w:line="240" w:lineRule="auto"/>
        <w:ind w:right="1041"/>
        <w:rPr>
          <w:b/>
          <w:szCs w:val="24"/>
          <w:u w:val="none"/>
        </w:rPr>
      </w:pPr>
      <w:r>
        <w:rPr>
          <w:b/>
          <w:szCs w:val="24"/>
          <w:u w:val="none"/>
        </w:rPr>
        <w:t>9.</w:t>
      </w:r>
      <w:r w:rsidR="00136E28" w:rsidRPr="00AE25C7">
        <w:rPr>
          <w:b/>
          <w:szCs w:val="24"/>
          <w:u w:val="none"/>
        </w:rPr>
        <w:t xml:space="preserve">Next </w:t>
      </w:r>
      <w:r w:rsidR="00A13CCD">
        <w:rPr>
          <w:b/>
          <w:szCs w:val="24"/>
          <w:u w:val="none"/>
        </w:rPr>
        <w:t>Meeting</w:t>
      </w:r>
    </w:p>
    <w:p w:rsidR="00A13CCD" w:rsidRPr="00A13CCD" w:rsidRDefault="00A13CCD" w:rsidP="00A13CCD">
      <w:pPr>
        <w:spacing w:after="0" w:line="240" w:lineRule="auto"/>
        <w:rPr>
          <w:lang w:val="ca-ES" w:eastAsia="x-none"/>
        </w:rPr>
      </w:pPr>
    </w:p>
    <w:p w:rsidR="00136E28" w:rsidRPr="0003367C" w:rsidRDefault="00136E28" w:rsidP="00A13CCD">
      <w:pPr>
        <w:spacing w:after="0" w:line="240" w:lineRule="auto"/>
        <w:ind w:right="1041" w:firstLine="708"/>
        <w:rPr>
          <w:rFonts w:ascii="Times New Roman" w:hAnsi="Times New Roman"/>
          <w:sz w:val="24"/>
          <w:szCs w:val="24"/>
        </w:rPr>
      </w:pPr>
      <w:r w:rsidRPr="0003367C">
        <w:rPr>
          <w:rFonts w:ascii="Times New Roman" w:hAnsi="Times New Roman"/>
          <w:sz w:val="24"/>
          <w:szCs w:val="24"/>
        </w:rPr>
        <w:t xml:space="preserve">The next Meeting is tentatively scheduled </w:t>
      </w:r>
      <w:r w:rsidR="00AE25C7">
        <w:rPr>
          <w:rFonts w:ascii="Times New Roman" w:hAnsi="Times New Roman"/>
          <w:sz w:val="24"/>
          <w:szCs w:val="24"/>
        </w:rPr>
        <w:t>on</w:t>
      </w:r>
      <w:r w:rsidRPr="0003367C">
        <w:rPr>
          <w:rFonts w:ascii="Times New Roman" w:hAnsi="Times New Roman"/>
          <w:sz w:val="24"/>
          <w:szCs w:val="24"/>
        </w:rPr>
        <w:t xml:space="preserve"> September 10, 2019, hosted by RDW in The Netherlands. </w:t>
      </w:r>
    </w:p>
    <w:p w:rsidR="00136E28" w:rsidRDefault="00136E28" w:rsidP="00AE25C7">
      <w:pPr>
        <w:pStyle w:val="SingleTxtG"/>
        <w:tabs>
          <w:tab w:val="left" w:pos="709"/>
        </w:tabs>
        <w:spacing w:after="0"/>
        <w:ind w:left="0" w:right="1041"/>
        <w:rPr>
          <w:sz w:val="24"/>
          <w:szCs w:val="24"/>
          <w:lang w:val="en-US"/>
        </w:rPr>
      </w:pPr>
    </w:p>
    <w:p w:rsidR="00A13CCD" w:rsidRPr="0003367C" w:rsidRDefault="00A13CCD" w:rsidP="00A13CCD">
      <w:pPr>
        <w:pStyle w:val="SingleTxtG"/>
        <w:tabs>
          <w:tab w:val="left" w:pos="709"/>
        </w:tabs>
        <w:spacing w:after="0"/>
        <w:ind w:left="0" w:right="1041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</w:t>
      </w:r>
    </w:p>
    <w:p w:rsidR="00623469" w:rsidRPr="0003367C" w:rsidRDefault="00623469" w:rsidP="00AE25C7">
      <w:pPr>
        <w:pStyle w:val="SingleTxtG"/>
        <w:tabs>
          <w:tab w:val="left" w:pos="709"/>
        </w:tabs>
        <w:spacing w:after="0"/>
        <w:ind w:left="0" w:right="1041"/>
        <w:rPr>
          <w:sz w:val="24"/>
          <w:szCs w:val="24"/>
          <w:lang w:val="en-GB"/>
        </w:rPr>
      </w:pPr>
    </w:p>
    <w:sectPr w:rsidR="00623469" w:rsidRPr="0003367C" w:rsidSect="00A13CCD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701" w:right="1134" w:bottom="2268" w:left="1276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227" w:rsidRDefault="00923227">
      <w:pPr>
        <w:spacing w:after="0" w:line="240" w:lineRule="auto"/>
      </w:pPr>
      <w:r>
        <w:separator/>
      </w:r>
    </w:p>
  </w:endnote>
  <w:endnote w:type="continuationSeparator" w:id="0">
    <w:p w:rsidR="00923227" w:rsidRDefault="0092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75" w:rsidRPr="00884F75" w:rsidRDefault="006E6E75" w:rsidP="00884F75">
    <w:pPr>
      <w:suppressAutoHyphens/>
      <w:spacing w:after="0" w:line="240" w:lineRule="auto"/>
      <w:rPr>
        <w:rFonts w:ascii="Times New Roman" w:eastAsia="Times New Roman" w:hAnsi="Times New Roman"/>
        <w:b/>
        <w:sz w:val="20"/>
        <w:szCs w:val="20"/>
        <w:lang w:val="en-GB"/>
      </w:rPr>
    </w:pP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begin"/>
    </w:r>
    <w:r w:rsidR="00884F75" w:rsidRPr="00884F75">
      <w:rPr>
        <w:rFonts w:ascii="Times New Roman" w:eastAsia="Times New Roman" w:hAnsi="Times New Roman"/>
        <w:b/>
        <w:sz w:val="20"/>
        <w:szCs w:val="20"/>
        <w:lang w:val="en-GB"/>
      </w:rPr>
      <w:instrText xml:space="preserve"> PAGE   \* MERGEFORMAT </w:instrTex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separate"/>
    </w:r>
    <w:r w:rsidR="00AE25C7">
      <w:rPr>
        <w:rFonts w:ascii="Times New Roman" w:eastAsia="Times New Roman" w:hAnsi="Times New Roman"/>
        <w:b/>
        <w:noProof/>
        <w:sz w:val="20"/>
        <w:szCs w:val="20"/>
        <w:lang w:val="en-GB"/>
      </w:rPr>
      <w:t>2</w: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59" w:rsidRPr="00884F75" w:rsidRDefault="006E6E75" w:rsidP="00884F75">
    <w:pPr>
      <w:suppressAutoHyphens/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  <w:lang w:val="en-GB"/>
      </w:rPr>
    </w:pP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begin"/>
    </w:r>
    <w:r w:rsidR="00884F75" w:rsidRPr="00884F75">
      <w:rPr>
        <w:rFonts w:ascii="Times New Roman" w:eastAsia="Times New Roman" w:hAnsi="Times New Roman"/>
        <w:b/>
        <w:sz w:val="20"/>
        <w:szCs w:val="20"/>
        <w:lang w:val="en-GB"/>
      </w:rPr>
      <w:instrText xml:space="preserve"> PAGE   \* MERGEFORMAT </w:instrTex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separate"/>
    </w:r>
    <w:r w:rsidR="00AE25C7">
      <w:rPr>
        <w:rFonts w:ascii="Times New Roman" w:eastAsia="Times New Roman" w:hAnsi="Times New Roman"/>
        <w:b/>
        <w:noProof/>
        <w:sz w:val="20"/>
        <w:szCs w:val="20"/>
        <w:lang w:val="en-GB"/>
      </w:rPr>
      <w:t>3</w: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59" w:rsidRPr="00884F75" w:rsidRDefault="006E6E75" w:rsidP="00884F75">
    <w:pPr>
      <w:suppressAutoHyphens/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  <w:lang w:val="en-GB"/>
      </w:rPr>
    </w:pP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begin"/>
    </w:r>
    <w:r w:rsidR="00884F75" w:rsidRPr="00884F75">
      <w:rPr>
        <w:rFonts w:ascii="Times New Roman" w:eastAsia="Times New Roman" w:hAnsi="Times New Roman"/>
        <w:b/>
        <w:sz w:val="20"/>
        <w:szCs w:val="20"/>
        <w:lang w:val="en-GB"/>
      </w:rPr>
      <w:instrText xml:space="preserve"> PAGE   \* MERGEFORMAT </w:instrTex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separate"/>
    </w:r>
    <w:r w:rsidR="00AE25C7">
      <w:rPr>
        <w:rFonts w:ascii="Times New Roman" w:eastAsia="Times New Roman" w:hAnsi="Times New Roman"/>
        <w:b/>
        <w:noProof/>
        <w:sz w:val="20"/>
        <w:szCs w:val="20"/>
        <w:lang w:val="en-GB"/>
      </w:rPr>
      <w:t>1</w: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227" w:rsidRDefault="00923227">
      <w:pPr>
        <w:spacing w:after="0" w:line="240" w:lineRule="auto"/>
      </w:pPr>
      <w:r>
        <w:separator/>
      </w:r>
    </w:p>
  </w:footnote>
  <w:footnote w:type="continuationSeparator" w:id="0">
    <w:p w:rsidR="00923227" w:rsidRDefault="0092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75" w:rsidRPr="00884F75" w:rsidRDefault="00884F75" w:rsidP="00884F75">
    <w:pPr>
      <w:pBdr>
        <w:bottom w:val="single" w:sz="4" w:space="1" w:color="auto"/>
      </w:pBdr>
      <w:suppressAutoHyphens/>
      <w:spacing w:after="0" w:line="240" w:lineRule="auto"/>
      <w:jc w:val="right"/>
      <w:rPr>
        <w:rFonts w:ascii="Times New Roman" w:eastAsia="Times New Roman" w:hAnsi="Times New Roman"/>
        <w:b/>
        <w:sz w:val="18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465ACA"/>
    <w:multiLevelType w:val="hybridMultilevel"/>
    <w:tmpl w:val="4594A15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D7836"/>
    <w:multiLevelType w:val="hybridMultilevel"/>
    <w:tmpl w:val="E5569272"/>
    <w:lvl w:ilvl="0" w:tplc="8990EAF2">
      <w:start w:val="13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495A78"/>
    <w:multiLevelType w:val="hybridMultilevel"/>
    <w:tmpl w:val="DFEE5A36"/>
    <w:lvl w:ilvl="0" w:tplc="2BD29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26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E4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E6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C2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C9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43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27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C6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3B21EA"/>
    <w:multiLevelType w:val="hybridMultilevel"/>
    <w:tmpl w:val="278CB2BA"/>
    <w:lvl w:ilvl="0" w:tplc="3A6CA340">
      <w:start w:val="6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8815269"/>
    <w:multiLevelType w:val="hybridMultilevel"/>
    <w:tmpl w:val="BD306576"/>
    <w:lvl w:ilvl="0" w:tplc="4F6C4F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264A0BB8"/>
    <w:multiLevelType w:val="hybridMultilevel"/>
    <w:tmpl w:val="583C575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7AA1F"/>
    <w:multiLevelType w:val="hybridMultilevel"/>
    <w:tmpl w:val="70CF4E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5E1262"/>
    <w:multiLevelType w:val="hybridMultilevel"/>
    <w:tmpl w:val="D93A1FEA"/>
    <w:lvl w:ilvl="0" w:tplc="24A657C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171D"/>
    <w:multiLevelType w:val="hybridMultilevel"/>
    <w:tmpl w:val="4EFA29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40A22"/>
    <w:multiLevelType w:val="hybridMultilevel"/>
    <w:tmpl w:val="0024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17DE4"/>
    <w:multiLevelType w:val="hybridMultilevel"/>
    <w:tmpl w:val="C9FA2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5002A3"/>
    <w:multiLevelType w:val="hybridMultilevel"/>
    <w:tmpl w:val="CFFC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84D84"/>
    <w:multiLevelType w:val="hybridMultilevel"/>
    <w:tmpl w:val="F4A4F288"/>
    <w:lvl w:ilvl="0" w:tplc="08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4" w15:restartNumberingAfterBreak="0">
    <w:nsid w:val="49C72886"/>
    <w:multiLevelType w:val="hybridMultilevel"/>
    <w:tmpl w:val="9FC6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45E46"/>
    <w:multiLevelType w:val="hybridMultilevel"/>
    <w:tmpl w:val="EF0AFA40"/>
    <w:lvl w:ilvl="0" w:tplc="8990EA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1B11"/>
    <w:multiLevelType w:val="multilevel"/>
    <w:tmpl w:val="9B22EA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C22050"/>
    <w:multiLevelType w:val="hybridMultilevel"/>
    <w:tmpl w:val="C9D0BE50"/>
    <w:lvl w:ilvl="0" w:tplc="1FCE96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D6A5B"/>
    <w:multiLevelType w:val="hybridMultilevel"/>
    <w:tmpl w:val="FF0C2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440042"/>
    <w:multiLevelType w:val="hybridMultilevel"/>
    <w:tmpl w:val="320C6844"/>
    <w:lvl w:ilvl="0" w:tplc="69C62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20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40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01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EE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09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CD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6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2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6B32644"/>
    <w:multiLevelType w:val="hybridMultilevel"/>
    <w:tmpl w:val="B4F0ECDC"/>
    <w:lvl w:ilvl="0" w:tplc="E87C7D7E"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CAF3CA7"/>
    <w:multiLevelType w:val="multilevel"/>
    <w:tmpl w:val="CFF2F036"/>
    <w:lvl w:ilvl="0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1800"/>
      </w:pPr>
      <w:rPr>
        <w:rFonts w:hint="default"/>
      </w:rPr>
    </w:lvl>
  </w:abstractNum>
  <w:abstractNum w:abstractNumId="22" w15:restartNumberingAfterBreak="0">
    <w:nsid w:val="7C3020F0"/>
    <w:multiLevelType w:val="hybridMultilevel"/>
    <w:tmpl w:val="7E2A6DBA"/>
    <w:lvl w:ilvl="0" w:tplc="08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9"/>
  </w:num>
  <w:num w:numId="5">
    <w:abstractNumId w:val="13"/>
  </w:num>
  <w:num w:numId="6">
    <w:abstractNumId w:val="22"/>
  </w:num>
  <w:num w:numId="7">
    <w:abstractNumId w:val="20"/>
  </w:num>
  <w:num w:numId="8">
    <w:abstractNumId w:val="4"/>
  </w:num>
  <w:num w:numId="9">
    <w:abstractNumId w:val="21"/>
  </w:num>
  <w:num w:numId="10">
    <w:abstractNumId w:val="14"/>
  </w:num>
  <w:num w:numId="11">
    <w:abstractNumId w:val="5"/>
  </w:num>
  <w:num w:numId="12">
    <w:abstractNumId w:val="1"/>
  </w:num>
  <w:num w:numId="13">
    <w:abstractNumId w:val="16"/>
  </w:num>
  <w:num w:numId="14">
    <w:abstractNumId w:val="6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12"/>
  </w:num>
  <w:num w:numId="20">
    <w:abstractNumId w:val="10"/>
  </w:num>
  <w:num w:numId="21">
    <w:abstractNumId w:val="0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AC"/>
    <w:rsid w:val="00014134"/>
    <w:rsid w:val="00016529"/>
    <w:rsid w:val="000225C9"/>
    <w:rsid w:val="0003367C"/>
    <w:rsid w:val="0003647D"/>
    <w:rsid w:val="000757D4"/>
    <w:rsid w:val="00086E75"/>
    <w:rsid w:val="00091DA3"/>
    <w:rsid w:val="000B0728"/>
    <w:rsid w:val="000C2F32"/>
    <w:rsid w:val="000D250C"/>
    <w:rsid w:val="000D580F"/>
    <w:rsid w:val="000D63BE"/>
    <w:rsid w:val="000E0C85"/>
    <w:rsid w:val="000F245B"/>
    <w:rsid w:val="00104BDA"/>
    <w:rsid w:val="00105419"/>
    <w:rsid w:val="001142E7"/>
    <w:rsid w:val="001167C7"/>
    <w:rsid w:val="001252DC"/>
    <w:rsid w:val="00136E28"/>
    <w:rsid w:val="001378E9"/>
    <w:rsid w:val="00152ADB"/>
    <w:rsid w:val="00152EBD"/>
    <w:rsid w:val="001577FE"/>
    <w:rsid w:val="001A092B"/>
    <w:rsid w:val="001D268F"/>
    <w:rsid w:val="001D3D87"/>
    <w:rsid w:val="001E48A0"/>
    <w:rsid w:val="001F1DFF"/>
    <w:rsid w:val="002167CB"/>
    <w:rsid w:val="00222811"/>
    <w:rsid w:val="00245CA6"/>
    <w:rsid w:val="00293AFB"/>
    <w:rsid w:val="00296E4B"/>
    <w:rsid w:val="00297B7A"/>
    <w:rsid w:val="002A0D96"/>
    <w:rsid w:val="002A1092"/>
    <w:rsid w:val="002A6214"/>
    <w:rsid w:val="002C2FCA"/>
    <w:rsid w:val="002C6E1D"/>
    <w:rsid w:val="002C707B"/>
    <w:rsid w:val="002E3C5C"/>
    <w:rsid w:val="002F01A9"/>
    <w:rsid w:val="00314580"/>
    <w:rsid w:val="00326383"/>
    <w:rsid w:val="0033551D"/>
    <w:rsid w:val="00351540"/>
    <w:rsid w:val="00377C11"/>
    <w:rsid w:val="003A1A5A"/>
    <w:rsid w:val="003A2E93"/>
    <w:rsid w:val="003A405E"/>
    <w:rsid w:val="003B25EC"/>
    <w:rsid w:val="003C642F"/>
    <w:rsid w:val="003C749F"/>
    <w:rsid w:val="003D30DA"/>
    <w:rsid w:val="003D7634"/>
    <w:rsid w:val="003F2D0A"/>
    <w:rsid w:val="004050ED"/>
    <w:rsid w:val="00437DE3"/>
    <w:rsid w:val="00452FAE"/>
    <w:rsid w:val="00467ED2"/>
    <w:rsid w:val="00491531"/>
    <w:rsid w:val="004A136B"/>
    <w:rsid w:val="004A3AA7"/>
    <w:rsid w:val="004B54BD"/>
    <w:rsid w:val="004C2791"/>
    <w:rsid w:val="004C39D4"/>
    <w:rsid w:val="004D3BFD"/>
    <w:rsid w:val="004E55FE"/>
    <w:rsid w:val="004F3888"/>
    <w:rsid w:val="00503314"/>
    <w:rsid w:val="005706A8"/>
    <w:rsid w:val="005709B5"/>
    <w:rsid w:val="00571394"/>
    <w:rsid w:val="00582977"/>
    <w:rsid w:val="00590DDE"/>
    <w:rsid w:val="005922AF"/>
    <w:rsid w:val="005B316F"/>
    <w:rsid w:val="005C3B59"/>
    <w:rsid w:val="005D07D8"/>
    <w:rsid w:val="005F4C64"/>
    <w:rsid w:val="00616190"/>
    <w:rsid w:val="006175A9"/>
    <w:rsid w:val="00623469"/>
    <w:rsid w:val="00662844"/>
    <w:rsid w:val="006A4085"/>
    <w:rsid w:val="006B0EA8"/>
    <w:rsid w:val="006D7462"/>
    <w:rsid w:val="006E5D10"/>
    <w:rsid w:val="006E6E75"/>
    <w:rsid w:val="007209CF"/>
    <w:rsid w:val="00734CD0"/>
    <w:rsid w:val="0073698B"/>
    <w:rsid w:val="00756047"/>
    <w:rsid w:val="00761FE8"/>
    <w:rsid w:val="007A3BBF"/>
    <w:rsid w:val="007C511B"/>
    <w:rsid w:val="007C57A4"/>
    <w:rsid w:val="007C772A"/>
    <w:rsid w:val="007F136D"/>
    <w:rsid w:val="00840533"/>
    <w:rsid w:val="0084655F"/>
    <w:rsid w:val="00852549"/>
    <w:rsid w:val="008610E7"/>
    <w:rsid w:val="008630E1"/>
    <w:rsid w:val="00863BC1"/>
    <w:rsid w:val="00864636"/>
    <w:rsid w:val="00865ADB"/>
    <w:rsid w:val="00884F75"/>
    <w:rsid w:val="008A118A"/>
    <w:rsid w:val="008B3AE7"/>
    <w:rsid w:val="008C3BC4"/>
    <w:rsid w:val="008C7955"/>
    <w:rsid w:val="00914361"/>
    <w:rsid w:val="00920BE8"/>
    <w:rsid w:val="00923227"/>
    <w:rsid w:val="00975E82"/>
    <w:rsid w:val="00991A14"/>
    <w:rsid w:val="00997F7F"/>
    <w:rsid w:val="009A3E50"/>
    <w:rsid w:val="009B660D"/>
    <w:rsid w:val="009B76AA"/>
    <w:rsid w:val="009D5462"/>
    <w:rsid w:val="009F2CA3"/>
    <w:rsid w:val="00A13CCD"/>
    <w:rsid w:val="00A20D2A"/>
    <w:rsid w:val="00A34048"/>
    <w:rsid w:val="00A500C9"/>
    <w:rsid w:val="00A63A58"/>
    <w:rsid w:val="00A834CE"/>
    <w:rsid w:val="00AA2BA5"/>
    <w:rsid w:val="00AB4941"/>
    <w:rsid w:val="00AB544E"/>
    <w:rsid w:val="00AB6C0F"/>
    <w:rsid w:val="00AC6F95"/>
    <w:rsid w:val="00AE25C7"/>
    <w:rsid w:val="00AE42DF"/>
    <w:rsid w:val="00AF4694"/>
    <w:rsid w:val="00B30BA9"/>
    <w:rsid w:val="00B530CC"/>
    <w:rsid w:val="00B63DA0"/>
    <w:rsid w:val="00B65905"/>
    <w:rsid w:val="00B72F06"/>
    <w:rsid w:val="00B74ED2"/>
    <w:rsid w:val="00B81EC8"/>
    <w:rsid w:val="00B926AC"/>
    <w:rsid w:val="00B97185"/>
    <w:rsid w:val="00BC1361"/>
    <w:rsid w:val="00BC221C"/>
    <w:rsid w:val="00C1042B"/>
    <w:rsid w:val="00C15611"/>
    <w:rsid w:val="00C23102"/>
    <w:rsid w:val="00C34E9E"/>
    <w:rsid w:val="00C627EC"/>
    <w:rsid w:val="00C658D0"/>
    <w:rsid w:val="00C850FC"/>
    <w:rsid w:val="00C87232"/>
    <w:rsid w:val="00C92FE2"/>
    <w:rsid w:val="00CC0DD1"/>
    <w:rsid w:val="00CD2B96"/>
    <w:rsid w:val="00CD2FAD"/>
    <w:rsid w:val="00CD3D37"/>
    <w:rsid w:val="00CE0648"/>
    <w:rsid w:val="00CF448E"/>
    <w:rsid w:val="00D10248"/>
    <w:rsid w:val="00D549A7"/>
    <w:rsid w:val="00D602B6"/>
    <w:rsid w:val="00D674B3"/>
    <w:rsid w:val="00D7380F"/>
    <w:rsid w:val="00D74066"/>
    <w:rsid w:val="00D74E03"/>
    <w:rsid w:val="00D850FE"/>
    <w:rsid w:val="00DB1477"/>
    <w:rsid w:val="00DB377D"/>
    <w:rsid w:val="00DC1BF6"/>
    <w:rsid w:val="00DC2F89"/>
    <w:rsid w:val="00DD19A4"/>
    <w:rsid w:val="00DD6021"/>
    <w:rsid w:val="00DF1EDD"/>
    <w:rsid w:val="00DF2435"/>
    <w:rsid w:val="00E04683"/>
    <w:rsid w:val="00E07FAE"/>
    <w:rsid w:val="00E157BA"/>
    <w:rsid w:val="00E3068F"/>
    <w:rsid w:val="00E41C8C"/>
    <w:rsid w:val="00E46C1A"/>
    <w:rsid w:val="00E475E5"/>
    <w:rsid w:val="00E6513A"/>
    <w:rsid w:val="00E84FAF"/>
    <w:rsid w:val="00E86ECB"/>
    <w:rsid w:val="00E91830"/>
    <w:rsid w:val="00E9566A"/>
    <w:rsid w:val="00EA3C85"/>
    <w:rsid w:val="00EC13D5"/>
    <w:rsid w:val="00EC18AA"/>
    <w:rsid w:val="00EC4E93"/>
    <w:rsid w:val="00ED7032"/>
    <w:rsid w:val="00EE48A0"/>
    <w:rsid w:val="00F01B5A"/>
    <w:rsid w:val="00F20D61"/>
    <w:rsid w:val="00F24DD0"/>
    <w:rsid w:val="00F32C4E"/>
    <w:rsid w:val="00F6091B"/>
    <w:rsid w:val="00F72A89"/>
    <w:rsid w:val="00F746B8"/>
    <w:rsid w:val="00F76FDB"/>
    <w:rsid w:val="00F83662"/>
    <w:rsid w:val="00F851F7"/>
    <w:rsid w:val="00F852B3"/>
    <w:rsid w:val="00F93640"/>
    <w:rsid w:val="00FA6809"/>
    <w:rsid w:val="00FB68D9"/>
    <w:rsid w:val="00FC278C"/>
    <w:rsid w:val="00FD2428"/>
    <w:rsid w:val="00FE0B20"/>
    <w:rsid w:val="00FF1B0E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E0C8F"/>
  <w15:docId w15:val="{DF04666E-DCC3-4632-9D7E-FBD6AF8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6A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D3D87"/>
    <w:pPr>
      <w:keepNext/>
      <w:tabs>
        <w:tab w:val="left" w:pos="0"/>
        <w:tab w:val="left" w:pos="480"/>
        <w:tab w:val="left" w:pos="960"/>
        <w:tab w:val="left" w:pos="132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640"/>
        <w:tab w:val="left" w:pos="6000"/>
        <w:tab w:val="left" w:pos="6361"/>
        <w:tab w:val="left" w:pos="6720"/>
        <w:tab w:val="left" w:pos="6939"/>
        <w:tab w:val="left" w:pos="7320"/>
        <w:tab w:val="left" w:pos="792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B926A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SingleTxtGChar">
    <w:name w:val="_ Single Txt_G Char"/>
    <w:link w:val="SingleTxtG"/>
    <w:rsid w:val="00B926A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HChG">
    <w:name w:val="_ H _Ch_G"/>
    <w:basedOn w:val="Normal"/>
    <w:next w:val="Normal"/>
    <w:link w:val="HChGChar"/>
    <w:qFormat/>
    <w:rsid w:val="00B926A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B926A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A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6AC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B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CharChar">
    <w:name w:val="_ Single Txt_G Char Char"/>
    <w:rsid w:val="009B76AA"/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D3D87"/>
    <w:rPr>
      <w:rFonts w:ascii="Times New Roman" w:eastAsia="Times New Roman" w:hAnsi="Times New Roman" w:cs="Times New Roman"/>
      <w:b/>
      <w:bCs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semiHidden/>
    <w:rsid w:val="001D3D87"/>
    <w:pPr>
      <w:tabs>
        <w:tab w:val="left" w:pos="0"/>
        <w:tab w:val="left" w:pos="480"/>
        <w:tab w:val="left" w:pos="960"/>
        <w:tab w:val="left" w:pos="132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640"/>
        <w:tab w:val="left" w:pos="6000"/>
        <w:tab w:val="left" w:pos="6361"/>
        <w:tab w:val="left" w:pos="6720"/>
        <w:tab w:val="left" w:pos="6939"/>
        <w:tab w:val="left" w:pos="732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D3D87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M1">
    <w:name w:val="CM1"/>
    <w:basedOn w:val="Normal"/>
    <w:next w:val="Normal"/>
    <w:uiPriority w:val="99"/>
    <w:rsid w:val="001D3D8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ru-RU" w:eastAsia="ru-RU"/>
    </w:rPr>
  </w:style>
  <w:style w:type="paragraph" w:customStyle="1" w:styleId="CM3">
    <w:name w:val="CM3"/>
    <w:basedOn w:val="Normal"/>
    <w:next w:val="Normal"/>
    <w:uiPriority w:val="99"/>
    <w:rsid w:val="001D3D8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ru-RU" w:eastAsia="ru-RU"/>
    </w:rPr>
  </w:style>
  <w:style w:type="paragraph" w:customStyle="1" w:styleId="CM4">
    <w:name w:val="CM4"/>
    <w:basedOn w:val="Normal"/>
    <w:next w:val="Normal"/>
    <w:uiPriority w:val="99"/>
    <w:rsid w:val="001D3D8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87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96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B97185"/>
    <w:rPr>
      <w:color w:val="auto"/>
      <w:u w:val="none"/>
    </w:rPr>
  </w:style>
  <w:style w:type="character" w:customStyle="1" w:styleId="hvr">
    <w:name w:val="hvr"/>
    <w:basedOn w:val="DefaultParagraphFont"/>
    <w:rsid w:val="00B30BA9"/>
  </w:style>
  <w:style w:type="paragraph" w:customStyle="1" w:styleId="H1G">
    <w:name w:val="_ H_1_G"/>
    <w:basedOn w:val="Normal"/>
    <w:next w:val="Normal"/>
    <w:link w:val="H1GChar"/>
    <w:rsid w:val="000165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01652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Bullet1G">
    <w:name w:val="_Bullet 1_G"/>
    <w:basedOn w:val="Normal"/>
    <w:rsid w:val="00016529"/>
    <w:pPr>
      <w:tabs>
        <w:tab w:val="num" w:pos="1701"/>
      </w:tabs>
      <w:suppressAutoHyphens/>
      <w:spacing w:after="120" w:line="240" w:lineRule="atLeast"/>
      <w:ind w:left="1701" w:right="1134" w:hanging="170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52ADB"/>
    <w:pPr>
      <w:suppressAutoHyphens/>
      <w:spacing w:after="0" w:line="240" w:lineRule="atLeast"/>
      <w:ind w:leftChars="400" w:left="840"/>
    </w:pPr>
    <w:rPr>
      <w:rFonts w:ascii="Times New Roman" w:eastAsia="MS Mincho" w:hAnsi="Times New Roman"/>
      <w:sz w:val="20"/>
      <w:szCs w:val="20"/>
    </w:rPr>
  </w:style>
  <w:style w:type="paragraph" w:styleId="FootnoteText">
    <w:name w:val="footnote text"/>
    <w:aliases w:val="5_G,PP"/>
    <w:basedOn w:val="Normal"/>
    <w:link w:val="FootnoteTextChar"/>
    <w:unhideWhenUsed/>
    <w:qFormat/>
    <w:rsid w:val="00864636"/>
    <w:rPr>
      <w:sz w:val="20"/>
      <w:szCs w:val="20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6463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unhideWhenUsed/>
    <w:rsid w:val="00864636"/>
    <w:rPr>
      <w:vertAlign w:val="superscript"/>
    </w:rPr>
  </w:style>
  <w:style w:type="character" w:styleId="Strong">
    <w:name w:val="Strong"/>
    <w:basedOn w:val="DefaultParagraphFont"/>
    <w:uiPriority w:val="22"/>
    <w:qFormat/>
    <w:rsid w:val="006A408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6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E28"/>
    <w:pPr>
      <w:suppressAutoHyphens/>
      <w:spacing w:after="240" w:line="240" w:lineRule="atLeast"/>
      <w:ind w:left="1418" w:right="1134" w:hanging="1418"/>
    </w:pPr>
    <w:rPr>
      <w:rFonts w:ascii="Times New Roman" w:eastAsia="Times New Roman" w:hAnsi="Times New Roman"/>
      <w:sz w:val="24"/>
      <w:szCs w:val="20"/>
      <w:u w:val="single"/>
      <w:lang w:val="ca-ES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136E28"/>
    <w:rPr>
      <w:rFonts w:ascii="Times New Roman" w:eastAsia="Times New Roman" w:hAnsi="Times New Roman" w:cs="Times New Roman"/>
      <w:sz w:val="24"/>
      <w:szCs w:val="20"/>
      <w:u w:val="single"/>
      <w:lang w:val="ca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2019.citainsp.org/docu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03C3-7F91-44F3-BBCA-7B73DE83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Walter Nissler</cp:lastModifiedBy>
  <cp:revision>2</cp:revision>
  <cp:lastPrinted>2016-06-17T14:33:00Z</cp:lastPrinted>
  <dcterms:created xsi:type="dcterms:W3CDTF">2019-06-20T11:59:00Z</dcterms:created>
  <dcterms:modified xsi:type="dcterms:W3CDTF">2019-06-20T11:59:00Z</dcterms:modified>
</cp:coreProperties>
</file>