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3368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3368B" w:rsidP="0053368B">
            <w:pPr>
              <w:jc w:val="right"/>
            </w:pPr>
            <w:r w:rsidRPr="0053368B">
              <w:rPr>
                <w:sz w:val="40"/>
              </w:rPr>
              <w:t>ECE</w:t>
            </w:r>
            <w:r>
              <w:t>/TRANS/WP.29/GRB/2019/9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3368B" w:rsidP="00C97039">
            <w:pPr>
              <w:spacing w:before="240"/>
            </w:pPr>
            <w:r>
              <w:t>Distr. générale</w:t>
            </w:r>
          </w:p>
          <w:p w:rsidR="0053368B" w:rsidRDefault="0053368B" w:rsidP="0053368B">
            <w:pPr>
              <w:spacing w:line="240" w:lineRule="exact"/>
            </w:pPr>
            <w:r>
              <w:t>13 novembre 2018</w:t>
            </w:r>
          </w:p>
          <w:p w:rsidR="0053368B" w:rsidRDefault="0053368B" w:rsidP="0053368B">
            <w:pPr>
              <w:spacing w:line="240" w:lineRule="exact"/>
            </w:pPr>
            <w:r>
              <w:t>Français</w:t>
            </w:r>
          </w:p>
          <w:p w:rsidR="0053368B" w:rsidRPr="00DB58B5" w:rsidRDefault="0053368B" w:rsidP="0053368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3368B" w:rsidRDefault="0053368B"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53368B" w:rsidRDefault="0053368B" w:rsidP="00257168">
      <w:pPr>
        <w:spacing w:before="120" w:after="120" w:line="240" w:lineRule="exact"/>
        <w:rPr>
          <w:b/>
        </w:rPr>
      </w:pPr>
      <w:r>
        <w:rPr>
          <w:b/>
        </w:rPr>
        <w:t xml:space="preserve">Groupe de travail </w:t>
      </w:r>
      <w:r w:rsidR="00C23E58">
        <w:rPr>
          <w:b/>
        </w:rPr>
        <w:t>du bruit</w:t>
      </w:r>
    </w:p>
    <w:p w:rsidR="0053368B" w:rsidRDefault="00C23E58" w:rsidP="00257168">
      <w:pPr>
        <w:spacing w:before="120" w:line="240" w:lineRule="exact"/>
        <w:rPr>
          <w:b/>
        </w:rPr>
      </w:pPr>
      <w:r>
        <w:rPr>
          <w:b/>
        </w:rPr>
        <w:t>Soixante-neuvième</w:t>
      </w:r>
      <w:r w:rsidR="0053368B">
        <w:rPr>
          <w:b/>
        </w:rPr>
        <w:t xml:space="preserve"> session</w:t>
      </w:r>
    </w:p>
    <w:p w:rsidR="0053368B" w:rsidRDefault="00C23E58" w:rsidP="00257168">
      <w:pPr>
        <w:spacing w:line="240" w:lineRule="exact"/>
      </w:pPr>
      <w:r>
        <w:t>Genève, 22-25 janvier 2019</w:t>
      </w:r>
    </w:p>
    <w:p w:rsidR="0053368B" w:rsidRDefault="0053368B" w:rsidP="00257168">
      <w:pPr>
        <w:spacing w:line="240" w:lineRule="exact"/>
      </w:pPr>
      <w:r>
        <w:t>Point</w:t>
      </w:r>
      <w:r w:rsidR="00C23E58">
        <w:t> 4 a)</w:t>
      </w:r>
      <w:r>
        <w:t xml:space="preserve"> de l’ordre du jour</w:t>
      </w:r>
      <w:r w:rsidR="00C23E58">
        <w:t xml:space="preserve"> provisoire</w:t>
      </w:r>
    </w:p>
    <w:p w:rsidR="00C23E58" w:rsidRPr="00C23E58" w:rsidRDefault="00C23E58" w:rsidP="00C23E58">
      <w:pPr>
        <w:rPr>
          <w:b/>
          <w:lang w:val="fr-FR"/>
        </w:rPr>
      </w:pPr>
      <w:r w:rsidRPr="00C23E58">
        <w:rPr>
          <w:b/>
          <w:lang w:val="fr-FR"/>
        </w:rPr>
        <w:t xml:space="preserve">Règlement ONU </w:t>
      </w:r>
      <w:r w:rsidRPr="00C23E58">
        <w:rPr>
          <w:rFonts w:eastAsia="MS Mincho"/>
          <w:b/>
          <w:lang w:val="fr-FR"/>
        </w:rPr>
        <w:t>n</w:t>
      </w:r>
      <w:r w:rsidRPr="00C23E58">
        <w:rPr>
          <w:rFonts w:eastAsia="MS Mincho"/>
          <w:b/>
          <w:vertAlign w:val="superscript"/>
          <w:lang w:val="fr-FR"/>
        </w:rPr>
        <w:t>o</w:t>
      </w:r>
      <w:r w:rsidRPr="00C23E58">
        <w:rPr>
          <w:b/>
          <w:lang w:val="fr-FR"/>
        </w:rPr>
        <w:t> 51 (Bruit des v</w:t>
      </w:r>
      <w:r>
        <w:rPr>
          <w:b/>
          <w:lang w:val="fr-FR"/>
        </w:rPr>
        <w:t xml:space="preserve">éhicules </w:t>
      </w:r>
      <w:r>
        <w:rPr>
          <w:b/>
          <w:lang w:val="fr-FR"/>
        </w:rPr>
        <w:br/>
        <w:t>des catégories M et N) </w:t>
      </w:r>
      <w:r w:rsidRPr="00C23E58">
        <w:rPr>
          <w:b/>
          <w:lang w:val="fr-FR"/>
        </w:rPr>
        <w:t>: Extension</w:t>
      </w:r>
    </w:p>
    <w:p w:rsidR="00C23E58" w:rsidRPr="00BF2A00" w:rsidRDefault="00C23E58" w:rsidP="00C23E58">
      <w:pPr>
        <w:pStyle w:val="HChG"/>
        <w:rPr>
          <w:lang w:val="fr-FR"/>
        </w:rPr>
      </w:pPr>
      <w:r w:rsidRPr="00BF2A00">
        <w:rPr>
          <w:lang w:val="fr-FR"/>
        </w:rPr>
        <w:tab/>
      </w:r>
      <w:r w:rsidRPr="00BF2A00">
        <w:rPr>
          <w:lang w:val="fr-FR"/>
        </w:rPr>
        <w:tab/>
        <w:t>Proposition de rectificatif</w:t>
      </w:r>
      <w:r>
        <w:rPr>
          <w:lang w:val="fr-FR"/>
        </w:rPr>
        <w:t> 1 au complément </w:t>
      </w:r>
      <w:r w:rsidRPr="00BF2A00">
        <w:rPr>
          <w:lang w:val="fr-FR"/>
        </w:rPr>
        <w:t xml:space="preserve">4 </w:t>
      </w:r>
      <w:r>
        <w:rPr>
          <w:bCs/>
          <w:lang w:val="fr-FR"/>
        </w:rPr>
        <w:t>à la série </w:t>
      </w:r>
      <w:r w:rsidRPr="00BF2A00">
        <w:rPr>
          <w:bCs/>
          <w:lang w:val="fr-FR"/>
        </w:rPr>
        <w:t>03 d</w:t>
      </w:r>
      <w:r>
        <w:rPr>
          <w:bCs/>
          <w:lang w:val="fr-FR"/>
        </w:rPr>
        <w:t>’</w:t>
      </w:r>
      <w:r w:rsidRPr="00BF2A00">
        <w:rPr>
          <w:bCs/>
          <w:lang w:val="fr-FR"/>
        </w:rPr>
        <w:t xml:space="preserve">amendements </w:t>
      </w:r>
      <w:r w:rsidRPr="00BF2A00">
        <w:rPr>
          <w:lang w:val="fr-FR"/>
        </w:rPr>
        <w:t>au Règlement ONU n</w:t>
      </w:r>
      <w:r w:rsidRPr="00BF2A00">
        <w:rPr>
          <w:vertAlign w:val="superscript"/>
          <w:lang w:val="fr-FR"/>
        </w:rPr>
        <w:t>o</w:t>
      </w:r>
      <w:r w:rsidRPr="00BF2A00">
        <w:rPr>
          <w:lang w:val="fr-FR"/>
        </w:rPr>
        <w:t> 51</w:t>
      </w:r>
    </w:p>
    <w:p w:rsidR="00C23E58" w:rsidRPr="00BF2A00" w:rsidRDefault="00C23E58" w:rsidP="00C23E58">
      <w:pPr>
        <w:pStyle w:val="H1G"/>
        <w:rPr>
          <w:lang w:val="fr-FR"/>
        </w:rPr>
      </w:pPr>
      <w:r w:rsidRPr="00BF2A00">
        <w:rPr>
          <w:lang w:val="fr-FR"/>
        </w:rPr>
        <w:tab/>
      </w:r>
      <w:r w:rsidRPr="00BF2A00">
        <w:rPr>
          <w:lang w:val="fr-FR"/>
        </w:rPr>
        <w:tab/>
        <w:t>Communication du groupe de travail informel des prescriptions supplémentaires concernant les émissions sonores</w:t>
      </w:r>
      <w:r w:rsidRPr="00096EFC">
        <w:rPr>
          <w:rStyle w:val="FootnoteReference"/>
          <w:b w:val="0"/>
          <w:sz w:val="20"/>
          <w:vertAlign w:val="baseline"/>
        </w:rPr>
        <w:footnoteReference w:customMarkFollows="1" w:id="2"/>
        <w:t>*</w:t>
      </w:r>
    </w:p>
    <w:p w:rsidR="00C23E58" w:rsidRDefault="00C23E58" w:rsidP="00B63897">
      <w:pPr>
        <w:pStyle w:val="SingleTxtG"/>
        <w:ind w:firstLine="567"/>
        <w:rPr>
          <w:iCs/>
          <w:lang w:val="fr-FR"/>
        </w:rPr>
      </w:pPr>
      <w:r w:rsidRPr="00BF2A00">
        <w:rPr>
          <w:iCs/>
          <w:lang w:val="fr-FR"/>
        </w:rPr>
        <w:t>Le texte ci-après, établi par le groupe de travail informel des prescriptions supplémentaires concernant les émissions sonores (PSES), a pour objet d</w:t>
      </w:r>
      <w:r>
        <w:rPr>
          <w:iCs/>
          <w:lang w:val="fr-FR"/>
        </w:rPr>
        <w:t>’</w:t>
      </w:r>
      <w:r w:rsidRPr="00BF2A00">
        <w:rPr>
          <w:iCs/>
          <w:lang w:val="fr-FR"/>
        </w:rPr>
        <w:t xml:space="preserve">introduire une disposition transitoire semblable à la disposition transitoire figurant dans le </w:t>
      </w:r>
      <w:r w:rsidR="00B63897">
        <w:rPr>
          <w:iCs/>
          <w:lang w:val="fr-FR"/>
        </w:rPr>
        <w:t>complément </w:t>
      </w:r>
      <w:r w:rsidRPr="00BF2A00">
        <w:rPr>
          <w:iCs/>
          <w:lang w:val="fr-FR"/>
        </w:rPr>
        <w:t xml:space="preserve">3 et de réintroduire une phrase supprimée par erreur </w:t>
      </w:r>
      <w:r w:rsidR="00B63897">
        <w:rPr>
          <w:iCs/>
          <w:lang w:val="fr-FR"/>
        </w:rPr>
        <w:t>dans le complément 4 à la série </w:t>
      </w:r>
      <w:r w:rsidRPr="00BF2A00">
        <w:rPr>
          <w:iCs/>
          <w:lang w:val="fr-FR"/>
        </w:rPr>
        <w:t>03 d</w:t>
      </w:r>
      <w:r>
        <w:rPr>
          <w:iCs/>
          <w:lang w:val="fr-FR"/>
        </w:rPr>
        <w:t>’</w:t>
      </w:r>
      <w:r w:rsidRPr="00BF2A00">
        <w:rPr>
          <w:iCs/>
          <w:lang w:val="fr-FR"/>
        </w:rPr>
        <w:t xml:space="preserve">amendements au Règlement </w:t>
      </w:r>
      <w:r w:rsidR="001C764C">
        <w:rPr>
          <w:iCs/>
          <w:lang w:val="fr-FR"/>
        </w:rPr>
        <w:t xml:space="preserve">ONU </w:t>
      </w:r>
      <w:r w:rsidRPr="00BF2A00">
        <w:rPr>
          <w:iCs/>
          <w:lang w:val="fr-FR"/>
        </w:rPr>
        <w:t>n</w:t>
      </w:r>
      <w:r w:rsidRPr="00B63897">
        <w:rPr>
          <w:iCs/>
          <w:vertAlign w:val="superscript"/>
          <w:lang w:val="fr-FR"/>
        </w:rPr>
        <w:t>o</w:t>
      </w:r>
      <w:r w:rsidR="00B63897">
        <w:rPr>
          <w:iCs/>
          <w:lang w:val="fr-FR"/>
        </w:rPr>
        <w:t> </w:t>
      </w:r>
      <w:r w:rsidRPr="00BF2A00">
        <w:rPr>
          <w:iCs/>
          <w:lang w:val="fr-FR"/>
        </w:rPr>
        <w:t>51.</w:t>
      </w:r>
      <w:r w:rsidRPr="00BF2A00">
        <w:rPr>
          <w:lang w:val="fr-FR"/>
        </w:rPr>
        <w:t xml:space="preserve"> L</w:t>
      </w:r>
      <w:r>
        <w:rPr>
          <w:lang w:val="fr-FR"/>
        </w:rPr>
        <w:t>’</w:t>
      </w:r>
      <w:r w:rsidRPr="00BF2A00">
        <w:rPr>
          <w:lang w:val="fr-FR"/>
        </w:rPr>
        <w:t xml:space="preserve">amendement proposé est fondé sur le document ECE/TRANS/WP.29/2018/63, qui a été adopté par le </w:t>
      </w:r>
      <w:r w:rsidRPr="00BF2A00">
        <w:rPr>
          <w:iCs/>
          <w:lang w:val="fr-FR"/>
        </w:rPr>
        <w:t>Forum mondial de l</w:t>
      </w:r>
      <w:r>
        <w:rPr>
          <w:iCs/>
          <w:lang w:val="fr-FR"/>
        </w:rPr>
        <w:t>’</w:t>
      </w:r>
      <w:r w:rsidRPr="00BF2A00">
        <w:rPr>
          <w:iCs/>
          <w:lang w:val="fr-FR"/>
        </w:rPr>
        <w:t xml:space="preserve">harmonisation des Règlements concernant les véhicules </w:t>
      </w:r>
      <w:r w:rsidRPr="00BF2A00">
        <w:rPr>
          <w:lang w:val="fr-FR"/>
        </w:rPr>
        <w:t>à sa 175</w:t>
      </w:r>
      <w:r w:rsidR="00B63897" w:rsidRPr="00B63897">
        <w:rPr>
          <w:vertAlign w:val="superscript"/>
          <w:lang w:val="fr-FR"/>
        </w:rPr>
        <w:t>e</w:t>
      </w:r>
      <w:r w:rsidR="00B63897">
        <w:rPr>
          <w:lang w:val="fr-FR"/>
        </w:rPr>
        <w:t> </w:t>
      </w:r>
      <w:r w:rsidRPr="00BF2A00">
        <w:rPr>
          <w:lang w:val="fr-FR"/>
        </w:rPr>
        <w:t xml:space="preserve">session. </w:t>
      </w:r>
      <w:r w:rsidRPr="00BF2A00">
        <w:rPr>
          <w:iCs/>
          <w:lang w:val="fr-FR"/>
        </w:rPr>
        <w:t>Les modifications figurent en caractères gras pour les ajouts et biffés pour les suppressions.</w:t>
      </w:r>
    </w:p>
    <w:p w:rsidR="00C23E58" w:rsidRPr="00BF2A00" w:rsidRDefault="00B63897" w:rsidP="00B63897">
      <w:pPr>
        <w:pStyle w:val="HChG"/>
        <w:rPr>
          <w:lang w:val="fr-FR"/>
        </w:rPr>
      </w:pPr>
      <w:r>
        <w:rPr>
          <w:iCs/>
          <w:lang w:val="fr-FR"/>
        </w:rPr>
        <w:br w:type="page"/>
      </w:r>
      <w:r w:rsidR="00C23E58" w:rsidRPr="00BF2A00">
        <w:rPr>
          <w:lang w:val="fr-FR"/>
        </w:rPr>
        <w:lastRenderedPageBreak/>
        <w:tab/>
        <w:t>I.</w:t>
      </w:r>
      <w:r w:rsidR="00C23E58" w:rsidRPr="00BF2A00">
        <w:rPr>
          <w:lang w:val="fr-FR"/>
        </w:rPr>
        <w:tab/>
        <w:t>Proposition</w:t>
      </w:r>
    </w:p>
    <w:p w:rsidR="00C23E58" w:rsidRPr="00BF2A00" w:rsidRDefault="00C23E58" w:rsidP="00C23E58">
      <w:pPr>
        <w:pStyle w:val="SingleTxtG"/>
        <w:rPr>
          <w:lang w:val="fr-FR"/>
        </w:rPr>
      </w:pPr>
      <w:r w:rsidRPr="00BF2A00">
        <w:rPr>
          <w:i/>
          <w:iCs/>
          <w:lang w:val="fr-FR"/>
        </w:rPr>
        <w:t>Insérer un nouveau paragraphe</w:t>
      </w:r>
      <w:r w:rsidR="001C764C">
        <w:rPr>
          <w:i/>
          <w:iCs/>
          <w:lang w:val="fr-FR"/>
        </w:rPr>
        <w:t>,</w:t>
      </w:r>
      <w:r w:rsidR="00B63897">
        <w:rPr>
          <w:i/>
          <w:iCs/>
          <w:lang w:val="fr-FR"/>
        </w:rPr>
        <w:t xml:space="preserve"> libellé comme suit </w:t>
      </w:r>
      <w:r w:rsidRPr="00B63897">
        <w:rPr>
          <w:iCs/>
          <w:lang w:val="fr-FR"/>
        </w:rPr>
        <w:t>:</w:t>
      </w:r>
    </w:p>
    <w:p w:rsidR="00C23E58" w:rsidRPr="00BF2A00" w:rsidRDefault="00B63897" w:rsidP="005E4131">
      <w:pPr>
        <w:pStyle w:val="SingleTxtG"/>
        <w:ind w:left="2268" w:hanging="1134"/>
        <w:rPr>
          <w:b/>
          <w:lang w:val="fr-FR"/>
        </w:rPr>
      </w:pPr>
      <w:r>
        <w:rPr>
          <w:b/>
          <w:lang w:val="fr-FR"/>
        </w:rPr>
        <w:t>« </w:t>
      </w:r>
      <w:r w:rsidR="001C764C">
        <w:rPr>
          <w:b/>
          <w:lang w:val="fr-FR"/>
        </w:rPr>
        <w:t>11.10</w:t>
      </w:r>
      <w:r w:rsidR="00C23E58" w:rsidRPr="00BF2A00">
        <w:rPr>
          <w:b/>
          <w:lang w:val="fr-FR"/>
        </w:rPr>
        <w:tab/>
        <w:t>Jusqu</w:t>
      </w:r>
      <w:r w:rsidR="00C23E58">
        <w:rPr>
          <w:b/>
          <w:lang w:val="fr-FR"/>
        </w:rPr>
        <w:t>’</w:t>
      </w:r>
      <w:r>
        <w:rPr>
          <w:b/>
          <w:lang w:val="fr-FR"/>
        </w:rPr>
        <w:t>au 1</w:t>
      </w:r>
      <w:r w:rsidRPr="00B63897">
        <w:rPr>
          <w:b/>
          <w:vertAlign w:val="superscript"/>
          <w:lang w:val="fr-FR"/>
        </w:rPr>
        <w:t>er</w:t>
      </w:r>
      <w:r>
        <w:rPr>
          <w:b/>
          <w:lang w:val="fr-FR"/>
        </w:rPr>
        <w:t> mai 2020, le complément </w:t>
      </w:r>
      <w:r w:rsidR="00C23E58" w:rsidRPr="00BF2A00">
        <w:rPr>
          <w:b/>
          <w:lang w:val="fr-FR"/>
        </w:rPr>
        <w:t xml:space="preserve">4 </w:t>
      </w:r>
      <w:r w:rsidR="00C23E58" w:rsidRPr="00BF2A00">
        <w:rPr>
          <w:b/>
          <w:iCs/>
          <w:lang w:val="fr-FR"/>
        </w:rPr>
        <w:t>ne s</w:t>
      </w:r>
      <w:r w:rsidR="00C23E58">
        <w:rPr>
          <w:b/>
          <w:iCs/>
          <w:lang w:val="fr-FR"/>
        </w:rPr>
        <w:t>’</w:t>
      </w:r>
      <w:r w:rsidR="00C23E58" w:rsidRPr="00BF2A00">
        <w:rPr>
          <w:b/>
          <w:iCs/>
          <w:lang w:val="fr-FR"/>
        </w:rPr>
        <w:t xml:space="preserve">applique pas </w:t>
      </w:r>
      <w:r w:rsidR="00C23E58" w:rsidRPr="00BF2A00">
        <w:rPr>
          <w:b/>
          <w:lang w:val="fr-FR"/>
        </w:rPr>
        <w:t xml:space="preserve">aux </w:t>
      </w:r>
      <w:r w:rsidR="00C23E58" w:rsidRPr="00BF2A00">
        <w:rPr>
          <w:b/>
          <w:iCs/>
          <w:lang w:val="fr-FR"/>
        </w:rPr>
        <w:t>homologations existantes accordées initialement avant la date d</w:t>
      </w:r>
      <w:r w:rsidR="00C23E58">
        <w:rPr>
          <w:b/>
          <w:iCs/>
          <w:lang w:val="fr-FR"/>
        </w:rPr>
        <w:t>’</w:t>
      </w:r>
      <w:r>
        <w:rPr>
          <w:b/>
          <w:iCs/>
          <w:lang w:val="fr-FR"/>
        </w:rPr>
        <w:t>entrée en vigueur du complément </w:t>
      </w:r>
      <w:r w:rsidR="00C23E58" w:rsidRPr="00BF2A00">
        <w:rPr>
          <w:b/>
          <w:lang w:val="fr-FR"/>
        </w:rPr>
        <w:t>4.</w:t>
      </w:r>
      <w:r>
        <w:rPr>
          <w:b/>
          <w:lang w:val="fr-FR"/>
        </w:rPr>
        <w:t> »</w:t>
      </w:r>
      <w:r w:rsidR="00C23E58">
        <w:rPr>
          <w:b/>
          <w:lang w:val="fr-FR"/>
        </w:rPr>
        <w:t>.</w:t>
      </w:r>
    </w:p>
    <w:p w:rsidR="00C23E58" w:rsidRPr="00BF2A00" w:rsidRDefault="00C23E58" w:rsidP="00C23E58">
      <w:pPr>
        <w:pStyle w:val="SingleTxtG"/>
        <w:rPr>
          <w:i/>
          <w:lang w:val="fr-FR"/>
        </w:rPr>
      </w:pPr>
      <w:r w:rsidRPr="00BF2A00">
        <w:rPr>
          <w:i/>
          <w:lang w:val="fr-FR"/>
        </w:rPr>
        <w:t>Annexe 3, paragraphe 3.1.2.1.4.2, lire</w:t>
      </w:r>
      <w:r w:rsidR="00B63897">
        <w:rPr>
          <w:i/>
          <w:lang w:val="fr-FR"/>
        </w:rPr>
        <w:t> </w:t>
      </w:r>
      <w:r w:rsidRPr="00B63897">
        <w:rPr>
          <w:lang w:val="fr-FR"/>
        </w:rPr>
        <w:t>:</w:t>
      </w:r>
    </w:p>
    <w:p w:rsidR="00C23E58" w:rsidRPr="00BF2A00" w:rsidRDefault="00B63897" w:rsidP="005E4131">
      <w:pPr>
        <w:pStyle w:val="SingleTxtG"/>
        <w:ind w:left="2268" w:hanging="1134"/>
        <w:rPr>
          <w:lang w:val="fr-FR"/>
        </w:rPr>
      </w:pPr>
      <w:r>
        <w:rPr>
          <w:lang w:val="fr-FR"/>
        </w:rPr>
        <w:t>« </w:t>
      </w:r>
      <w:r w:rsidR="001C764C">
        <w:rPr>
          <w:lang w:val="fr-FR"/>
        </w:rPr>
        <w:t>3.1.2.1.4.2</w:t>
      </w:r>
      <w:r w:rsidR="00C23E58" w:rsidRPr="00BF2A00">
        <w:rPr>
          <w:lang w:val="fr-FR"/>
        </w:rPr>
        <w:tab/>
        <w:t>Véhicules équipés d</w:t>
      </w:r>
      <w:r w:rsidR="00C23E58">
        <w:rPr>
          <w:lang w:val="fr-FR"/>
        </w:rPr>
        <w:t>’</w:t>
      </w:r>
      <w:r w:rsidR="00C23E58" w:rsidRPr="00BF2A00">
        <w:rPr>
          <w:lang w:val="fr-FR"/>
        </w:rPr>
        <w:t>une boîte de vitesses automatique, d</w:t>
      </w:r>
      <w:r w:rsidR="00C23E58">
        <w:rPr>
          <w:lang w:val="fr-FR"/>
        </w:rPr>
        <w:t>’</w:t>
      </w:r>
      <w:r w:rsidR="00C23E58" w:rsidRPr="00BF2A00">
        <w:rPr>
          <w:lang w:val="fr-FR"/>
        </w:rPr>
        <w:t>une transmission adaptative ou d</w:t>
      </w:r>
      <w:r w:rsidR="00C23E58">
        <w:rPr>
          <w:lang w:val="fr-FR"/>
        </w:rPr>
        <w:t>’</w:t>
      </w:r>
      <w:r w:rsidR="00C23E58" w:rsidRPr="00BF2A00">
        <w:rPr>
          <w:lang w:val="fr-FR"/>
        </w:rPr>
        <w:t>une transmission à variation continue et soumis à l</w:t>
      </w:r>
      <w:r w:rsidR="00C23E58">
        <w:rPr>
          <w:lang w:val="fr-FR"/>
        </w:rPr>
        <w:t>’</w:t>
      </w:r>
      <w:r w:rsidR="00C23E58" w:rsidRPr="00BF2A00">
        <w:rPr>
          <w:lang w:val="fr-FR"/>
        </w:rPr>
        <w:t>essai rapports non bloqués</w:t>
      </w:r>
      <w:r>
        <w:rPr>
          <w:lang w:val="fr-FR"/>
        </w:rPr>
        <w:t> </w:t>
      </w:r>
      <w:r w:rsidR="00C23E58" w:rsidRPr="00BF2A00">
        <w:rPr>
          <w:lang w:val="fr-FR"/>
        </w:rPr>
        <w:t>:</w:t>
      </w:r>
    </w:p>
    <w:p w:rsidR="00C23E58" w:rsidRPr="00BF2A00" w:rsidRDefault="00C23E58" w:rsidP="005E4131">
      <w:pPr>
        <w:pStyle w:val="SingleTxtG"/>
        <w:ind w:left="2268"/>
        <w:rPr>
          <w:lang w:val="fr-FR"/>
        </w:rPr>
      </w:pPr>
      <w:r w:rsidRPr="00BF2A00">
        <w:rPr>
          <w:lang w:val="fr-FR"/>
        </w:rPr>
        <w:tab/>
        <w:t>Le sélecteur est placé dans la position correspondant au fonctionnement tout automatique.</w:t>
      </w:r>
    </w:p>
    <w:p w:rsidR="00C23E58" w:rsidRPr="00B63897" w:rsidRDefault="00C23E58" w:rsidP="005E4131">
      <w:pPr>
        <w:pStyle w:val="SingleTxtG"/>
        <w:ind w:left="2268"/>
        <w:rPr>
          <w:lang w:val="fr-FR"/>
        </w:rPr>
      </w:pPr>
      <w:r w:rsidRPr="00B63897">
        <w:rPr>
          <w:lang w:val="fr-FR"/>
        </w:rPr>
        <w:tab/>
        <w:t>La valeur d’accélération a</w:t>
      </w:r>
      <w:r w:rsidRPr="00B63897">
        <w:rPr>
          <w:vertAlign w:val="subscript"/>
          <w:lang w:val="fr-FR"/>
        </w:rPr>
        <w:t>wot</w:t>
      </w:r>
      <w:r w:rsidRPr="00B63897">
        <w:rPr>
          <w:lang w:val="fr-FR"/>
        </w:rPr>
        <w:t> </w:t>
      </w:r>
      <w:r w:rsidRPr="001C764C">
        <w:rPr>
          <w:b/>
          <w:vertAlign w:val="subscript"/>
          <w:lang w:val="fr-FR"/>
        </w:rPr>
        <w:t>test</w:t>
      </w:r>
      <w:r w:rsidRPr="00B63897">
        <w:rPr>
          <w:lang w:val="fr-FR"/>
        </w:rPr>
        <w:t xml:space="preserve"> doit être calculée comme indiqué au paragraphe 3.1.2.1.2.2.</w:t>
      </w:r>
    </w:p>
    <w:p w:rsidR="00C23E58" w:rsidRPr="00B63897" w:rsidRDefault="00C23E58" w:rsidP="005E4131">
      <w:pPr>
        <w:pStyle w:val="SingleTxtG"/>
        <w:ind w:left="2268"/>
        <w:rPr>
          <w:lang w:val="fr-FR"/>
        </w:rPr>
      </w:pPr>
      <w:r w:rsidRPr="00B63897">
        <w:rPr>
          <w:lang w:val="fr-FR"/>
        </w:rPr>
        <w:tab/>
        <w:t>Au cours de l’essai, il peut y avoir passage à un rapport inférieur et à une accélération plus forte. Par contre il ne doit pas y avoir passage à un rapport supérieur et à une accélération plus faible. Tout passage sur un rapport qui n’est pas utilisé en circulation urbaine doit être évité.</w:t>
      </w:r>
    </w:p>
    <w:p w:rsidR="00C23E58" w:rsidRPr="00B63897" w:rsidRDefault="00C23E58" w:rsidP="005E4131">
      <w:pPr>
        <w:pStyle w:val="SingleTxtG"/>
        <w:ind w:left="2268"/>
        <w:rPr>
          <w:lang w:val="fr-FR"/>
        </w:rPr>
      </w:pPr>
      <w:r w:rsidRPr="00B63897">
        <w:rPr>
          <w:snapToGrid w:val="0"/>
          <w:lang w:val="fr-FR"/>
        </w:rPr>
        <w:tab/>
      </w:r>
      <w:r w:rsidRPr="00B63897">
        <w:rPr>
          <w:lang w:val="fr-FR"/>
        </w:rPr>
        <w:t>Il est donc autorisé d’installer et d’utiliser un dispositif électronique ou mécanique, voire de changer la position du sélecteur, pour empêcher le rétrogradage sur un rapport qui n’est généralement pas utilisé en conduite urbaine dans les conditions d’essai prescrites.</w:t>
      </w:r>
    </w:p>
    <w:p w:rsidR="00C23E58" w:rsidRPr="00B63897" w:rsidRDefault="00C23E58" w:rsidP="005E4131">
      <w:pPr>
        <w:pStyle w:val="SingleTxtG"/>
        <w:ind w:left="2268"/>
        <w:rPr>
          <w:b/>
          <w:lang w:val="fr-FR"/>
        </w:rPr>
      </w:pPr>
      <w:r w:rsidRPr="005E4131">
        <w:rPr>
          <w:b/>
          <w:lang w:val="fr-FR"/>
        </w:rPr>
        <w:tab/>
        <w:t>L’accélération a</w:t>
      </w:r>
      <w:r w:rsidRPr="005E4131">
        <w:rPr>
          <w:b/>
          <w:vertAlign w:val="subscript"/>
          <w:lang w:val="fr-FR"/>
        </w:rPr>
        <w:t>wot</w:t>
      </w:r>
      <w:r w:rsidRPr="00650975">
        <w:rPr>
          <w:b/>
          <w:lang w:val="fr-FR"/>
        </w:rPr>
        <w:t> </w:t>
      </w:r>
      <w:r w:rsidRPr="005E4131">
        <w:rPr>
          <w:b/>
          <w:vertAlign w:val="subscript"/>
          <w:lang w:val="fr-FR"/>
        </w:rPr>
        <w:t>test</w:t>
      </w:r>
      <w:r w:rsidRPr="00B63897">
        <w:rPr>
          <w:b/>
          <w:lang w:val="fr-FR"/>
        </w:rPr>
        <w:t xml:space="preserve"> obtenue doit être supérieure ou égale à a</w:t>
      </w:r>
      <w:r w:rsidRPr="00B63897">
        <w:rPr>
          <w:b/>
          <w:vertAlign w:val="subscript"/>
          <w:lang w:val="fr-FR"/>
        </w:rPr>
        <w:t>urban</w:t>
      </w:r>
      <w:r w:rsidRPr="00B63897">
        <w:rPr>
          <w:b/>
          <w:lang w:val="fr-FR"/>
        </w:rPr>
        <w:t>.</w:t>
      </w:r>
    </w:p>
    <w:p w:rsidR="00C23E58" w:rsidRPr="00BF2A00" w:rsidRDefault="00C23E58" w:rsidP="005E4131">
      <w:pPr>
        <w:pStyle w:val="SingleTxtG"/>
        <w:ind w:left="2268"/>
        <w:rPr>
          <w:lang w:val="fr-FR"/>
        </w:rPr>
      </w:pPr>
      <w:r w:rsidRPr="00B63897">
        <w:rPr>
          <w:lang w:val="fr-FR"/>
        </w:rPr>
        <w:t>Dans la mesure du possible, le constructeur doit prendre des mesures pour éviter toute accélération</w:t>
      </w:r>
      <w:r w:rsidR="00497EBC">
        <w:rPr>
          <w:lang w:val="fr-FR"/>
        </w:rPr>
        <w:t xml:space="preserve"> a</w:t>
      </w:r>
      <w:r w:rsidR="00497EBC" w:rsidRPr="001C764C">
        <w:rPr>
          <w:vertAlign w:val="subscript"/>
          <w:lang w:val="fr-FR"/>
        </w:rPr>
        <w:t>wot test</w:t>
      </w:r>
      <w:r w:rsidR="00497EBC">
        <w:rPr>
          <w:lang w:val="fr-FR"/>
        </w:rPr>
        <w:t xml:space="preserve"> supérieure à 2,0 </w:t>
      </w:r>
      <w:r w:rsidRPr="00BF2A00">
        <w:rPr>
          <w:lang w:val="fr-FR"/>
        </w:rPr>
        <w:t>m/s</w:t>
      </w:r>
      <w:r w:rsidRPr="00497EBC">
        <w:rPr>
          <w:vertAlign w:val="superscript"/>
          <w:lang w:val="fr-FR"/>
        </w:rPr>
        <w:t>2</w:t>
      </w:r>
      <w:r w:rsidRPr="00BF2A00">
        <w:rPr>
          <w:lang w:val="fr-FR"/>
        </w:rPr>
        <w:t>.</w:t>
      </w:r>
    </w:p>
    <w:p w:rsidR="00C23E58" w:rsidRPr="00BF2A00" w:rsidRDefault="00C23E58" w:rsidP="005E4131">
      <w:pPr>
        <w:pStyle w:val="SingleTxtG"/>
        <w:ind w:left="2268"/>
        <w:rPr>
          <w:lang w:val="fr-FR"/>
        </w:rPr>
      </w:pPr>
      <w:r w:rsidRPr="00BF2A00">
        <w:rPr>
          <w:lang w:val="fr-FR"/>
        </w:rPr>
        <w:t>Le tableau</w:t>
      </w:r>
      <w:r w:rsidR="00497EBC">
        <w:rPr>
          <w:lang w:val="fr-FR"/>
        </w:rPr>
        <w:t> </w:t>
      </w:r>
      <w:r w:rsidRPr="00BF2A00">
        <w:rPr>
          <w:lang w:val="fr-FR"/>
        </w:rPr>
        <w:t>1 de l</w:t>
      </w:r>
      <w:r>
        <w:rPr>
          <w:lang w:val="fr-FR"/>
        </w:rPr>
        <w:t>’</w:t>
      </w:r>
      <w:r w:rsidRPr="00BF2A00">
        <w:rPr>
          <w:lang w:val="fr-FR"/>
        </w:rPr>
        <w:t>appendice de l</w:t>
      </w:r>
      <w:r>
        <w:rPr>
          <w:lang w:val="fr-FR"/>
        </w:rPr>
        <w:t>’</w:t>
      </w:r>
      <w:r w:rsidR="00497EBC">
        <w:rPr>
          <w:lang w:val="fr-FR"/>
        </w:rPr>
        <w:t>annexe </w:t>
      </w:r>
      <w:r w:rsidRPr="00BF2A00">
        <w:rPr>
          <w:lang w:val="fr-FR"/>
        </w:rPr>
        <w:t xml:space="preserve">3 donne des exemples de solutions valables pour le contrôle du rétrogradage ou pour éviter les </w:t>
      </w:r>
      <w:r w:rsidR="00497EBC">
        <w:rPr>
          <w:lang w:val="fr-FR"/>
        </w:rPr>
        <w:t>accélérations supérieures à 2,0 </w:t>
      </w:r>
      <w:r w:rsidRPr="00BF2A00">
        <w:rPr>
          <w:lang w:val="fr-FR"/>
        </w:rPr>
        <w:t>m/s</w:t>
      </w:r>
      <w:r w:rsidRPr="00497EBC">
        <w:rPr>
          <w:vertAlign w:val="superscript"/>
          <w:lang w:val="fr-FR"/>
        </w:rPr>
        <w:t>2</w:t>
      </w:r>
      <w:r w:rsidRPr="00BF2A00">
        <w:rPr>
          <w:lang w:val="fr-FR"/>
        </w:rPr>
        <w:t>. La solution choisie par le constructeur doit être consignée dans le procès-verbal d</w:t>
      </w:r>
      <w:r>
        <w:rPr>
          <w:lang w:val="fr-FR"/>
        </w:rPr>
        <w:t>’</w:t>
      </w:r>
      <w:r w:rsidRPr="00BF2A00">
        <w:rPr>
          <w:lang w:val="fr-FR"/>
        </w:rPr>
        <w:t>essai</w:t>
      </w:r>
      <w:r w:rsidR="00497EBC">
        <w:rPr>
          <w:lang w:val="fr-FR"/>
        </w:rPr>
        <w:t>.</w:t>
      </w:r>
    </w:p>
    <w:p w:rsidR="00C23E58" w:rsidRPr="00BF2A00" w:rsidRDefault="00C23E58" w:rsidP="005E4131">
      <w:pPr>
        <w:pStyle w:val="SingleTxtG"/>
        <w:ind w:left="2268"/>
        <w:rPr>
          <w:lang w:val="fr-FR"/>
        </w:rPr>
      </w:pPr>
      <w:r w:rsidRPr="00BF2A00">
        <w:rPr>
          <w:lang w:val="fr-FR"/>
        </w:rPr>
        <w:tab/>
        <w:t>L</w:t>
      </w:r>
      <w:r>
        <w:rPr>
          <w:lang w:val="fr-FR"/>
        </w:rPr>
        <w:t>’</w:t>
      </w:r>
      <w:r w:rsidRPr="00BF2A00">
        <w:rPr>
          <w:lang w:val="fr-FR"/>
        </w:rPr>
        <w:t>accélération a</w:t>
      </w:r>
      <w:r w:rsidRPr="00BF2A00">
        <w:rPr>
          <w:vertAlign w:val="subscript"/>
          <w:lang w:val="fr-FR"/>
        </w:rPr>
        <w:t>wot test</w:t>
      </w:r>
      <w:r w:rsidRPr="00BF2A00">
        <w:rPr>
          <w:lang w:val="fr-FR"/>
        </w:rPr>
        <w:t xml:space="preserve"> obtenue est ensuite utilisée pour le calcul du facteur de puissance partielle k</w:t>
      </w:r>
      <w:r w:rsidRPr="00BF2A00">
        <w:rPr>
          <w:vertAlign w:val="subscript"/>
          <w:lang w:val="fr-FR"/>
        </w:rPr>
        <w:t>P</w:t>
      </w:r>
      <w:r w:rsidRPr="00BF2A00">
        <w:rPr>
          <w:lang w:val="fr-FR"/>
        </w:rPr>
        <w:t xml:space="preserve"> (voir par. 3.1.2.1.3) en lieu et place de a</w:t>
      </w:r>
      <w:r w:rsidRPr="00BF2A00">
        <w:rPr>
          <w:vertAlign w:val="subscript"/>
          <w:lang w:val="fr-FR"/>
        </w:rPr>
        <w:t>wot</w:t>
      </w:r>
      <w:r w:rsidRPr="00650975">
        <w:rPr>
          <w:lang w:val="fr-FR"/>
        </w:rPr>
        <w:t> </w:t>
      </w:r>
      <w:r w:rsidRPr="00BF2A00">
        <w:rPr>
          <w:vertAlign w:val="subscript"/>
          <w:lang w:val="fr-FR"/>
        </w:rPr>
        <w:t>ref</w:t>
      </w:r>
      <w:r w:rsidRPr="00BF2A00">
        <w:rPr>
          <w:lang w:val="fr-FR"/>
        </w:rPr>
        <w:t>.</w:t>
      </w:r>
      <w:r w:rsidR="001C764C">
        <w:rPr>
          <w:lang w:val="fr-FR"/>
        </w:rPr>
        <w:t> ».</w:t>
      </w:r>
    </w:p>
    <w:p w:rsidR="00C23E58" w:rsidRPr="00BF2A00" w:rsidRDefault="00B63897" w:rsidP="00B63897">
      <w:pPr>
        <w:pStyle w:val="HChG"/>
        <w:rPr>
          <w:lang w:val="fr-FR"/>
        </w:rPr>
      </w:pPr>
      <w:r>
        <w:rPr>
          <w:lang w:val="fr-FR"/>
        </w:rPr>
        <w:tab/>
      </w:r>
      <w:r w:rsidR="00C23E58" w:rsidRPr="00BF2A00">
        <w:rPr>
          <w:lang w:val="fr-FR"/>
        </w:rPr>
        <w:t>II.</w:t>
      </w:r>
      <w:r w:rsidR="00C23E58" w:rsidRPr="00BF2A00">
        <w:rPr>
          <w:lang w:val="fr-FR"/>
        </w:rPr>
        <w:tab/>
        <w:t>Justification</w:t>
      </w:r>
    </w:p>
    <w:p w:rsidR="00C23E58" w:rsidRPr="00BF2A00" w:rsidRDefault="00B63897" w:rsidP="00C23E58">
      <w:pPr>
        <w:pStyle w:val="SingleTxtG"/>
        <w:rPr>
          <w:i/>
          <w:lang w:val="fr-FR"/>
        </w:rPr>
      </w:pPr>
      <w:r>
        <w:rPr>
          <w:i/>
          <w:iCs/>
          <w:lang w:val="fr-FR"/>
        </w:rPr>
        <w:t>Paragraphe </w:t>
      </w:r>
      <w:r w:rsidR="00C23E58" w:rsidRPr="00BF2A00">
        <w:rPr>
          <w:i/>
          <w:iCs/>
          <w:lang w:val="fr-FR"/>
        </w:rPr>
        <w:t>11.10. du texte principal</w:t>
      </w:r>
    </w:p>
    <w:p w:rsidR="00C23E58" w:rsidRPr="00BF2A00" w:rsidRDefault="00C23E58" w:rsidP="00C23E58">
      <w:pPr>
        <w:pStyle w:val="SingleTxtG"/>
        <w:rPr>
          <w:lang w:val="fr-FR"/>
        </w:rPr>
      </w:pPr>
      <w:r w:rsidRPr="00BF2A00">
        <w:rPr>
          <w:lang w:val="fr-FR"/>
        </w:rPr>
        <w:t>1.</w:t>
      </w:r>
      <w:r w:rsidRPr="00BF2A00">
        <w:rPr>
          <w:lang w:val="fr-FR"/>
        </w:rPr>
        <w:tab/>
      </w:r>
      <w:r w:rsidR="00B63897">
        <w:rPr>
          <w:lang w:val="fr-FR"/>
        </w:rPr>
        <w:t>En raison de la révision </w:t>
      </w:r>
      <w:r w:rsidRPr="00BF2A00">
        <w:rPr>
          <w:lang w:val="fr-FR"/>
        </w:rPr>
        <w:t>3 de l</w:t>
      </w:r>
      <w:r>
        <w:rPr>
          <w:lang w:val="fr-FR"/>
        </w:rPr>
        <w:t>’</w:t>
      </w:r>
      <w:r w:rsidRPr="00BF2A00">
        <w:rPr>
          <w:lang w:val="fr-FR"/>
        </w:rPr>
        <w:t>Accord de 1958 et de l</w:t>
      </w:r>
      <w:r>
        <w:rPr>
          <w:lang w:val="fr-FR"/>
        </w:rPr>
        <w:t>’</w:t>
      </w:r>
      <w:r w:rsidRPr="00BF2A00">
        <w:rPr>
          <w:lang w:val="fr-FR"/>
        </w:rPr>
        <w:t>introduction d</w:t>
      </w:r>
      <w:r>
        <w:rPr>
          <w:lang w:val="fr-FR"/>
        </w:rPr>
        <w:t>’</w:t>
      </w:r>
      <w:r w:rsidRPr="00BF2A00">
        <w:rPr>
          <w:lang w:val="fr-FR"/>
        </w:rPr>
        <w:t xml:space="preserve">une disposition transitoire dans le </w:t>
      </w:r>
      <w:r w:rsidR="00B63897">
        <w:rPr>
          <w:lang w:val="fr-FR"/>
        </w:rPr>
        <w:t>complément </w:t>
      </w:r>
      <w:r w:rsidRPr="00BF2A00">
        <w:rPr>
          <w:lang w:val="fr-FR"/>
        </w:rPr>
        <w:t>3, il est nécessaire d</w:t>
      </w:r>
      <w:r>
        <w:rPr>
          <w:lang w:val="fr-FR"/>
        </w:rPr>
        <w:t>’</w:t>
      </w:r>
      <w:r w:rsidRPr="00BF2A00">
        <w:rPr>
          <w:lang w:val="fr-FR"/>
        </w:rPr>
        <w:t>introduire également une disposition</w:t>
      </w:r>
      <w:r w:rsidR="00B63897">
        <w:rPr>
          <w:lang w:val="fr-FR"/>
        </w:rPr>
        <w:t xml:space="preserve"> transitoire dans le complément </w:t>
      </w:r>
      <w:r w:rsidRPr="00BF2A00">
        <w:rPr>
          <w:lang w:val="fr-FR"/>
        </w:rPr>
        <w:t xml:space="preserve">4. La date de mise en application </w:t>
      </w:r>
      <w:r>
        <w:rPr>
          <w:lang w:val="fr-FR"/>
        </w:rPr>
        <w:t>indiquée</w:t>
      </w:r>
      <w:r w:rsidRPr="00BF2A00">
        <w:rPr>
          <w:lang w:val="fr-FR"/>
        </w:rPr>
        <w:t xml:space="preserve"> dans le complément</w:t>
      </w:r>
      <w:r w:rsidR="00B63897">
        <w:rPr>
          <w:lang w:val="fr-FR"/>
        </w:rPr>
        <w:t> </w:t>
      </w:r>
      <w:r w:rsidRPr="00BF2A00">
        <w:rPr>
          <w:lang w:val="fr-FR"/>
        </w:rPr>
        <w:t xml:space="preserve">4 est la même que dans </w:t>
      </w:r>
      <w:r w:rsidR="00B63897">
        <w:rPr>
          <w:lang w:val="fr-FR"/>
        </w:rPr>
        <w:t>le complément </w:t>
      </w:r>
      <w:r w:rsidRPr="00BF2A00">
        <w:rPr>
          <w:lang w:val="fr-FR"/>
        </w:rPr>
        <w:t>3.</w:t>
      </w:r>
    </w:p>
    <w:p w:rsidR="00C23E58" w:rsidRPr="00BF2A00" w:rsidRDefault="00C23E58" w:rsidP="00C23E58">
      <w:pPr>
        <w:pStyle w:val="SingleTxtG"/>
        <w:rPr>
          <w:i/>
          <w:lang w:val="fr-FR"/>
        </w:rPr>
      </w:pPr>
      <w:r w:rsidRPr="00BF2A00">
        <w:rPr>
          <w:i/>
          <w:iCs/>
          <w:lang w:val="fr-FR"/>
        </w:rPr>
        <w:t>Annexe 3</w:t>
      </w:r>
    </w:p>
    <w:p w:rsidR="00C23E58" w:rsidRDefault="00C23E58" w:rsidP="00C23E58">
      <w:pPr>
        <w:pStyle w:val="SingleTxtG"/>
        <w:rPr>
          <w:lang w:val="fr-FR"/>
        </w:rPr>
      </w:pPr>
      <w:r w:rsidRPr="00BF2A00">
        <w:rPr>
          <w:lang w:val="fr-FR"/>
        </w:rPr>
        <w:t>2.</w:t>
      </w:r>
      <w:r w:rsidRPr="00BF2A00">
        <w:rPr>
          <w:lang w:val="fr-FR"/>
        </w:rPr>
        <w:tab/>
        <w:t xml:space="preserve">La phrase en caractères gras a été supprimée par erreur </w:t>
      </w:r>
      <w:r w:rsidR="00B63897">
        <w:rPr>
          <w:lang w:val="fr-FR"/>
        </w:rPr>
        <w:t>et doit être réintroduite. Pour </w:t>
      </w:r>
      <w:r w:rsidRPr="00BF2A00">
        <w:rPr>
          <w:lang w:val="fr-FR"/>
        </w:rPr>
        <w:t>plus de clarté, le texte complet du paragraphe 3.1.2.1.4.2 a été repris.</w:t>
      </w:r>
    </w:p>
    <w:p w:rsidR="00B63897" w:rsidRPr="00B63897" w:rsidRDefault="00B63897" w:rsidP="00B63897">
      <w:pPr>
        <w:pStyle w:val="SingleTxtG"/>
        <w:spacing w:before="240" w:after="0"/>
        <w:jc w:val="center"/>
        <w:rPr>
          <w:u w:val="single"/>
        </w:rPr>
      </w:pPr>
      <w:r>
        <w:rPr>
          <w:u w:val="single"/>
        </w:rPr>
        <w:tab/>
      </w:r>
      <w:r>
        <w:rPr>
          <w:u w:val="single"/>
        </w:rPr>
        <w:tab/>
      </w:r>
      <w:r>
        <w:rPr>
          <w:u w:val="single"/>
        </w:rPr>
        <w:tab/>
      </w:r>
    </w:p>
    <w:sectPr w:rsidR="00B63897" w:rsidRPr="00B63897" w:rsidSect="0053368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D68" w:rsidRDefault="00593D68" w:rsidP="00F95C08">
      <w:pPr>
        <w:spacing w:line="240" w:lineRule="auto"/>
      </w:pPr>
    </w:p>
  </w:endnote>
  <w:endnote w:type="continuationSeparator" w:id="0">
    <w:p w:rsidR="00593D68" w:rsidRPr="00AC3823" w:rsidRDefault="00593D68" w:rsidP="00AC3823">
      <w:pPr>
        <w:pStyle w:val="Footer"/>
      </w:pPr>
    </w:p>
  </w:endnote>
  <w:endnote w:type="continuationNotice" w:id="1">
    <w:p w:rsidR="00593D68" w:rsidRDefault="00593D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68B" w:rsidRPr="0053368B" w:rsidRDefault="0053368B" w:rsidP="0053368B">
    <w:pPr>
      <w:pStyle w:val="Footer"/>
      <w:tabs>
        <w:tab w:val="right" w:pos="9638"/>
      </w:tabs>
    </w:pPr>
    <w:r w:rsidRPr="0053368B">
      <w:rPr>
        <w:b/>
        <w:sz w:val="18"/>
      </w:rPr>
      <w:fldChar w:fldCharType="begin"/>
    </w:r>
    <w:r w:rsidRPr="0053368B">
      <w:rPr>
        <w:b/>
        <w:sz w:val="18"/>
      </w:rPr>
      <w:instrText xml:space="preserve"> PAGE  \* MERGEFORMAT </w:instrText>
    </w:r>
    <w:r w:rsidRPr="0053368B">
      <w:rPr>
        <w:b/>
        <w:sz w:val="18"/>
      </w:rPr>
      <w:fldChar w:fldCharType="separate"/>
    </w:r>
    <w:r w:rsidR="006B567A">
      <w:rPr>
        <w:b/>
        <w:noProof/>
        <w:sz w:val="18"/>
      </w:rPr>
      <w:t>2</w:t>
    </w:r>
    <w:r w:rsidRPr="0053368B">
      <w:rPr>
        <w:b/>
        <w:sz w:val="18"/>
      </w:rPr>
      <w:fldChar w:fldCharType="end"/>
    </w:r>
    <w:r>
      <w:rPr>
        <w:b/>
        <w:sz w:val="18"/>
      </w:rPr>
      <w:tab/>
    </w:r>
    <w:r>
      <w:t>GE.18-19182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68B" w:rsidRPr="0053368B" w:rsidRDefault="0053368B" w:rsidP="0053368B">
    <w:pPr>
      <w:pStyle w:val="Footer"/>
      <w:tabs>
        <w:tab w:val="right" w:pos="9638"/>
      </w:tabs>
      <w:rPr>
        <w:b/>
        <w:sz w:val="18"/>
      </w:rPr>
    </w:pPr>
    <w:r>
      <w:t>GE.18-19182</w:t>
    </w:r>
    <w:r>
      <w:tab/>
    </w:r>
    <w:r w:rsidRPr="0053368B">
      <w:rPr>
        <w:b/>
        <w:sz w:val="18"/>
      </w:rPr>
      <w:fldChar w:fldCharType="begin"/>
    </w:r>
    <w:r w:rsidRPr="0053368B">
      <w:rPr>
        <w:b/>
        <w:sz w:val="18"/>
      </w:rPr>
      <w:instrText xml:space="preserve"> PAGE  \* MERGEFORMAT </w:instrText>
    </w:r>
    <w:r w:rsidRPr="0053368B">
      <w:rPr>
        <w:b/>
        <w:sz w:val="18"/>
      </w:rPr>
      <w:fldChar w:fldCharType="separate"/>
    </w:r>
    <w:r w:rsidR="00096EFC">
      <w:rPr>
        <w:b/>
        <w:noProof/>
        <w:sz w:val="18"/>
      </w:rPr>
      <w:t>2</w:t>
    </w:r>
    <w:r w:rsidRPr="005336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53368B" w:rsidRDefault="0053368B" w:rsidP="0053368B">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18-19182  (F)    271118    041218</w:t>
    </w:r>
    <w:r>
      <w:rPr>
        <w:sz w:val="20"/>
      </w:rPr>
      <w:br/>
    </w:r>
    <w:r w:rsidRPr="0053368B">
      <w:rPr>
        <w:rFonts w:ascii="C39T30Lfz" w:hAnsi="C39T30Lfz"/>
        <w:sz w:val="56"/>
      </w:rPr>
      <w:t></w:t>
    </w:r>
    <w:r w:rsidRPr="0053368B">
      <w:rPr>
        <w:rFonts w:ascii="C39T30Lfz" w:hAnsi="C39T30Lfz"/>
        <w:sz w:val="56"/>
      </w:rPr>
      <w:t></w:t>
    </w:r>
    <w:r w:rsidRPr="0053368B">
      <w:rPr>
        <w:rFonts w:ascii="C39T30Lfz" w:hAnsi="C39T30Lfz"/>
        <w:sz w:val="56"/>
      </w:rPr>
      <w:t></w:t>
    </w:r>
    <w:r w:rsidRPr="0053368B">
      <w:rPr>
        <w:rFonts w:ascii="C39T30Lfz" w:hAnsi="C39T30Lfz"/>
        <w:sz w:val="56"/>
      </w:rPr>
      <w:t></w:t>
    </w:r>
    <w:r w:rsidRPr="0053368B">
      <w:rPr>
        <w:rFonts w:ascii="C39T30Lfz" w:hAnsi="C39T30Lfz"/>
        <w:sz w:val="56"/>
      </w:rPr>
      <w:t></w:t>
    </w:r>
    <w:r w:rsidRPr="0053368B">
      <w:rPr>
        <w:rFonts w:ascii="C39T30Lfz" w:hAnsi="C39T30Lfz"/>
        <w:sz w:val="56"/>
      </w:rPr>
      <w:t></w:t>
    </w:r>
    <w:r w:rsidRPr="0053368B">
      <w:rPr>
        <w:rFonts w:ascii="C39T30Lfz" w:hAnsi="C39T30Lfz"/>
        <w:sz w:val="56"/>
      </w:rPr>
      <w:t></w:t>
    </w:r>
    <w:r w:rsidRPr="0053368B">
      <w:rPr>
        <w:rFonts w:ascii="C39T30Lfz" w:hAnsi="C39T30Lfz"/>
        <w:sz w:val="56"/>
      </w:rPr>
      <w:t></w:t>
    </w:r>
    <w:r w:rsidRPr="0053368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2019/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9/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D68" w:rsidRPr="00AC3823" w:rsidRDefault="00593D68" w:rsidP="00AC3823">
      <w:pPr>
        <w:pStyle w:val="Footer"/>
        <w:tabs>
          <w:tab w:val="right" w:pos="2155"/>
        </w:tabs>
        <w:spacing w:after="80" w:line="240" w:lineRule="atLeast"/>
        <w:ind w:left="680"/>
        <w:rPr>
          <w:u w:val="single"/>
        </w:rPr>
      </w:pPr>
      <w:r>
        <w:rPr>
          <w:u w:val="single"/>
        </w:rPr>
        <w:tab/>
      </w:r>
    </w:p>
  </w:footnote>
  <w:footnote w:type="continuationSeparator" w:id="0">
    <w:p w:rsidR="00593D68" w:rsidRPr="00AC3823" w:rsidRDefault="00593D68" w:rsidP="00AC3823">
      <w:pPr>
        <w:pStyle w:val="Footer"/>
        <w:tabs>
          <w:tab w:val="right" w:pos="2155"/>
        </w:tabs>
        <w:spacing w:after="80" w:line="240" w:lineRule="atLeast"/>
        <w:ind w:left="680"/>
        <w:rPr>
          <w:u w:val="single"/>
        </w:rPr>
      </w:pPr>
      <w:r>
        <w:rPr>
          <w:u w:val="single"/>
        </w:rPr>
        <w:tab/>
      </w:r>
    </w:p>
  </w:footnote>
  <w:footnote w:type="continuationNotice" w:id="1">
    <w:p w:rsidR="00593D68" w:rsidRPr="00AC3823" w:rsidRDefault="00593D68">
      <w:pPr>
        <w:spacing w:line="240" w:lineRule="auto"/>
        <w:rPr>
          <w:sz w:val="2"/>
          <w:szCs w:val="2"/>
        </w:rPr>
      </w:pPr>
    </w:p>
  </w:footnote>
  <w:footnote w:id="2">
    <w:p w:rsidR="00C23E58" w:rsidRPr="00C23E58" w:rsidRDefault="00C23E58" w:rsidP="00C23E58">
      <w:pPr>
        <w:pStyle w:val="FootnoteText"/>
      </w:pPr>
      <w:r w:rsidRPr="00C23E58">
        <w:rPr>
          <w:rStyle w:val="FootnoteReference"/>
          <w:spacing w:val="-3"/>
        </w:rPr>
        <w:tab/>
      </w:r>
      <w:r w:rsidRPr="00C23E58">
        <w:rPr>
          <w:rStyle w:val="FootnoteReference"/>
          <w:spacing w:val="-3"/>
          <w:sz w:val="20"/>
          <w:vertAlign w:val="baseline"/>
        </w:rPr>
        <w:t>*</w:t>
      </w:r>
      <w:r w:rsidRPr="00C23E58">
        <w:rPr>
          <w:rStyle w:val="FootnoteReference"/>
          <w:spacing w:val="-3"/>
          <w:sz w:val="20"/>
          <w:vertAlign w:val="baseline"/>
        </w:rPr>
        <w:tab/>
      </w:r>
      <w:r w:rsidRPr="00C23E58">
        <w:rPr>
          <w:spacing w:val="-3"/>
        </w:rPr>
        <w:t>Conformément au programme de travail du Comité des transports intérieurs pour la période 2018</w:t>
      </w:r>
      <w:r w:rsidRPr="00C23E58">
        <w:rPr>
          <w:spacing w:val="-3"/>
        </w:rPr>
        <w:noBreakHyphen/>
        <w:t>2019</w:t>
      </w:r>
      <w:r>
        <w:t xml:space="preserve"> (ECE/TRANS/274, par. </w:t>
      </w:r>
      <w:r w:rsidRPr="00470575">
        <w:t xml:space="preserve">123 </w:t>
      </w:r>
      <w:r>
        <w:t>et</w:t>
      </w:r>
      <w:r w:rsidRPr="00470575">
        <w:t xml:space="preserve"> ECE/TRANS/2018/21/Add.1, </w:t>
      </w:r>
      <w:r>
        <w:t>module </w:t>
      </w:r>
      <w:r w:rsidRPr="00470575">
        <w:t xml:space="preserve">3), le Forum mondial a pour </w:t>
      </w:r>
      <w:r w:rsidRPr="00C23E58">
        <w:t>mission</w:t>
      </w:r>
      <w:r w:rsidRPr="00470575">
        <w:t xml:space="preserve"> d</w:t>
      </w:r>
      <w:r>
        <w:t>’</w:t>
      </w:r>
      <w:r w:rsidRPr="00470575">
        <w:t>élaborer, d</w:t>
      </w:r>
      <w:r>
        <w:t>’</w:t>
      </w:r>
      <w:r w:rsidRPr="00470575">
        <w:t xml:space="preserve">harmoniser et de mettre à jour les Règlements </w:t>
      </w:r>
      <w:r>
        <w:t xml:space="preserve">ONU </w:t>
      </w:r>
      <w:r w:rsidRPr="00470575">
        <w:t>en vue d</w:t>
      </w:r>
      <w:r>
        <w:t>’</w:t>
      </w:r>
      <w:r w:rsidRPr="00470575">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68B" w:rsidRPr="0053368B" w:rsidRDefault="00545A3F">
    <w:pPr>
      <w:pStyle w:val="Header"/>
    </w:pPr>
    <w:r>
      <w:fldChar w:fldCharType="begin"/>
    </w:r>
    <w:r>
      <w:instrText xml:space="preserve"> TITLE  \* MERGEFORMAT </w:instrText>
    </w:r>
    <w:r>
      <w:fldChar w:fldCharType="separate"/>
    </w:r>
    <w:r w:rsidR="00A90069">
      <w:t>ECE/TRANS/WP.29/GRB/2019/9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68B" w:rsidRPr="0053368B" w:rsidRDefault="00545A3F" w:rsidP="0053368B">
    <w:pPr>
      <w:pStyle w:val="Header"/>
      <w:jc w:val="right"/>
    </w:pPr>
    <w:r>
      <w:fldChar w:fldCharType="begin"/>
    </w:r>
    <w:r>
      <w:instrText xml:space="preserve"> TITLE  \* MERGEFORMAT </w:instrText>
    </w:r>
    <w:r>
      <w:fldChar w:fldCharType="separate"/>
    </w:r>
    <w:r w:rsidR="00A90069">
      <w:t>ECE/TRANS/WP.29/GRB/2019/9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68"/>
    <w:rsid w:val="00017F57"/>
    <w:rsid w:val="00017F94"/>
    <w:rsid w:val="00023842"/>
    <w:rsid w:val="000334F9"/>
    <w:rsid w:val="00045FEB"/>
    <w:rsid w:val="0007796D"/>
    <w:rsid w:val="00093893"/>
    <w:rsid w:val="00096EFC"/>
    <w:rsid w:val="000B7790"/>
    <w:rsid w:val="00111F2F"/>
    <w:rsid w:val="0014365E"/>
    <w:rsid w:val="00143C66"/>
    <w:rsid w:val="00176178"/>
    <w:rsid w:val="001C764C"/>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97EBC"/>
    <w:rsid w:val="004E2EED"/>
    <w:rsid w:val="004E468C"/>
    <w:rsid w:val="0053368B"/>
    <w:rsid w:val="00545A3F"/>
    <w:rsid w:val="005505B7"/>
    <w:rsid w:val="00573BE5"/>
    <w:rsid w:val="00586ED3"/>
    <w:rsid w:val="00590822"/>
    <w:rsid w:val="00593D68"/>
    <w:rsid w:val="00596AA9"/>
    <w:rsid w:val="005E4131"/>
    <w:rsid w:val="00650975"/>
    <w:rsid w:val="00652ADB"/>
    <w:rsid w:val="006A1DA4"/>
    <w:rsid w:val="006B567A"/>
    <w:rsid w:val="0071601D"/>
    <w:rsid w:val="007A62E6"/>
    <w:rsid w:val="007F20FA"/>
    <w:rsid w:val="0080684C"/>
    <w:rsid w:val="00871C75"/>
    <w:rsid w:val="008776DC"/>
    <w:rsid w:val="008C05D2"/>
    <w:rsid w:val="009446C0"/>
    <w:rsid w:val="009705C8"/>
    <w:rsid w:val="009C1CF4"/>
    <w:rsid w:val="009F6B74"/>
    <w:rsid w:val="00A3029F"/>
    <w:rsid w:val="00A30353"/>
    <w:rsid w:val="00A90069"/>
    <w:rsid w:val="00AC3823"/>
    <w:rsid w:val="00AD11B6"/>
    <w:rsid w:val="00AE323C"/>
    <w:rsid w:val="00AF0CB5"/>
    <w:rsid w:val="00B00181"/>
    <w:rsid w:val="00B00B0D"/>
    <w:rsid w:val="00B45F2E"/>
    <w:rsid w:val="00B63897"/>
    <w:rsid w:val="00B765F7"/>
    <w:rsid w:val="00BA0CA9"/>
    <w:rsid w:val="00C02897"/>
    <w:rsid w:val="00C23E58"/>
    <w:rsid w:val="00C97039"/>
    <w:rsid w:val="00D3439C"/>
    <w:rsid w:val="00D75AC2"/>
    <w:rsid w:val="00D97B3B"/>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37DB11-335C-4971-A7DF-811000D2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3192</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ECE/TRANS/WP.29/GRB/2019/9</vt:lpstr>
      <vt:lpstr>ECE/TRANS/WP.29/GRB/2019/9</vt:lpstr>
    </vt:vector>
  </TitlesOfParts>
  <Company>DCM</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ECE/TRANS/WP.29/GRB/2019/9</dc:title>
  <dc:subject/>
  <dc:creator>xx</dc:creator>
  <cp:keywords/>
  <cp:lastModifiedBy>Benedicte Boudol</cp:lastModifiedBy>
  <cp:revision>2</cp:revision>
  <cp:lastPrinted>2018-12-04T14:32:00Z</cp:lastPrinted>
  <dcterms:created xsi:type="dcterms:W3CDTF">2018-12-05T14:09:00Z</dcterms:created>
  <dcterms:modified xsi:type="dcterms:W3CDTF">2018-12-05T14:09:00Z</dcterms:modified>
</cp:coreProperties>
</file>