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783C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783C29" w:rsidP="00783C29">
            <w:pPr>
              <w:jc w:val="right"/>
            </w:pPr>
            <w:r w:rsidRPr="00783C29">
              <w:rPr>
                <w:sz w:val="40"/>
              </w:rPr>
              <w:t>ECE</w:t>
            </w:r>
            <w:r>
              <w:t>/TRANS/WP.29/GRE/2019/7</w:t>
            </w:r>
          </w:p>
        </w:tc>
      </w:tr>
      <w:tr w:rsidR="002D5AAC" w:rsidRPr="008874AA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783C2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783C29" w:rsidRDefault="00783C29" w:rsidP="00783C2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30 January 2019</w:t>
            </w:r>
          </w:p>
          <w:p w:rsidR="00783C29" w:rsidRDefault="00783C29" w:rsidP="00783C2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783C29" w:rsidRPr="008D53B6" w:rsidRDefault="00783C29" w:rsidP="00783C2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783C29" w:rsidRPr="00E45B90" w:rsidRDefault="00783C29" w:rsidP="00E45B90">
      <w:pPr>
        <w:spacing w:before="120" w:after="120"/>
        <w:rPr>
          <w:sz w:val="28"/>
        </w:rPr>
      </w:pPr>
      <w:r w:rsidRPr="00E45B90">
        <w:rPr>
          <w:sz w:val="28"/>
        </w:rPr>
        <w:t>Комитет по внутреннему транспорту</w:t>
      </w:r>
    </w:p>
    <w:p w:rsidR="00783C29" w:rsidRPr="00E45B90" w:rsidRDefault="00783C29" w:rsidP="00E45B90">
      <w:pPr>
        <w:rPr>
          <w:b/>
          <w:sz w:val="24"/>
        </w:rPr>
      </w:pPr>
      <w:r w:rsidRPr="00E45B90">
        <w:rPr>
          <w:b/>
          <w:sz w:val="24"/>
        </w:rPr>
        <w:t>Всемирный форум для согласования правил</w:t>
      </w:r>
      <w:r w:rsidRPr="00E45B90">
        <w:rPr>
          <w:b/>
          <w:sz w:val="24"/>
        </w:rPr>
        <w:br/>
        <w:t>в области транспортных средств</w:t>
      </w:r>
    </w:p>
    <w:p w:rsidR="00783C29" w:rsidRPr="00E45B90" w:rsidRDefault="00783C29" w:rsidP="00E45B90">
      <w:pPr>
        <w:spacing w:before="120" w:after="120"/>
        <w:rPr>
          <w:b/>
        </w:rPr>
      </w:pPr>
      <w:r w:rsidRPr="00E45B90">
        <w:rPr>
          <w:b/>
        </w:rPr>
        <w:t>Рабочая группа по вопросам освещения</w:t>
      </w:r>
      <w:r w:rsidRPr="00E45B90">
        <w:rPr>
          <w:b/>
        </w:rPr>
        <w:br/>
        <w:t>и световой сигнализации</w:t>
      </w:r>
    </w:p>
    <w:p w:rsidR="00783C29" w:rsidRPr="00E45B90" w:rsidRDefault="00783C29" w:rsidP="00E45B90">
      <w:pPr>
        <w:rPr>
          <w:b/>
        </w:rPr>
      </w:pPr>
      <w:r w:rsidRPr="00E45B90">
        <w:rPr>
          <w:b/>
        </w:rPr>
        <w:t>Восемьдесят первая сессия</w:t>
      </w:r>
    </w:p>
    <w:p w:rsidR="00783C29" w:rsidRPr="00E45B90" w:rsidRDefault="00783C29" w:rsidP="00E45B90">
      <w:r w:rsidRPr="00E45B90">
        <w:t>Женева, 15–18 апреля 2019 года</w:t>
      </w:r>
    </w:p>
    <w:p w:rsidR="00783C29" w:rsidRPr="00E45B90" w:rsidRDefault="00783C29" w:rsidP="00E45B90">
      <w:r w:rsidRPr="00E45B90">
        <w:t>Пункт 4 предварительной повестки дня</w:t>
      </w:r>
    </w:p>
    <w:p w:rsidR="00783C29" w:rsidRPr="00E45B90" w:rsidRDefault="00783C29" w:rsidP="00E45B90">
      <w:pPr>
        <w:rPr>
          <w:b/>
        </w:rPr>
      </w:pPr>
      <w:r w:rsidRPr="00E45B90">
        <w:rPr>
          <w:b/>
        </w:rPr>
        <w:t xml:space="preserve">Упрощение правил ООН, касающихся </w:t>
      </w:r>
      <w:r w:rsidRPr="00E45B90">
        <w:rPr>
          <w:b/>
        </w:rPr>
        <w:br/>
        <w:t xml:space="preserve">освещения и световой сигнализации </w:t>
      </w:r>
    </w:p>
    <w:p w:rsidR="00783C29" w:rsidRPr="00783C29" w:rsidRDefault="00783C29" w:rsidP="00E45B90">
      <w:pPr>
        <w:pStyle w:val="HChGR"/>
      </w:pPr>
      <w:r w:rsidRPr="00783C29">
        <w:tab/>
      </w:r>
      <w:r w:rsidRPr="00783C29">
        <w:tab/>
        <w:t>Предложение по дополнению к новым Правилам ООН, касающимся устройств световой сигнализации (УСС)</w:t>
      </w:r>
    </w:p>
    <w:p w:rsidR="00783C29" w:rsidRPr="00783C29" w:rsidRDefault="00E45B90" w:rsidP="00E45B90">
      <w:pPr>
        <w:pStyle w:val="H1GR"/>
      </w:pPr>
      <w:r>
        <w:tab/>
      </w:r>
      <w:r>
        <w:tab/>
      </w:r>
      <w:r w:rsidR="00783C29" w:rsidRPr="00783C29">
        <w:t>Представлено экспертом от Германии</w:t>
      </w:r>
      <w:r w:rsidR="00783C29" w:rsidRPr="002E0DB1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="00783C29" w:rsidRPr="00783C29">
        <w:t xml:space="preserve"> </w:t>
      </w:r>
    </w:p>
    <w:p w:rsidR="00783C29" w:rsidRDefault="00E45B90" w:rsidP="00783C29">
      <w:pPr>
        <w:pStyle w:val="SingleTxtGR"/>
      </w:pPr>
      <w:r>
        <w:tab/>
      </w:r>
      <w:r w:rsidR="00783C29" w:rsidRPr="00783C29">
        <w:t>Воспроизведенный ниже текст был подготовлен экспертом от Германии с целью введения требований к испытанию на воздействие солнечного света, которое – в случае превышения им определенного порога – способно настолько замедлить восприятие сигнала, что это чревато серьезной проблемой в плане безопасности. Изменения к действующему тексту Правил выделены жирным шрифтом в случае новых положений или зачеркиванием в случае исключенных элементов.</w:t>
      </w:r>
    </w:p>
    <w:p w:rsidR="00E45B90" w:rsidRDefault="00E45B90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783C29" w:rsidRPr="00783C29" w:rsidRDefault="00783C29" w:rsidP="00EE4915">
      <w:pPr>
        <w:pStyle w:val="HChGR"/>
      </w:pPr>
      <w:r w:rsidRPr="00783C29">
        <w:lastRenderedPageBreak/>
        <w:tab/>
      </w:r>
      <w:r w:rsidRPr="00783C29">
        <w:rPr>
          <w:lang w:val="en-GB"/>
        </w:rPr>
        <w:t>I</w:t>
      </w:r>
      <w:r w:rsidRPr="00783C29">
        <w:t>.</w:t>
      </w:r>
      <w:r w:rsidRPr="00783C29">
        <w:tab/>
        <w:t>Предложение</w:t>
      </w:r>
    </w:p>
    <w:p w:rsidR="00783C29" w:rsidRPr="00783C29" w:rsidRDefault="00783C29" w:rsidP="00783C29">
      <w:pPr>
        <w:pStyle w:val="SingleTxtGR"/>
        <w:rPr>
          <w:bCs/>
          <w:i/>
        </w:rPr>
      </w:pPr>
      <w:r w:rsidRPr="00783C29">
        <w:rPr>
          <w:bCs/>
          <w:i/>
        </w:rPr>
        <w:t xml:space="preserve">Добавить новый пункт 5.5.5 </w:t>
      </w:r>
      <w:r w:rsidRPr="00783C29">
        <w:t>следующего содержания</w:t>
      </w:r>
      <w:r w:rsidRPr="00783C29">
        <w:rPr>
          <w:bCs/>
        </w:rPr>
        <w:t>:</w:t>
      </w:r>
    </w:p>
    <w:p w:rsidR="00783C29" w:rsidRPr="00783C29" w:rsidRDefault="00B31C7A" w:rsidP="00EE4915">
      <w:pPr>
        <w:pStyle w:val="SingleTxtGR"/>
        <w:ind w:left="2268" w:hanging="1134"/>
        <w:rPr>
          <w:b/>
          <w:bCs/>
        </w:rPr>
      </w:pPr>
      <w:r w:rsidRPr="003853A2">
        <w:rPr>
          <w:bCs/>
        </w:rPr>
        <w:t>«</w:t>
      </w:r>
      <w:r w:rsidR="00783C29" w:rsidRPr="00783C29">
        <w:rPr>
          <w:b/>
          <w:bCs/>
        </w:rPr>
        <w:t>5.5.5</w:t>
      </w:r>
      <w:r w:rsidR="00783C29" w:rsidRPr="00783C29">
        <w:rPr>
          <w:b/>
          <w:bCs/>
        </w:rPr>
        <w:tab/>
      </w:r>
      <w:r w:rsidR="00EE4915">
        <w:rPr>
          <w:b/>
          <w:bCs/>
        </w:rPr>
        <w:tab/>
      </w:r>
      <w:r w:rsidR="00783C29" w:rsidRPr="00783C29">
        <w:rPr>
          <w:b/>
          <w:bCs/>
        </w:rPr>
        <w:t xml:space="preserve">В случае стоп-сигналов категорий S1–S4 измерение степени воздействия солнечного света (паразитного эффекта) проводят в соответствии с приложением 8 к настоящим Правилам. В случае огней категорий S2 и S4 с изменяемой силой света измерения проводят только при повышенном уровне (режиме) яркости. Коэффициент </w:t>
      </w:r>
      <w:r w:rsidR="00783C29" w:rsidRPr="00783C29">
        <w:rPr>
          <w:b/>
          <w:lang w:val="en-US"/>
        </w:rPr>
        <w:t>F</w:t>
      </w:r>
      <w:r w:rsidR="00783C29" w:rsidRPr="00783C29">
        <w:rPr>
          <w:b/>
          <w:vertAlign w:val="subscript"/>
          <w:lang w:val="en-US"/>
        </w:rPr>
        <w:t>ph</w:t>
      </w:r>
      <w:r w:rsidR="00783C29" w:rsidRPr="00783C29">
        <w:rPr>
          <w:b/>
          <w:bCs/>
        </w:rPr>
        <w:t xml:space="preserve">, определенный с соблюдением последовательности по пункту 2 приложения 8 на </w:t>
      </w:r>
      <w:r w:rsidR="00783C29" w:rsidRPr="00783C29">
        <w:rPr>
          <w:b/>
        </w:rPr>
        <w:t>светоизлучающей поверхности огня (функции), должен составлять не менее 3.</w:t>
      </w:r>
    </w:p>
    <w:p w:rsidR="00783C29" w:rsidRPr="00783C29" w:rsidRDefault="00610FC8" w:rsidP="00610FC8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>
        <w:rPr>
          <w:b/>
        </w:rPr>
        <w:tab/>
      </w:r>
      <w:r w:rsidR="00783C29" w:rsidRPr="00783C29">
        <w:rPr>
          <w:b/>
        </w:rPr>
        <w:t xml:space="preserve">С учетом характеристик огня, в частности если его оптическая компоновка исключает возникновение соответствующих проблем, обусловленных </w:t>
      </w:r>
      <w:r w:rsidR="00783C29" w:rsidRPr="00783C29">
        <w:rPr>
          <w:b/>
          <w:bCs/>
        </w:rPr>
        <w:t xml:space="preserve">воздействием солнечного света (паразитным эффектом), компетентные органы могут разрешить лабораториям не проводить данное испытание при условии, что это будет четко отражено в рубрике </w:t>
      </w:r>
      <w:r w:rsidR="00B31C7A" w:rsidRPr="00783C29">
        <w:t>"</w:t>
      </w:r>
      <w:r w:rsidR="00783C29" w:rsidRPr="00783C29">
        <w:rPr>
          <w:b/>
          <w:bCs/>
        </w:rPr>
        <w:t>Примечания</w:t>
      </w:r>
      <w:r w:rsidR="00B31C7A" w:rsidRPr="00783C29">
        <w:t>"</w:t>
      </w:r>
      <w:r w:rsidR="00783C29" w:rsidRPr="00783C29">
        <w:rPr>
          <w:b/>
          <w:bCs/>
        </w:rPr>
        <w:t xml:space="preserve"> (пункт 9.4) карточки сообщения, приведенной в приложении 1</w:t>
      </w:r>
      <w:r w:rsidR="00B31C7A" w:rsidRPr="003853A2">
        <w:t>»</w:t>
      </w:r>
      <w:r w:rsidR="00783C29" w:rsidRPr="00783C29">
        <w:t>.</w:t>
      </w:r>
    </w:p>
    <w:p w:rsidR="00783C29" w:rsidRPr="00783C29" w:rsidRDefault="00783C29" w:rsidP="00783C29">
      <w:pPr>
        <w:pStyle w:val="SingleTxtGR"/>
        <w:rPr>
          <w:bCs/>
        </w:rPr>
      </w:pPr>
      <w:r w:rsidRPr="00783C29">
        <w:rPr>
          <w:bCs/>
          <w:i/>
        </w:rPr>
        <w:t xml:space="preserve">Добавить новый пункт 5.6.12 </w:t>
      </w:r>
      <w:r w:rsidRPr="00783C29">
        <w:t>следующего содержания</w:t>
      </w:r>
      <w:r w:rsidRPr="00783C29">
        <w:rPr>
          <w:bCs/>
        </w:rPr>
        <w:t>:</w:t>
      </w:r>
    </w:p>
    <w:p w:rsidR="00783C29" w:rsidRPr="00783C29" w:rsidRDefault="00B31C7A" w:rsidP="00EE4915">
      <w:pPr>
        <w:pStyle w:val="SingleTxtGR"/>
        <w:ind w:left="2268" w:hanging="1134"/>
        <w:rPr>
          <w:b/>
          <w:bCs/>
        </w:rPr>
      </w:pPr>
      <w:r w:rsidRPr="003853A2">
        <w:rPr>
          <w:bCs/>
        </w:rPr>
        <w:t>«</w:t>
      </w:r>
      <w:r w:rsidR="00783C29" w:rsidRPr="00783C29">
        <w:rPr>
          <w:b/>
          <w:bCs/>
        </w:rPr>
        <w:t xml:space="preserve">5.6.12 </w:t>
      </w:r>
      <w:r w:rsidR="00783C29" w:rsidRPr="00783C29">
        <w:rPr>
          <w:b/>
          <w:bCs/>
        </w:rPr>
        <w:tab/>
        <w:t>В случае указателей поворота категорий 2</w:t>
      </w:r>
      <w:r w:rsidR="00783C29" w:rsidRPr="00783C29">
        <w:rPr>
          <w:b/>
          <w:bCs/>
          <w:lang w:val="en-US"/>
        </w:rPr>
        <w:t>a</w:t>
      </w:r>
      <w:r w:rsidR="00783C29" w:rsidRPr="00783C29">
        <w:rPr>
          <w:b/>
          <w:bCs/>
        </w:rPr>
        <w:t xml:space="preserve"> и 2</w:t>
      </w:r>
      <w:r w:rsidR="00783C29" w:rsidRPr="00783C29">
        <w:rPr>
          <w:b/>
          <w:bCs/>
          <w:lang w:val="en-US"/>
        </w:rPr>
        <w:t>b</w:t>
      </w:r>
      <w:r w:rsidR="00783C29" w:rsidRPr="00783C29">
        <w:rPr>
          <w:b/>
          <w:bCs/>
        </w:rPr>
        <w:t xml:space="preserve"> измерение степени воздействия солнечного света (паразитного эффекта) проводят в соответствии с приложением 8 к настоящим Правилам. В случае огней категории 2</w:t>
      </w:r>
      <w:r w:rsidR="00783C29" w:rsidRPr="00783C29">
        <w:rPr>
          <w:b/>
          <w:bCs/>
          <w:lang w:val="en-US"/>
        </w:rPr>
        <w:t>b</w:t>
      </w:r>
      <w:r w:rsidR="00783C29" w:rsidRPr="00783C29">
        <w:rPr>
          <w:b/>
          <w:bCs/>
        </w:rPr>
        <w:t xml:space="preserve"> с изменяемой силой света измерения проводят только при повышенном уровне (режиме) яркости. Коэффициент </w:t>
      </w:r>
      <w:r w:rsidR="00783C29" w:rsidRPr="00783C29">
        <w:rPr>
          <w:b/>
          <w:lang w:val="en-US"/>
        </w:rPr>
        <w:t>F</w:t>
      </w:r>
      <w:r w:rsidR="00783C29" w:rsidRPr="00783C29">
        <w:rPr>
          <w:b/>
          <w:vertAlign w:val="subscript"/>
          <w:lang w:val="en-US"/>
        </w:rPr>
        <w:t>ph</w:t>
      </w:r>
      <w:r w:rsidR="00783C29" w:rsidRPr="00783C29">
        <w:rPr>
          <w:b/>
          <w:bCs/>
        </w:rPr>
        <w:t xml:space="preserve">, определенный на </w:t>
      </w:r>
      <w:r w:rsidR="00783C29" w:rsidRPr="00783C29">
        <w:rPr>
          <w:b/>
        </w:rPr>
        <w:t>светоизлучающей поверхности огня (функции), должен составлять не менее 3.</w:t>
      </w:r>
    </w:p>
    <w:p w:rsidR="00783C29" w:rsidRPr="00783C29" w:rsidRDefault="00B31C7A" w:rsidP="00610FC8">
      <w:pPr>
        <w:pStyle w:val="SingleTxtGR"/>
        <w:tabs>
          <w:tab w:val="clear" w:pos="1701"/>
        </w:tabs>
        <w:ind w:left="2268" w:hanging="1134"/>
        <w:rPr>
          <w:b/>
        </w:rPr>
      </w:pPr>
      <w:bookmarkStart w:id="1" w:name="_Toc473483485"/>
      <w:r>
        <w:rPr>
          <w:b/>
        </w:rPr>
        <w:tab/>
      </w:r>
      <w:r w:rsidR="00783C29" w:rsidRPr="00783C29">
        <w:rPr>
          <w:b/>
        </w:rPr>
        <w:t xml:space="preserve">С учетом характеристик огня, в частности если его оптическая компоновка исключает возникновение соответствующих проблем, обусловленных </w:t>
      </w:r>
      <w:r w:rsidR="00783C29" w:rsidRPr="00783C29">
        <w:rPr>
          <w:b/>
          <w:bCs/>
        </w:rPr>
        <w:t xml:space="preserve">воздействием солнечного света (паразитным эффектом), компетентные органы могут разрешить лабораториям не проводить данное испытание при условии, что это будет четко отражено в рубрике </w:t>
      </w:r>
      <w:r w:rsidRPr="00783C29">
        <w:t>"</w:t>
      </w:r>
      <w:r w:rsidR="00783C29" w:rsidRPr="00783C29">
        <w:rPr>
          <w:b/>
          <w:bCs/>
        </w:rPr>
        <w:t>Примечания</w:t>
      </w:r>
      <w:r w:rsidRPr="00783C29">
        <w:t>"</w:t>
      </w:r>
      <w:r w:rsidR="00783C29" w:rsidRPr="00783C29">
        <w:rPr>
          <w:b/>
          <w:bCs/>
        </w:rPr>
        <w:t xml:space="preserve"> (пункт 9.4) карточки сообщения, приведенной в приложении 1</w:t>
      </w:r>
      <w:r w:rsidR="002E3A3D" w:rsidRPr="003853A2">
        <w:t>»</w:t>
      </w:r>
      <w:r w:rsidR="00783C29" w:rsidRPr="00E4486F">
        <w:t>.</w:t>
      </w:r>
    </w:p>
    <w:p w:rsidR="00783C29" w:rsidRPr="00783C29" w:rsidRDefault="00783C29" w:rsidP="00783C29">
      <w:pPr>
        <w:pStyle w:val="SingleTxtGR"/>
      </w:pPr>
      <w:r w:rsidRPr="00783C29">
        <w:rPr>
          <w:i/>
        </w:rPr>
        <w:t xml:space="preserve">Приложение 1, </w:t>
      </w:r>
      <w:r w:rsidRPr="00783C29">
        <w:rPr>
          <w:bCs/>
          <w:i/>
        </w:rPr>
        <w:t>добавить новый пункт 9.4</w:t>
      </w:r>
      <w:r w:rsidRPr="00783C29">
        <w:t xml:space="preserve"> следующего содержания:</w:t>
      </w:r>
    </w:p>
    <w:p w:rsidR="00783C29" w:rsidRPr="00783C29" w:rsidRDefault="002E3A3D" w:rsidP="00EE5FB5">
      <w:pPr>
        <w:pStyle w:val="SingleTxtGR"/>
        <w:ind w:left="2268" w:hanging="1134"/>
        <w:rPr>
          <w:b/>
        </w:rPr>
      </w:pPr>
      <w:r w:rsidRPr="003853A2">
        <w:t>«</w:t>
      </w:r>
      <w:r w:rsidR="00783C29" w:rsidRPr="00783C29">
        <w:rPr>
          <w:b/>
        </w:rPr>
        <w:t>9.4</w:t>
      </w:r>
      <w:r w:rsidR="00783C29" w:rsidRPr="00783C29">
        <w:rPr>
          <w:b/>
        </w:rPr>
        <w:tab/>
      </w:r>
      <w:r w:rsidR="00783C29" w:rsidRPr="00783C29">
        <w:rPr>
          <w:b/>
        </w:rPr>
        <w:tab/>
        <w:t>Примечания</w:t>
      </w:r>
    </w:p>
    <w:p w:rsidR="00783C29" w:rsidRPr="00783C29" w:rsidRDefault="00783C29" w:rsidP="002E3A3D">
      <w:pPr>
        <w:pStyle w:val="SingleTxtGR"/>
        <w:tabs>
          <w:tab w:val="clear" w:pos="1701"/>
        </w:tabs>
        <w:rPr>
          <w:b/>
        </w:rPr>
      </w:pPr>
      <w:r w:rsidRPr="00783C29">
        <w:rPr>
          <w:b/>
        </w:rPr>
        <w:tab/>
        <w:t>………………………………………………………………………………..</w:t>
      </w:r>
      <w:r w:rsidR="002E3A3D" w:rsidRPr="00EB5F09">
        <w:rPr>
          <w:b/>
        </w:rPr>
        <w:t>»</w:t>
      </w:r>
    </w:p>
    <w:p w:rsidR="00783C29" w:rsidRPr="00783C29" w:rsidRDefault="00783C29" w:rsidP="00783C29">
      <w:pPr>
        <w:pStyle w:val="SingleTxtGR"/>
        <w:rPr>
          <w:bCs/>
        </w:rPr>
      </w:pPr>
      <w:r w:rsidRPr="00783C29">
        <w:rPr>
          <w:i/>
        </w:rPr>
        <w:t>Приложение 5</w:t>
      </w:r>
      <w:bookmarkEnd w:id="1"/>
      <w:r w:rsidRPr="00783C29">
        <w:rPr>
          <w:i/>
        </w:rPr>
        <w:t xml:space="preserve">, </w:t>
      </w:r>
      <w:r w:rsidRPr="00783C29">
        <w:rPr>
          <w:bCs/>
          <w:i/>
        </w:rPr>
        <w:t xml:space="preserve">добавить новый пункт 1.5 </w:t>
      </w:r>
      <w:r w:rsidRPr="00783C29">
        <w:t>следующего содержания</w:t>
      </w:r>
      <w:r w:rsidRPr="00783C29">
        <w:rPr>
          <w:bCs/>
        </w:rPr>
        <w:t>:</w:t>
      </w:r>
    </w:p>
    <w:p w:rsidR="00783C29" w:rsidRPr="00783C29" w:rsidRDefault="002E3A3D" w:rsidP="00EE5FB5">
      <w:pPr>
        <w:pStyle w:val="SingleTxtGR"/>
        <w:ind w:left="2268" w:hanging="1134"/>
        <w:rPr>
          <w:b/>
          <w:bCs/>
        </w:rPr>
      </w:pPr>
      <w:r w:rsidRPr="00EB5F09">
        <w:rPr>
          <w:b/>
          <w:bCs/>
        </w:rPr>
        <w:t>«</w:t>
      </w:r>
      <w:r w:rsidR="00783C29" w:rsidRPr="00783C29">
        <w:rPr>
          <w:b/>
          <w:bCs/>
        </w:rPr>
        <w:t>1.5</w:t>
      </w:r>
      <w:r w:rsidR="00783C29" w:rsidRPr="00783C29">
        <w:rPr>
          <w:b/>
          <w:bCs/>
        </w:rPr>
        <w:tab/>
      </w:r>
      <w:r w:rsidR="00783C29" w:rsidRPr="00783C29">
        <w:rPr>
          <w:b/>
          <w:bCs/>
        </w:rPr>
        <w:tab/>
        <w:t>При возникновении сомнений относительно соблюдения условий испытания по пунктам 5.5.5 или 5.6.12 настоящих Правил и/или при наличии в соответствующей рубрике (пункт 9.4 приложения 1) карточки сообщения пометки о том, что данное испытание не проводилось, выполняют проверку соответствия требованиям, касающимся воздействия солнечного света (паразитного эффекта), предусмотренным в указанных пунктах</w:t>
      </w:r>
      <w:r w:rsidRPr="003853A2">
        <w:rPr>
          <w:bCs/>
        </w:rPr>
        <w:t>»</w:t>
      </w:r>
      <w:r w:rsidR="00783C29" w:rsidRPr="00E4486F">
        <w:rPr>
          <w:bCs/>
        </w:rPr>
        <w:t>.</w:t>
      </w:r>
    </w:p>
    <w:p w:rsidR="00783C29" w:rsidRPr="00783C29" w:rsidRDefault="00783C29" w:rsidP="00783C29">
      <w:pPr>
        <w:pStyle w:val="SingleTxtGR"/>
        <w:rPr>
          <w:bCs/>
          <w:i/>
        </w:rPr>
      </w:pPr>
      <w:r w:rsidRPr="00783C29">
        <w:rPr>
          <w:bCs/>
          <w:i/>
        </w:rPr>
        <w:t>Добавить новое приложение 8</w:t>
      </w:r>
      <w:r w:rsidRPr="00783C29">
        <w:t xml:space="preserve"> следующего содержания</w:t>
      </w:r>
      <w:r w:rsidRPr="00783C29">
        <w:rPr>
          <w:bCs/>
        </w:rPr>
        <w:t>:</w:t>
      </w:r>
    </w:p>
    <w:p w:rsidR="00783C29" w:rsidRPr="00783C29" w:rsidRDefault="002E3A3D" w:rsidP="002E3A3D">
      <w:pPr>
        <w:pStyle w:val="HChGR"/>
      </w:pPr>
      <w:r w:rsidRPr="003853A2">
        <w:rPr>
          <w:b w:val="0"/>
          <w:bCs/>
          <w:sz w:val="20"/>
          <w:lang w:eastAsia="en-US"/>
        </w:rPr>
        <w:t>«</w:t>
      </w:r>
      <w:r w:rsidR="00783C29" w:rsidRPr="00783C29">
        <w:t>Приложение 8</w:t>
      </w:r>
    </w:p>
    <w:p w:rsidR="00783C29" w:rsidRPr="00783C29" w:rsidRDefault="00783C29" w:rsidP="002E3A3D">
      <w:pPr>
        <w:pStyle w:val="HChGR"/>
        <w:rPr>
          <w:bCs/>
        </w:rPr>
      </w:pPr>
      <w:r w:rsidRPr="00783C29">
        <w:rPr>
          <w:bCs/>
        </w:rPr>
        <w:t>Измерение степени воздействия солнечного света</w:t>
      </w:r>
    </w:p>
    <w:p w:rsidR="00783C29" w:rsidRPr="00783C29" w:rsidRDefault="00783C29" w:rsidP="00342085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783C29">
        <w:rPr>
          <w:b/>
          <w:bCs/>
        </w:rPr>
        <w:t>1.</w:t>
      </w:r>
      <w:r w:rsidRPr="00783C29">
        <w:rPr>
          <w:b/>
          <w:bCs/>
        </w:rPr>
        <w:tab/>
      </w:r>
      <w:r w:rsidRPr="00783C29">
        <w:rPr>
          <w:b/>
        </w:rPr>
        <w:t>Условия проведения измерений</w:t>
      </w:r>
    </w:p>
    <w:p w:rsidR="00783C29" w:rsidRPr="00783C29" w:rsidRDefault="002E3A3D" w:rsidP="00342085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</w:rPr>
        <w:lastRenderedPageBreak/>
        <w:tab/>
      </w:r>
      <w:r w:rsidR="00783C29" w:rsidRPr="00783C29">
        <w:rPr>
          <w:b/>
        </w:rPr>
        <w:t xml:space="preserve">Измерения для оценки </w:t>
      </w:r>
      <w:r w:rsidR="00783C29" w:rsidRPr="00783C29">
        <w:rPr>
          <w:b/>
          <w:bCs/>
        </w:rPr>
        <w:t>степени воздействия солнечного света (паразитного эффекта) на огонь</w:t>
      </w:r>
      <w:r w:rsidR="00783C29" w:rsidRPr="00783C29">
        <w:rPr>
          <w:b/>
        </w:rPr>
        <w:t xml:space="preserve"> проводят с использованием его источника света, требуемого по пункту 4.7 </w:t>
      </w:r>
      <w:r w:rsidR="00783C29" w:rsidRPr="00783C29">
        <w:rPr>
          <w:b/>
          <w:bCs/>
        </w:rPr>
        <w:t>настоящих Правил.</w:t>
      </w:r>
    </w:p>
    <w:p w:rsidR="00783C29" w:rsidRPr="00783C29" w:rsidRDefault="002E3A3D" w:rsidP="00342085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</w:rPr>
        <w:tab/>
      </w:r>
      <w:r w:rsidR="00783C29" w:rsidRPr="00783C29">
        <w:rPr>
          <w:b/>
        </w:rPr>
        <w:t xml:space="preserve">В качестве имитатора </w:t>
      </w:r>
      <w:r w:rsidR="00783C29" w:rsidRPr="00783C29">
        <w:rPr>
          <w:b/>
          <w:bCs/>
        </w:rPr>
        <w:t>воздействия солнечного света согласно рис. 1 ниже</w:t>
      </w:r>
      <w:r w:rsidR="00783C29" w:rsidRPr="00783C29">
        <w:rPr>
          <w:b/>
        </w:rPr>
        <w:t xml:space="preserve"> выступает прожектор с источником света, имеющим коррелированную цветовую температуру 4 500 К−6 500 К.</w:t>
      </w:r>
    </w:p>
    <w:p w:rsidR="00783C29" w:rsidRPr="00783C29" w:rsidRDefault="002E3A3D" w:rsidP="00342085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</w:rPr>
        <w:tab/>
      </w:r>
      <w:r w:rsidR="00783C29" w:rsidRPr="00783C29">
        <w:rPr>
          <w:b/>
        </w:rPr>
        <w:t xml:space="preserve">Свет прожектора должен освещать по крайней мере светоизлучающую поверхность оптического элемента, обеспечивать освещенность </w:t>
      </w:r>
      <w:r w:rsidR="00783C29" w:rsidRPr="00783C29">
        <w:rPr>
          <w:b/>
          <w:i/>
          <w:iCs/>
          <w:lang w:val="en-US"/>
        </w:rPr>
        <w:t>E</w:t>
      </w:r>
      <w:r w:rsidR="00783C29" w:rsidRPr="00783C29">
        <w:rPr>
          <w:b/>
          <w:i/>
          <w:iCs/>
        </w:rPr>
        <w:t xml:space="preserve"> </w:t>
      </w:r>
      <w:r w:rsidR="00783C29" w:rsidRPr="00783C29">
        <w:rPr>
          <w:b/>
        </w:rPr>
        <w:t xml:space="preserve">= 40 000 люкс и иметь однородность яркости </w:t>
      </w:r>
      <w:r w:rsidR="00D76A50">
        <w:rPr>
          <w:b/>
        </w:rPr>
        <w:br/>
      </w:r>
      <w:r w:rsidR="00783C29" w:rsidRPr="00783C29">
        <w:rPr>
          <w:b/>
        </w:rPr>
        <w:t>(в границах светоизлучающей поверхности) 10%.</w:t>
      </w:r>
    </w:p>
    <w:p w:rsidR="00783C29" w:rsidRPr="00783C29" w:rsidRDefault="002E3A3D" w:rsidP="00342085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</w:rPr>
        <w:tab/>
      </w:r>
      <w:r w:rsidR="00783C29" w:rsidRPr="00783C29">
        <w:rPr>
          <w:b/>
        </w:rPr>
        <w:t>Исходная ось огня и ось прожектора должны образовывать вертикальный угол 10°.</w:t>
      </w:r>
    </w:p>
    <w:p w:rsidR="00783C29" w:rsidRPr="00783C29" w:rsidRDefault="002E3A3D" w:rsidP="00342085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</w:rPr>
        <w:tab/>
      </w:r>
      <w:r w:rsidR="00783C29" w:rsidRPr="00783C29">
        <w:rPr>
          <w:b/>
        </w:rPr>
        <w:t xml:space="preserve">Плоскость, образуемая обеими осями, представляет собой рабочую вертикальную плоскость. </w:t>
      </w:r>
      <w:r w:rsidR="00783C29" w:rsidRPr="00783C29">
        <w:rPr>
          <w:b/>
          <w:iCs/>
        </w:rPr>
        <w:t xml:space="preserve">Схема размещения должна быть такой, чтобы излучаемый прожектором свет приходился выше </w:t>
      </w:r>
      <w:r w:rsidR="00783C29" w:rsidRPr="00783C29">
        <w:rPr>
          <w:b/>
        </w:rPr>
        <w:t>сигнального огня.</w:t>
      </w:r>
    </w:p>
    <w:p w:rsidR="00783C29" w:rsidRPr="00783C29" w:rsidRDefault="002E3A3D" w:rsidP="00342085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</w:rPr>
        <w:tab/>
      </w:r>
      <w:r w:rsidR="00783C29" w:rsidRPr="00783C29">
        <w:rPr>
          <w:b/>
        </w:rPr>
        <w:t xml:space="preserve">Если на светоизлучающей поверхности огня нельзя добиться освещенности </w:t>
      </w:r>
      <w:r w:rsidR="00783C29" w:rsidRPr="00783C29">
        <w:rPr>
          <w:b/>
          <w:i/>
          <w:iCs/>
          <w:lang w:val="en-US"/>
        </w:rPr>
        <w:t>E</w:t>
      </w:r>
      <w:r w:rsidR="00783C29" w:rsidRPr="00783C29">
        <w:rPr>
          <w:b/>
          <w:vertAlign w:val="subscript"/>
          <w:lang w:val="en-US"/>
        </w:rPr>
        <w:t>l</w:t>
      </w:r>
      <w:r w:rsidR="00783C29" w:rsidRPr="00783C29">
        <w:rPr>
          <w:b/>
        </w:rPr>
        <w:t xml:space="preserve">, соответствующей освещенности </w:t>
      </w:r>
      <w:r w:rsidR="00783C29" w:rsidRPr="00783C29">
        <w:rPr>
          <w:b/>
          <w:i/>
          <w:iCs/>
          <w:lang w:val="en-US"/>
        </w:rPr>
        <w:t>E</w:t>
      </w:r>
      <w:r w:rsidR="00783C29" w:rsidRPr="00783C29">
        <w:rPr>
          <w:b/>
          <w:i/>
          <w:iCs/>
        </w:rPr>
        <w:t xml:space="preserve"> </w:t>
      </w:r>
      <w:r w:rsidR="00783C29" w:rsidRPr="00783C29">
        <w:rPr>
          <w:b/>
        </w:rPr>
        <w:t>= 40 000 люкс воздействующего</w:t>
      </w:r>
      <w:r w:rsidR="00783C29" w:rsidRPr="00783C29">
        <w:rPr>
          <w:b/>
          <w:bCs/>
        </w:rPr>
        <w:t xml:space="preserve"> солнечного света (паразитного эффекта), то произвести расчет яркости </w:t>
      </w:r>
      <w:r w:rsidR="00783C29" w:rsidRPr="00783C29">
        <w:rPr>
          <w:b/>
          <w:i/>
          <w:iCs/>
          <w:lang w:val="en-US"/>
        </w:rPr>
        <w:t>L</w:t>
      </w:r>
      <w:r w:rsidR="00783C29" w:rsidRPr="00783C29">
        <w:rPr>
          <w:b/>
          <w:vertAlign w:val="subscript"/>
          <w:lang w:val="en-US"/>
        </w:rPr>
        <w:t>ph</w:t>
      </w:r>
      <w:r w:rsidR="00783C29" w:rsidRPr="00783C29">
        <w:rPr>
          <w:b/>
          <w:vertAlign w:val="subscript"/>
        </w:rPr>
        <w:t xml:space="preserve"> </w:t>
      </w:r>
      <w:r w:rsidR="00783C29" w:rsidRPr="00783C29">
        <w:rPr>
          <w:b/>
          <w:bCs/>
        </w:rPr>
        <w:t xml:space="preserve">можно также по более низким величинам </w:t>
      </w:r>
      <w:r w:rsidR="00783C29" w:rsidRPr="00783C29">
        <w:rPr>
          <w:b/>
        </w:rPr>
        <w:t xml:space="preserve">освещенности </w:t>
      </w:r>
      <w:r w:rsidR="00783C29" w:rsidRPr="00783C29">
        <w:rPr>
          <w:b/>
          <w:i/>
          <w:iCs/>
          <w:lang w:val="en-US"/>
        </w:rPr>
        <w:t>E</w:t>
      </w:r>
      <w:r w:rsidR="00783C29" w:rsidRPr="00783C29">
        <w:rPr>
          <w:b/>
          <w:vertAlign w:val="subscript"/>
          <w:lang w:val="en-US"/>
        </w:rPr>
        <w:t>l</w:t>
      </w:r>
      <w:r w:rsidR="00783C29" w:rsidRPr="00783C29">
        <w:rPr>
          <w:b/>
        </w:rPr>
        <w:t xml:space="preserve"> на основе замеренной</w:t>
      </w:r>
      <w:r w:rsidR="00783C29" w:rsidRPr="00783C29">
        <w:rPr>
          <w:b/>
          <w:bCs/>
        </w:rPr>
        <w:t xml:space="preserve"> более низкой яркости</w:t>
      </w:r>
      <w:r w:rsidR="00783C29" w:rsidRPr="00783C29">
        <w:rPr>
          <w:b/>
        </w:rPr>
        <w:t xml:space="preserve"> </w:t>
      </w:r>
      <w:r w:rsidR="00783C29" w:rsidRPr="00783C29">
        <w:rPr>
          <w:b/>
          <w:i/>
          <w:iCs/>
          <w:lang w:val="en-US"/>
        </w:rPr>
        <w:t>L</w:t>
      </w:r>
      <w:r w:rsidR="00783C29" w:rsidRPr="00783C29">
        <w:rPr>
          <w:b/>
          <w:vertAlign w:val="subscript"/>
          <w:lang w:val="en-US"/>
        </w:rPr>
        <w:t>phl</w:t>
      </w:r>
      <w:r w:rsidR="00783C29" w:rsidRPr="00783C29">
        <w:rPr>
          <w:b/>
        </w:rPr>
        <w:t>:</w:t>
      </w:r>
    </w:p>
    <w:p w:rsidR="00783C29" w:rsidRPr="00783C29" w:rsidRDefault="00783C29" w:rsidP="005A1143">
      <w:pPr>
        <w:pStyle w:val="SingleTxtGR"/>
        <w:ind w:left="2268" w:hanging="1134"/>
        <w:jc w:val="center"/>
        <w:rPr>
          <w:b/>
          <w:iCs/>
        </w:rPr>
      </w:pPr>
      <w:r w:rsidRPr="00783C29">
        <w:rPr>
          <w:b/>
          <w:i/>
          <w:iCs/>
          <w:lang w:val="en-GB"/>
        </w:rPr>
        <w:object w:dxaOrig="24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33.75pt" o:ole="">
            <v:imagedata r:id="rId9" o:title=""/>
          </v:shape>
          <o:OLEObject Type="Embed" ProgID="Equation.3" ShapeID="_x0000_i1025" DrawAspect="Content" ObjectID="_1613200424" r:id="rId10"/>
        </w:object>
      </w:r>
      <w:r w:rsidRPr="00783C29">
        <w:rPr>
          <w:b/>
          <w:iCs/>
        </w:rPr>
        <w:t>.</w:t>
      </w:r>
    </w:p>
    <w:p w:rsidR="00783C29" w:rsidRPr="00783C29" w:rsidRDefault="005A1143" w:rsidP="005A1143">
      <w:pPr>
        <w:pStyle w:val="SingleTxtGR"/>
        <w:tabs>
          <w:tab w:val="clear" w:pos="1701"/>
        </w:tabs>
        <w:ind w:left="2268" w:hanging="1134"/>
        <w:rPr>
          <w:b/>
          <w:iCs/>
        </w:rPr>
      </w:pPr>
      <w:r>
        <w:rPr>
          <w:b/>
          <w:iCs/>
        </w:rPr>
        <w:tab/>
      </w:r>
      <w:r w:rsidR="00783C29" w:rsidRPr="00783C29">
        <w:rPr>
          <w:b/>
          <w:iCs/>
        </w:rPr>
        <w:t xml:space="preserve">Однако </w:t>
      </w:r>
      <w:r w:rsidR="00783C29" w:rsidRPr="00783C29">
        <w:rPr>
          <w:b/>
        </w:rPr>
        <w:t xml:space="preserve">освещенность </w:t>
      </w:r>
      <w:r w:rsidR="00783C29" w:rsidRPr="00783C29">
        <w:rPr>
          <w:b/>
          <w:i/>
          <w:iCs/>
          <w:lang w:val="en-US"/>
        </w:rPr>
        <w:t>E</w:t>
      </w:r>
      <w:r w:rsidR="00783C29" w:rsidRPr="00783C29">
        <w:rPr>
          <w:b/>
          <w:vertAlign w:val="subscript"/>
          <w:lang w:val="en-US"/>
        </w:rPr>
        <w:t>l</w:t>
      </w:r>
      <w:r w:rsidR="00783C29" w:rsidRPr="00783C29">
        <w:rPr>
          <w:b/>
        </w:rPr>
        <w:t xml:space="preserve"> должна быть не ниже 10 000 люкс.</w:t>
      </w:r>
    </w:p>
    <w:p w:rsidR="00783C29" w:rsidRPr="00AC1B0B" w:rsidRDefault="00783C29" w:rsidP="00AC1B0B">
      <w:pPr>
        <w:pStyle w:val="SingleTxtGR"/>
        <w:jc w:val="left"/>
        <w:rPr>
          <w:b/>
        </w:rPr>
      </w:pPr>
      <w:r w:rsidRPr="00561C8E">
        <w:rPr>
          <w:b/>
        </w:rPr>
        <w:t>Рис.</w:t>
      </w:r>
      <w:r w:rsidR="00AC1B0B" w:rsidRPr="00561C8E">
        <w:rPr>
          <w:b/>
        </w:rPr>
        <w:t xml:space="preserve"> 1</w:t>
      </w:r>
      <w:r w:rsidR="00AC1B0B" w:rsidRPr="00AC1B0B">
        <w:rPr>
          <w:b/>
        </w:rPr>
        <w:br/>
      </w:r>
      <w:r w:rsidRPr="00AC1B0B">
        <w:rPr>
          <w:b/>
        </w:rPr>
        <w:t>Типовая схема размещения для измерения яркости воздействующего солнечного света (паразитного эффекта)</w:t>
      </w:r>
    </w:p>
    <w:p w:rsidR="00783C29" w:rsidRPr="00783C29" w:rsidRDefault="00783C29" w:rsidP="00783C29">
      <w:pPr>
        <w:pStyle w:val="SingleTxtGR"/>
        <w:rPr>
          <w:b/>
          <w:i/>
          <w:iCs/>
          <w:lang w:val="it-IT"/>
        </w:rPr>
      </w:pPr>
      <w:r w:rsidRPr="00783C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37E61" wp14:editId="0BA43A9D">
                <wp:simplePos x="0" y="0"/>
                <wp:positionH relativeFrom="column">
                  <wp:posOffset>2667635</wp:posOffset>
                </wp:positionH>
                <wp:positionV relativeFrom="paragraph">
                  <wp:posOffset>1994535</wp:posOffset>
                </wp:positionV>
                <wp:extent cx="1958975" cy="290830"/>
                <wp:effectExtent l="635" t="3810" r="2540" b="635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C29" w:rsidRPr="00994F5E" w:rsidRDefault="00783C29" w:rsidP="00783C2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Исходная</w:t>
                            </w:r>
                            <w:r w:rsidRPr="00994F5E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ось</w:t>
                            </w:r>
                            <w:r w:rsidRPr="00183786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огня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37E61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210.05pt;margin-top:157.05pt;width:154.25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" stroked="f">
                <v:textbox>
                  <w:txbxContent>
                    <w:p w:rsidR="00783C29" w:rsidRPr="00994F5E" w:rsidRDefault="00783C29" w:rsidP="00783C2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Исходная</w:t>
                      </w:r>
                      <w:r w:rsidRPr="00994F5E">
                        <w:rPr>
                          <w:b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ось</w:t>
                      </w:r>
                      <w:r w:rsidRPr="00183786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огня</w:t>
                      </w:r>
                    </w:p>
                  </w:txbxContent>
                </v:textbox>
              </v:shape>
            </w:pict>
          </mc:Fallback>
        </mc:AlternateContent>
      </w:r>
      <w:r w:rsidRPr="00783C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6957AD" wp14:editId="02555BFF">
                <wp:simplePos x="0" y="0"/>
                <wp:positionH relativeFrom="column">
                  <wp:posOffset>3627755</wp:posOffset>
                </wp:positionH>
                <wp:positionV relativeFrom="paragraph">
                  <wp:posOffset>1480185</wp:posOffset>
                </wp:positionV>
                <wp:extent cx="520700" cy="476250"/>
                <wp:effectExtent l="8255" t="51435" r="52070" b="5715"/>
                <wp:wrapNone/>
                <wp:docPr id="59" name="Gerade Verbindung mit Pfei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070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E206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" o:spid="_x0000_s1026" type="#_x0000_t32" style="position:absolute;margin-left:285.65pt;margin-top:116.55pt;width:41pt;height:37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">
                <v:stroke endarrow="block"/>
              </v:shape>
            </w:pict>
          </mc:Fallback>
        </mc:AlternateContent>
      </w:r>
      <w:r w:rsidRPr="00783C29">
        <w:rPr>
          <w:b/>
          <w:i/>
          <w:iCs/>
          <w:noProof/>
          <w:lang w:eastAsia="ru-RU"/>
        </w:rPr>
        <w:drawing>
          <wp:inline distT="0" distB="0" distL="0" distR="0" wp14:anchorId="1FB6F871" wp14:editId="4965C05F">
            <wp:extent cx="5491843" cy="2082172"/>
            <wp:effectExtent l="0" t="0" r="0" b="0"/>
            <wp:docPr id="60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794" cy="2088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C29" w:rsidRPr="00AC1B0B" w:rsidRDefault="00783C29" w:rsidP="00783C29">
      <w:pPr>
        <w:pStyle w:val="SingleTxtGR"/>
        <w:rPr>
          <w:b/>
          <w:bCs/>
          <w:lang w:val="en-GB"/>
        </w:rPr>
      </w:pPr>
    </w:p>
    <w:p w:rsidR="00783C29" w:rsidRPr="00AC1B0B" w:rsidRDefault="00783C29" w:rsidP="00AC1B0B">
      <w:pPr>
        <w:pStyle w:val="SingleTxtGR"/>
        <w:spacing w:line="240" w:lineRule="auto"/>
        <w:rPr>
          <w:b/>
          <w:sz w:val="18"/>
          <w:szCs w:val="18"/>
        </w:rPr>
      </w:pPr>
      <w:r w:rsidRPr="00AC1B0B">
        <w:rPr>
          <w:b/>
          <w:sz w:val="18"/>
          <w:szCs w:val="18"/>
        </w:rPr>
        <w:t>Обозначения:</w:t>
      </w:r>
    </w:p>
    <w:p w:rsidR="00783C29" w:rsidRPr="00AC1B0B" w:rsidRDefault="00783C29" w:rsidP="00AC1B0B">
      <w:pPr>
        <w:pStyle w:val="SingleTxtGR"/>
        <w:spacing w:line="240" w:lineRule="auto"/>
        <w:rPr>
          <w:b/>
          <w:sz w:val="18"/>
          <w:szCs w:val="18"/>
        </w:rPr>
      </w:pPr>
      <w:r w:rsidRPr="00AC1B0B">
        <w:rPr>
          <w:b/>
          <w:sz w:val="18"/>
          <w:szCs w:val="18"/>
        </w:rPr>
        <w:t>1 – прожектор</w:t>
      </w:r>
    </w:p>
    <w:p w:rsidR="00783C29" w:rsidRPr="00AC1B0B" w:rsidRDefault="00783C29" w:rsidP="00AC1B0B">
      <w:pPr>
        <w:pStyle w:val="SingleTxtGR"/>
        <w:spacing w:line="240" w:lineRule="auto"/>
        <w:rPr>
          <w:b/>
          <w:sz w:val="18"/>
          <w:szCs w:val="18"/>
        </w:rPr>
      </w:pPr>
      <w:r w:rsidRPr="00AC1B0B">
        <w:rPr>
          <w:b/>
          <w:sz w:val="18"/>
          <w:szCs w:val="18"/>
        </w:rPr>
        <w:t>2 – сигнальный огонь</w:t>
      </w:r>
    </w:p>
    <w:p w:rsidR="00783C29" w:rsidRPr="00AC1B0B" w:rsidRDefault="00783C29" w:rsidP="00AC1B0B">
      <w:pPr>
        <w:pStyle w:val="SingleTxtGR"/>
        <w:spacing w:line="240" w:lineRule="auto"/>
        <w:rPr>
          <w:b/>
          <w:sz w:val="18"/>
          <w:szCs w:val="18"/>
        </w:rPr>
      </w:pPr>
      <w:r w:rsidRPr="00AC1B0B">
        <w:rPr>
          <w:b/>
          <w:sz w:val="18"/>
          <w:szCs w:val="18"/>
        </w:rPr>
        <w:t>3 – светоизлучающая поверхность</w:t>
      </w:r>
    </w:p>
    <w:p w:rsidR="00783C29" w:rsidRDefault="00783C29" w:rsidP="00ED686C">
      <w:pPr>
        <w:pStyle w:val="SingleTxtGR"/>
        <w:spacing w:line="240" w:lineRule="auto"/>
        <w:rPr>
          <w:b/>
          <w:sz w:val="18"/>
          <w:szCs w:val="18"/>
        </w:rPr>
      </w:pPr>
      <w:r w:rsidRPr="00AC1B0B">
        <w:rPr>
          <w:b/>
          <w:sz w:val="18"/>
          <w:szCs w:val="18"/>
        </w:rPr>
        <w:t>4 – измерительная головка</w:t>
      </w:r>
    </w:p>
    <w:p w:rsidR="00ED686C" w:rsidRDefault="00ED686C">
      <w:pPr>
        <w:suppressAutoHyphens w:val="0"/>
        <w:spacing w:line="240" w:lineRule="auto"/>
        <w:rPr>
          <w:rFonts w:eastAsia="Times New Roman" w:cs="Times New Roman"/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783C29" w:rsidRPr="00783C29" w:rsidRDefault="00B31A34" w:rsidP="00B31A34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</w:rPr>
        <w:lastRenderedPageBreak/>
        <w:tab/>
      </w:r>
      <w:r w:rsidR="00783C29" w:rsidRPr="00783C29">
        <w:rPr>
          <w:b/>
        </w:rPr>
        <w:t xml:space="preserve">Результаты измерения </w:t>
      </w:r>
      <w:r w:rsidR="00783C29" w:rsidRPr="00783C29">
        <w:rPr>
          <w:b/>
          <w:bCs/>
        </w:rPr>
        <w:t xml:space="preserve">степени воздействия солнечного света (паразитного эффекта) весьма зависят от геометрии </w:t>
      </w:r>
      <w:r w:rsidR="00783C29" w:rsidRPr="00783C29">
        <w:rPr>
          <w:b/>
        </w:rPr>
        <w:t>измерения. Для получения сопоставимых результатов измерения рекомендуется проводить на расстоянии 10 м.</w:t>
      </w:r>
    </w:p>
    <w:p w:rsidR="00783C29" w:rsidRPr="00783C29" w:rsidRDefault="00A2286A" w:rsidP="00B31A34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</w:rPr>
        <w:tab/>
      </w:r>
      <w:r w:rsidR="00783C29" w:rsidRPr="00783C29">
        <w:rPr>
          <w:b/>
        </w:rPr>
        <w:t>Допускается уменьшение этого расстояния при условии обеспечения прожектором требуемой однородности яркости, а также соблюдения всех остальных требуемых параметров, указанных в настоящем приложении, и если это разрешается инструкцией по эксплуатации измерительной головки.</w:t>
      </w:r>
    </w:p>
    <w:p w:rsidR="00783C29" w:rsidRPr="00783C29" w:rsidRDefault="00A2286A" w:rsidP="00B31A34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</w:rPr>
        <w:tab/>
      </w:r>
      <w:r w:rsidR="00783C29" w:rsidRPr="00783C29">
        <w:rPr>
          <w:b/>
        </w:rPr>
        <w:t xml:space="preserve">Измерительную головку для определения </w:t>
      </w:r>
      <w:r w:rsidR="00783C29" w:rsidRPr="00783C29">
        <w:rPr>
          <w:b/>
          <w:bCs/>
        </w:rPr>
        <w:t xml:space="preserve">яркости располагают таким образом, чтобы исходная ось огня совпадала с осью </w:t>
      </w:r>
      <w:r w:rsidR="00783C29" w:rsidRPr="00783C29">
        <w:rPr>
          <w:b/>
        </w:rPr>
        <w:t>измерительной головки.</w:t>
      </w:r>
    </w:p>
    <w:p w:rsidR="00783C29" w:rsidRPr="00783C29" w:rsidRDefault="00783C29" w:rsidP="00B31A34">
      <w:pPr>
        <w:pStyle w:val="SingleTxtGR"/>
        <w:tabs>
          <w:tab w:val="clear" w:pos="1701"/>
        </w:tabs>
        <w:ind w:left="2268" w:hanging="1134"/>
        <w:rPr>
          <w:b/>
        </w:rPr>
      </w:pPr>
      <w:r w:rsidRPr="00783C29">
        <w:rPr>
          <w:b/>
        </w:rPr>
        <w:t>2.</w:t>
      </w:r>
      <w:r w:rsidRPr="00783C29">
        <w:rPr>
          <w:b/>
        </w:rPr>
        <w:tab/>
        <w:t>Измерения проводят в нижеследующей последовательности.</w:t>
      </w:r>
    </w:p>
    <w:p w:rsidR="00783C29" w:rsidRPr="00783C29" w:rsidRDefault="00783C29" w:rsidP="00B31A34">
      <w:pPr>
        <w:pStyle w:val="SingleTxtGR"/>
        <w:tabs>
          <w:tab w:val="clear" w:pos="1701"/>
        </w:tabs>
        <w:ind w:left="2268" w:hanging="1134"/>
        <w:rPr>
          <w:b/>
        </w:rPr>
      </w:pPr>
      <w:r w:rsidRPr="00783C29">
        <w:rPr>
          <w:b/>
        </w:rPr>
        <w:t>2.1</w:t>
      </w:r>
      <w:r w:rsidRPr="00783C29">
        <w:rPr>
          <w:b/>
        </w:rPr>
        <w:tab/>
        <w:t>Сперва определяют светоизлучающую поверхность огня (функции), являющегося объектом измерения:</w:t>
      </w:r>
    </w:p>
    <w:p w:rsidR="00783C29" w:rsidRPr="00783C29" w:rsidRDefault="0086064A" w:rsidP="00A2286A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</w:rPr>
        <w:tab/>
      </w:r>
      <w:r w:rsidR="00D76A50">
        <w:rPr>
          <w:b/>
        </w:rPr>
        <w:t>–</w:t>
      </w:r>
      <w:r w:rsidR="00D76A50">
        <w:rPr>
          <w:b/>
        </w:rPr>
        <w:tab/>
      </w:r>
      <w:r w:rsidR="00783C29" w:rsidRPr="00783C29">
        <w:rPr>
          <w:b/>
        </w:rPr>
        <w:t>при включенном огне (функции);</w:t>
      </w:r>
    </w:p>
    <w:p w:rsidR="00783C29" w:rsidRPr="0086064A" w:rsidRDefault="0086064A" w:rsidP="00A2286A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</w:rPr>
        <w:tab/>
      </w:r>
      <w:r w:rsidR="00D76A50">
        <w:rPr>
          <w:b/>
        </w:rPr>
        <w:t>–</w:t>
      </w:r>
      <w:r w:rsidR="00D76A50">
        <w:rPr>
          <w:b/>
        </w:rPr>
        <w:tab/>
      </w:r>
      <w:r w:rsidR="00783C29" w:rsidRPr="00783C29">
        <w:rPr>
          <w:b/>
        </w:rPr>
        <w:t>и при выключенном прожекторе.</w:t>
      </w:r>
    </w:p>
    <w:p w:rsidR="00783C29" w:rsidRPr="00EE5FB5" w:rsidRDefault="00783C29" w:rsidP="00A2286A">
      <w:pPr>
        <w:pStyle w:val="SingleTxtGR"/>
        <w:tabs>
          <w:tab w:val="clear" w:pos="1701"/>
        </w:tabs>
        <w:ind w:left="2268" w:hanging="1134"/>
        <w:rPr>
          <w:b/>
        </w:rPr>
      </w:pPr>
      <w:r w:rsidRPr="00783C29">
        <w:rPr>
          <w:b/>
        </w:rPr>
        <w:t>2.2</w:t>
      </w:r>
      <w:r w:rsidRPr="00783C29">
        <w:rPr>
          <w:b/>
        </w:rPr>
        <w:tab/>
        <w:t xml:space="preserve">Во-вторых, на светоизлучающей поверхности огня (функции), являющегося объектом измерения согласно пункту 2.1, определяют среднюю </w:t>
      </w:r>
      <w:r w:rsidRPr="00783C29">
        <w:rPr>
          <w:b/>
          <w:bCs/>
        </w:rPr>
        <w:t>яркость</w:t>
      </w:r>
      <w:r w:rsidRPr="00EE5FB5">
        <w:rPr>
          <w:b/>
          <w:i/>
          <w:iCs/>
        </w:rPr>
        <w:t xml:space="preserve"> </w:t>
      </w:r>
      <w:r w:rsidRPr="00783C29">
        <w:rPr>
          <w:b/>
          <w:i/>
          <w:iCs/>
          <w:lang w:val="en-US"/>
        </w:rPr>
        <w:t>L</w:t>
      </w:r>
      <w:r w:rsidRPr="00783C29">
        <w:rPr>
          <w:b/>
          <w:vertAlign w:val="subscript"/>
          <w:lang w:val="en-US"/>
        </w:rPr>
        <w:t>s</w:t>
      </w:r>
      <w:r w:rsidRPr="00EE5FB5">
        <w:rPr>
          <w:b/>
        </w:rPr>
        <w:t>:</w:t>
      </w:r>
    </w:p>
    <w:p w:rsidR="00783C29" w:rsidRPr="0086064A" w:rsidRDefault="0086064A" w:rsidP="00A2286A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</w:rPr>
        <w:tab/>
      </w:r>
      <w:r w:rsidR="00D76A50">
        <w:rPr>
          <w:b/>
        </w:rPr>
        <w:t>–</w:t>
      </w:r>
      <w:r w:rsidR="00D76A50">
        <w:rPr>
          <w:b/>
        </w:rPr>
        <w:tab/>
      </w:r>
      <w:r w:rsidR="00783C29" w:rsidRPr="00783C29">
        <w:rPr>
          <w:b/>
        </w:rPr>
        <w:t>при включенном огне;</w:t>
      </w:r>
    </w:p>
    <w:p w:rsidR="00783C29" w:rsidRPr="0086064A" w:rsidRDefault="0086064A" w:rsidP="00A2286A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</w:rPr>
        <w:tab/>
      </w:r>
      <w:r w:rsidR="00D76A50">
        <w:rPr>
          <w:b/>
        </w:rPr>
        <w:t>–</w:t>
      </w:r>
      <w:r w:rsidR="00D76A50">
        <w:rPr>
          <w:b/>
        </w:rPr>
        <w:tab/>
      </w:r>
      <w:r w:rsidR="00783C29" w:rsidRPr="00783C29">
        <w:rPr>
          <w:b/>
        </w:rPr>
        <w:t>и при выключенном прожекторе.</w:t>
      </w:r>
    </w:p>
    <w:p w:rsidR="00783C29" w:rsidRPr="00ED686C" w:rsidRDefault="00783C29" w:rsidP="00A2286A">
      <w:pPr>
        <w:pStyle w:val="SingleTxtGR"/>
        <w:tabs>
          <w:tab w:val="clear" w:pos="1701"/>
        </w:tabs>
        <w:ind w:left="2268" w:hanging="1134"/>
        <w:rPr>
          <w:b/>
        </w:rPr>
      </w:pPr>
      <w:r w:rsidRPr="00783C29">
        <w:rPr>
          <w:b/>
        </w:rPr>
        <w:t>2.3</w:t>
      </w:r>
      <w:r w:rsidRPr="00783C29">
        <w:rPr>
          <w:b/>
        </w:rPr>
        <w:tab/>
        <w:t xml:space="preserve">В-третьих, на светоизлучающей поверхности огня (функции), являющегося объектом измерения согласно пункту 2.1, определяют среднюю </w:t>
      </w:r>
      <w:r w:rsidRPr="00783C29">
        <w:rPr>
          <w:b/>
          <w:bCs/>
        </w:rPr>
        <w:t>яркость</w:t>
      </w:r>
      <w:r w:rsidRPr="00ED686C">
        <w:rPr>
          <w:b/>
          <w:i/>
          <w:iCs/>
        </w:rPr>
        <w:t xml:space="preserve"> </w:t>
      </w:r>
      <w:r w:rsidRPr="00783C29">
        <w:rPr>
          <w:b/>
          <w:i/>
          <w:iCs/>
          <w:lang w:val="en-US"/>
        </w:rPr>
        <w:t>L</w:t>
      </w:r>
      <w:r w:rsidRPr="00783C29">
        <w:rPr>
          <w:b/>
          <w:vertAlign w:val="subscript"/>
          <w:lang w:val="en-US"/>
        </w:rPr>
        <w:t>ph</w:t>
      </w:r>
      <w:r w:rsidRPr="00ED686C">
        <w:rPr>
          <w:b/>
        </w:rPr>
        <w:t>:</w:t>
      </w:r>
    </w:p>
    <w:p w:rsidR="00783C29" w:rsidRPr="0086064A" w:rsidRDefault="0086064A" w:rsidP="00A2286A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</w:rPr>
        <w:tab/>
      </w:r>
      <w:r w:rsidR="00D76A50">
        <w:rPr>
          <w:b/>
        </w:rPr>
        <w:t>–</w:t>
      </w:r>
      <w:r w:rsidR="00D76A50">
        <w:rPr>
          <w:b/>
        </w:rPr>
        <w:tab/>
      </w:r>
      <w:r w:rsidR="00783C29" w:rsidRPr="00783C29">
        <w:rPr>
          <w:b/>
        </w:rPr>
        <w:t>при включенном прожекторе;</w:t>
      </w:r>
    </w:p>
    <w:p w:rsidR="00783C29" w:rsidRPr="0086064A" w:rsidRDefault="0086064A" w:rsidP="00A2286A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</w:rPr>
        <w:tab/>
      </w:r>
      <w:r w:rsidR="00D76A50">
        <w:rPr>
          <w:b/>
        </w:rPr>
        <w:t>–</w:t>
      </w:r>
      <w:r w:rsidR="00D76A50">
        <w:rPr>
          <w:b/>
        </w:rPr>
        <w:tab/>
      </w:r>
      <w:r w:rsidR="00783C29" w:rsidRPr="00783C29">
        <w:rPr>
          <w:b/>
        </w:rPr>
        <w:t>и при выключенном огне.</w:t>
      </w:r>
    </w:p>
    <w:p w:rsidR="00783C29" w:rsidRPr="00783C29" w:rsidRDefault="00783C29" w:rsidP="00A2286A">
      <w:pPr>
        <w:pStyle w:val="SingleTxtGR"/>
        <w:tabs>
          <w:tab w:val="clear" w:pos="1701"/>
        </w:tabs>
        <w:ind w:left="2268" w:hanging="1134"/>
        <w:rPr>
          <w:b/>
        </w:rPr>
      </w:pPr>
      <w:r w:rsidRPr="00783C29">
        <w:rPr>
          <w:b/>
        </w:rPr>
        <w:t>2.4</w:t>
      </w:r>
      <w:r w:rsidRPr="00783C29">
        <w:rPr>
          <w:b/>
        </w:rPr>
        <w:tab/>
        <w:t xml:space="preserve">Следует отметить, что в последних двух случаях (пункты 2.2 и 2.3) измерительной головкой или, соответственно, измерительной системой для определения средней </w:t>
      </w:r>
      <w:r w:rsidRPr="00783C29">
        <w:rPr>
          <w:b/>
          <w:bCs/>
        </w:rPr>
        <w:t>яркости захватывается площадь всей</w:t>
      </w:r>
      <w:r w:rsidRPr="00783C29">
        <w:rPr>
          <w:b/>
        </w:rPr>
        <w:t xml:space="preserve"> светоизлучающей поверхности огня, являющегося объектом измерения.</w:t>
      </w:r>
    </w:p>
    <w:p w:rsidR="00783C29" w:rsidRPr="00783C29" w:rsidRDefault="00783C29" w:rsidP="00A2286A">
      <w:pPr>
        <w:pStyle w:val="SingleTxtGR"/>
        <w:tabs>
          <w:tab w:val="clear" w:pos="1701"/>
        </w:tabs>
        <w:ind w:left="2268" w:hanging="1134"/>
        <w:rPr>
          <w:b/>
        </w:rPr>
      </w:pPr>
      <w:r w:rsidRPr="00783C29">
        <w:rPr>
          <w:b/>
        </w:rPr>
        <w:t>2.5</w:t>
      </w:r>
      <w:r w:rsidRPr="00783C29">
        <w:rPr>
          <w:b/>
        </w:rPr>
        <w:tab/>
        <w:t xml:space="preserve">Коэффициент </w:t>
      </w:r>
      <w:r w:rsidRPr="00783C29">
        <w:rPr>
          <w:b/>
          <w:lang w:val="en-US"/>
        </w:rPr>
        <w:t>F</w:t>
      </w:r>
      <w:r w:rsidRPr="00783C29">
        <w:rPr>
          <w:b/>
          <w:vertAlign w:val="subscript"/>
          <w:lang w:val="en-US"/>
        </w:rPr>
        <w:t>ph</w:t>
      </w:r>
      <w:r w:rsidRPr="00783C29">
        <w:rPr>
          <w:b/>
        </w:rPr>
        <w:t xml:space="preserve">, отражающий соотношение яркости </w:t>
      </w:r>
      <w:r w:rsidRPr="00783C29">
        <w:rPr>
          <w:b/>
          <w:i/>
          <w:iCs/>
          <w:lang w:val="en-US"/>
        </w:rPr>
        <w:t>L</w:t>
      </w:r>
      <w:r w:rsidRPr="00783C29">
        <w:rPr>
          <w:b/>
          <w:vertAlign w:val="subscript"/>
          <w:lang w:val="en-US"/>
        </w:rPr>
        <w:t>s</w:t>
      </w:r>
      <w:r w:rsidRPr="00783C29">
        <w:rPr>
          <w:b/>
        </w:rPr>
        <w:t xml:space="preserve"> реального сигнала и яркости </w:t>
      </w:r>
      <w:r w:rsidRPr="00783C29">
        <w:rPr>
          <w:b/>
          <w:i/>
          <w:iCs/>
          <w:lang w:val="en-US"/>
        </w:rPr>
        <w:t>L</w:t>
      </w:r>
      <w:r w:rsidRPr="00783C29">
        <w:rPr>
          <w:b/>
          <w:vertAlign w:val="subscript"/>
          <w:lang w:val="en-US"/>
        </w:rPr>
        <w:t>ph</w:t>
      </w:r>
      <w:r w:rsidRPr="00783C29">
        <w:rPr>
          <w:b/>
        </w:rPr>
        <w:t xml:space="preserve"> воздействующего</w:t>
      </w:r>
      <w:r w:rsidRPr="00783C29">
        <w:rPr>
          <w:b/>
          <w:bCs/>
        </w:rPr>
        <w:t xml:space="preserve"> солнечного света</w:t>
      </w:r>
      <w:r w:rsidRPr="00783C29">
        <w:rPr>
          <w:b/>
        </w:rPr>
        <w:t>, записывается нижеследующим уравнением:</w:t>
      </w:r>
    </w:p>
    <w:p w:rsidR="00783C29" w:rsidRPr="00783C29" w:rsidRDefault="008874AA" w:rsidP="00783C29">
      <w:pPr>
        <w:pStyle w:val="SingleTxtGR"/>
      </w:pPr>
      <w:r>
        <w:rPr>
          <w:lang w:val="en-GB"/>
        </w:rPr>
        <w:object w:dxaOrig="1440" w:dyaOrig="1440">
          <v:shape id="_x0000_s1028" type="#_x0000_t75" style="position:absolute;left:0;text-align:left;margin-left:199.25pt;margin-top:.95pt;width:73.5pt;height:50.45pt;z-index:251658240" stroked="t" strokecolor="white">
            <v:imagedata r:id="rId12" o:title=""/>
          </v:shape>
          <o:OLEObject Type="Embed" ProgID="Equation.3" ShapeID="_x0000_s1028" DrawAspect="Content" ObjectID="_1613200425" r:id="rId13"/>
        </w:object>
      </w:r>
    </w:p>
    <w:p w:rsidR="00783C29" w:rsidRPr="00783C29" w:rsidRDefault="00783C29" w:rsidP="00783C29">
      <w:pPr>
        <w:pStyle w:val="SingleTxtGR"/>
      </w:pPr>
    </w:p>
    <w:p w:rsidR="00783C29" w:rsidRPr="00783C29" w:rsidRDefault="0086064A" w:rsidP="0086064A">
      <w:pPr>
        <w:pStyle w:val="SingleTxtGR"/>
        <w:jc w:val="right"/>
        <w:rPr>
          <w:i/>
        </w:rPr>
      </w:pPr>
      <w:r>
        <w:rPr>
          <w:bCs/>
        </w:rPr>
        <w:t>»</w:t>
      </w:r>
    </w:p>
    <w:p w:rsidR="00783C29" w:rsidRPr="00783C29" w:rsidRDefault="00783C29" w:rsidP="0086064A">
      <w:pPr>
        <w:pStyle w:val="HChGR"/>
      </w:pPr>
      <w:r w:rsidRPr="00783C29">
        <w:tab/>
      </w:r>
      <w:r w:rsidRPr="00783C29">
        <w:rPr>
          <w:lang w:val="en-GB"/>
        </w:rPr>
        <w:t>II</w:t>
      </w:r>
      <w:r w:rsidRPr="00783C29">
        <w:t>.</w:t>
      </w:r>
      <w:r w:rsidRPr="00783C29">
        <w:tab/>
        <w:t>Обоснование</w:t>
      </w:r>
    </w:p>
    <w:p w:rsidR="00783C29" w:rsidRPr="00783C29" w:rsidRDefault="00783C29" w:rsidP="00783C29">
      <w:pPr>
        <w:pStyle w:val="SingleTxtGR"/>
      </w:pPr>
      <w:r w:rsidRPr="00783C29">
        <w:t>1.</w:t>
      </w:r>
      <w:r w:rsidRPr="00783C29">
        <w:tab/>
      </w:r>
      <w:r w:rsidRPr="00783C29">
        <w:rPr>
          <w:lang w:val="en-US"/>
        </w:rPr>
        <w:t>GRE</w:t>
      </w:r>
      <w:r w:rsidRPr="00783C29">
        <w:t xml:space="preserve"> приступила к обсуждению данного вопроса несколько лет назад, и Международная группа экспертов по автомобильному освещению и световой сигнализации (БРГ) обратилась к своей Рабочей группе по фотометрии с просьбой найти соответствующее решение. На начальном этапе к проработке научной базы и изысканию основы для предъявляемых требований также привлекалась Рабочая группа БРГ по безопасности и визуальным характеристикам.</w:t>
      </w:r>
    </w:p>
    <w:p w:rsidR="00783C29" w:rsidRDefault="00783C29" w:rsidP="00783C29">
      <w:pPr>
        <w:pStyle w:val="SingleTxtGR"/>
      </w:pPr>
      <w:r w:rsidRPr="00783C29">
        <w:t>2.</w:t>
      </w:r>
      <w:r w:rsidRPr="00783C29">
        <w:tab/>
        <w:t xml:space="preserve">Настоящее предложение основано на результатах ряда исследований, проведенных испытательным центром «ЛТИК» при частичной поддержке, например, </w:t>
      </w:r>
      <w:r w:rsidRPr="00783C29">
        <w:lastRenderedPageBreak/>
        <w:t xml:space="preserve">Национальной лаборатории по безопасности дорожного движения и окружающей среде, которые были представлены на шестьдесят первой сессии </w:t>
      </w:r>
      <w:r w:rsidRPr="00783C29">
        <w:rPr>
          <w:lang w:val="en-GB"/>
        </w:rPr>
        <w:t>GRE</w:t>
      </w:r>
      <w:r w:rsidRPr="00783C29">
        <w:t xml:space="preserve"> (</w:t>
      </w:r>
      <w:r w:rsidRPr="00783C29">
        <w:rPr>
          <w:lang w:val="en-GB"/>
        </w:rPr>
        <w:t>GRE</w:t>
      </w:r>
      <w:r w:rsidRPr="00783C29">
        <w:t xml:space="preserve">-61-01), а также на итогах их последующего обсуждения в Рабочей группе по фотометрии. Эти испытания дают представление о воздействие солнечного света, которое способно настолько замедлить восприятие сигнала, что это чревато серьезной проблемой в плане безопасности. Пороговое значение для </w:t>
      </w:r>
      <w:r w:rsidRPr="00783C29">
        <w:rPr>
          <w:lang w:val="en-GB"/>
        </w:rPr>
        <w:t>F</w:t>
      </w:r>
      <w:r w:rsidRPr="00783C29">
        <w:rPr>
          <w:vertAlign w:val="subscript"/>
          <w:lang w:val="en-GB"/>
        </w:rPr>
        <w:t>ph</w:t>
      </w:r>
      <w:r w:rsidRPr="00783C29">
        <w:t xml:space="preserve"> устанавливается на основе этих исследований, проводившихся с участием ряда наблюдателей, и предлагаемая величина отражает прагматический подход к решению проблемы при сохранении для отрасли свободы выбора проектных решений за счет запрещения использования огней ненадлежащих конструкций. Как сообщалось на семьдесят пятой сессии </w:t>
      </w:r>
      <w:r w:rsidRPr="00783C29">
        <w:rPr>
          <w:lang w:val="en-GB"/>
        </w:rPr>
        <w:t>GRE</w:t>
      </w:r>
      <w:r w:rsidRPr="00783C29">
        <w:t xml:space="preserve"> (</w:t>
      </w:r>
      <w:r w:rsidRPr="00783C29">
        <w:rPr>
          <w:lang w:val="en-GB"/>
        </w:rPr>
        <w:t>GRE</w:t>
      </w:r>
      <w:r w:rsidRPr="00783C29">
        <w:t xml:space="preserve">-75-16), были проведены дополнительные исследования, оценка результатов которых в настоящее время завершена. Единственным «вакантным» значением оставался коэффициент </w:t>
      </w:r>
      <w:r w:rsidRPr="00783C29">
        <w:rPr>
          <w:lang w:val="en-GB"/>
        </w:rPr>
        <w:t>F</w:t>
      </w:r>
      <w:r w:rsidRPr="00783C29">
        <w:rPr>
          <w:vertAlign w:val="subscript"/>
          <w:lang w:val="en-GB"/>
        </w:rPr>
        <w:t>ph</w:t>
      </w:r>
      <w:r w:rsidRPr="00783C29">
        <w:t xml:space="preserve">, в случае которого нами предлагается </w:t>
      </w:r>
      <w:r w:rsidRPr="00783C29">
        <w:rPr>
          <w:lang w:val="en-GB"/>
        </w:rPr>
        <w:t>F</w:t>
      </w:r>
      <w:r w:rsidRPr="00783C29">
        <w:rPr>
          <w:vertAlign w:val="subscript"/>
          <w:lang w:val="en-GB"/>
        </w:rPr>
        <w:t>ph</w:t>
      </w:r>
      <w:r w:rsidRPr="00783C29">
        <w:rPr>
          <w:vertAlign w:val="subscript"/>
        </w:rPr>
        <w:t> </w:t>
      </w:r>
      <w:r w:rsidRPr="00783C29">
        <w:t xml:space="preserve">= 3 (например, для дорожных знаков оно составляет согласно соответствующему стандарту </w:t>
      </w:r>
      <w:r w:rsidRPr="00783C29">
        <w:rPr>
          <w:lang w:val="en-GB"/>
        </w:rPr>
        <w:t>F</w:t>
      </w:r>
      <w:r w:rsidRPr="00783C29">
        <w:rPr>
          <w:vertAlign w:val="subscript"/>
          <w:lang w:val="en-GB"/>
        </w:rPr>
        <w:t>ph</w:t>
      </w:r>
      <w:r w:rsidRPr="00783C29">
        <w:t> = 5).</w:t>
      </w:r>
    </w:p>
    <w:p w:rsidR="00783C29" w:rsidRPr="00DB28D0" w:rsidRDefault="00DB28D0" w:rsidP="00DB28D0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2C5F" w:rsidRPr="008D53B6" w:rsidRDefault="00E12C5F" w:rsidP="002E5067"/>
    <w:sectPr w:rsidR="00E12C5F" w:rsidRPr="008D53B6" w:rsidSect="00783C2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87C" w:rsidRPr="00A312BC" w:rsidRDefault="0037387C" w:rsidP="00A312BC"/>
  </w:endnote>
  <w:endnote w:type="continuationSeparator" w:id="0">
    <w:p w:rsidR="0037387C" w:rsidRPr="00A312BC" w:rsidRDefault="0037387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C29" w:rsidRPr="00783C29" w:rsidRDefault="00783C29">
    <w:pPr>
      <w:pStyle w:val="Footer"/>
    </w:pPr>
    <w:r w:rsidRPr="00783C29">
      <w:rPr>
        <w:b/>
        <w:sz w:val="18"/>
      </w:rPr>
      <w:fldChar w:fldCharType="begin"/>
    </w:r>
    <w:r w:rsidRPr="00783C29">
      <w:rPr>
        <w:b/>
        <w:sz w:val="18"/>
      </w:rPr>
      <w:instrText xml:space="preserve"> PAGE  \* MERGEFORMAT </w:instrText>
    </w:r>
    <w:r w:rsidRPr="00783C29">
      <w:rPr>
        <w:b/>
        <w:sz w:val="18"/>
      </w:rPr>
      <w:fldChar w:fldCharType="separate"/>
    </w:r>
    <w:r w:rsidR="004B07ED">
      <w:rPr>
        <w:b/>
        <w:noProof/>
        <w:sz w:val="18"/>
      </w:rPr>
      <w:t>4</w:t>
    </w:r>
    <w:r w:rsidRPr="00783C29">
      <w:rPr>
        <w:b/>
        <w:sz w:val="18"/>
      </w:rPr>
      <w:fldChar w:fldCharType="end"/>
    </w:r>
    <w:r>
      <w:rPr>
        <w:b/>
        <w:sz w:val="18"/>
      </w:rPr>
      <w:tab/>
    </w:r>
    <w:r>
      <w:t>GE.19-01448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C29" w:rsidRPr="00783C29" w:rsidRDefault="00783C29" w:rsidP="00783C29">
    <w:pPr>
      <w:pStyle w:val="Footer"/>
      <w:tabs>
        <w:tab w:val="clear" w:pos="9639"/>
        <w:tab w:val="right" w:pos="9638"/>
      </w:tabs>
      <w:rPr>
        <w:b/>
        <w:sz w:val="18"/>
      </w:rPr>
    </w:pPr>
    <w:r>
      <w:t>GE.19-01448</w:t>
    </w:r>
    <w:r>
      <w:tab/>
    </w:r>
    <w:r w:rsidRPr="00783C29">
      <w:rPr>
        <w:b/>
        <w:sz w:val="18"/>
      </w:rPr>
      <w:fldChar w:fldCharType="begin"/>
    </w:r>
    <w:r w:rsidRPr="00783C29">
      <w:rPr>
        <w:b/>
        <w:sz w:val="18"/>
      </w:rPr>
      <w:instrText xml:space="preserve"> PAGE  \* MERGEFORMAT </w:instrText>
    </w:r>
    <w:r w:rsidRPr="00783C29">
      <w:rPr>
        <w:b/>
        <w:sz w:val="18"/>
      </w:rPr>
      <w:fldChar w:fldCharType="separate"/>
    </w:r>
    <w:r w:rsidR="004B07ED">
      <w:rPr>
        <w:b/>
        <w:noProof/>
        <w:sz w:val="18"/>
      </w:rPr>
      <w:t>5</w:t>
    </w:r>
    <w:r w:rsidRPr="00783C2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783C29" w:rsidRDefault="00783C29" w:rsidP="00783C29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19-01448  (R)</w:t>
    </w:r>
    <w:r>
      <w:rPr>
        <w:lang w:val="en-US"/>
      </w:rPr>
      <w:t xml:space="preserve">  190219  190219</w:t>
    </w:r>
    <w:r>
      <w:br/>
    </w:r>
    <w:r w:rsidRPr="00783C29">
      <w:rPr>
        <w:rFonts w:ascii="C39T30Lfz" w:hAnsi="C39T30Lfz"/>
        <w:kern w:val="14"/>
        <w:sz w:val="56"/>
      </w:rPr>
      <w:t></w:t>
    </w:r>
    <w:r w:rsidRPr="00783C29">
      <w:rPr>
        <w:rFonts w:ascii="C39T30Lfz" w:hAnsi="C39T30Lfz"/>
        <w:kern w:val="14"/>
        <w:sz w:val="56"/>
      </w:rPr>
      <w:t></w:t>
    </w:r>
    <w:r w:rsidRPr="00783C29">
      <w:rPr>
        <w:rFonts w:ascii="C39T30Lfz" w:hAnsi="C39T30Lfz"/>
        <w:kern w:val="14"/>
        <w:sz w:val="56"/>
      </w:rPr>
      <w:t></w:t>
    </w:r>
    <w:r w:rsidRPr="00783C29">
      <w:rPr>
        <w:rFonts w:ascii="C39T30Lfz" w:hAnsi="C39T30Lfz"/>
        <w:kern w:val="14"/>
        <w:sz w:val="56"/>
      </w:rPr>
      <w:t></w:t>
    </w:r>
    <w:r w:rsidRPr="00783C29">
      <w:rPr>
        <w:rFonts w:ascii="C39T30Lfz" w:hAnsi="C39T30Lfz"/>
        <w:kern w:val="14"/>
        <w:sz w:val="56"/>
      </w:rPr>
      <w:t></w:t>
    </w:r>
    <w:r w:rsidRPr="00783C29">
      <w:rPr>
        <w:rFonts w:ascii="C39T30Lfz" w:hAnsi="C39T30Lfz"/>
        <w:kern w:val="14"/>
        <w:sz w:val="56"/>
      </w:rPr>
      <w:t></w:t>
    </w:r>
    <w:r w:rsidRPr="00783C29">
      <w:rPr>
        <w:rFonts w:ascii="C39T30Lfz" w:hAnsi="C39T30Lfz"/>
        <w:kern w:val="14"/>
        <w:sz w:val="56"/>
      </w:rPr>
      <w:t></w:t>
    </w:r>
    <w:r w:rsidRPr="00783C29">
      <w:rPr>
        <w:rFonts w:ascii="C39T30Lfz" w:hAnsi="C39T30Lfz"/>
        <w:kern w:val="14"/>
        <w:sz w:val="56"/>
      </w:rPr>
      <w:t></w:t>
    </w:r>
    <w:r w:rsidRPr="00783C29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E/2019/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9/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87C" w:rsidRPr="001075E9" w:rsidRDefault="0037387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7387C" w:rsidRDefault="0037387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783C29" w:rsidRPr="00517961" w:rsidRDefault="00783C29" w:rsidP="00783C29">
      <w:pPr>
        <w:pStyle w:val="FootnoteText"/>
      </w:pPr>
      <w:r w:rsidRPr="00A90EA8">
        <w:tab/>
      </w:r>
      <w:r w:rsidRPr="00145749">
        <w:rPr>
          <w:rStyle w:val="FootnoteReference"/>
          <w:sz w:val="20"/>
          <w:vertAlign w:val="baseline"/>
        </w:rPr>
        <w:t>*</w:t>
      </w:r>
      <w:r w:rsidRPr="00517961">
        <w:rPr>
          <w:sz w:val="20"/>
        </w:rPr>
        <w:tab/>
      </w:r>
      <w:r w:rsidRPr="009D6549">
        <w:rPr>
          <w:szCs w:val="18"/>
        </w:rPr>
        <w:t>В соответствии с программой работы Комитета по внутреннему транспорту на 2018–2019 годы (</w:t>
      </w:r>
      <w:r w:rsidRPr="005630D1">
        <w:rPr>
          <w:szCs w:val="18"/>
          <w:lang w:val="en-US"/>
        </w:rPr>
        <w:t>ECE</w:t>
      </w:r>
      <w:r w:rsidRPr="009D6549">
        <w:rPr>
          <w:szCs w:val="18"/>
        </w:rPr>
        <w:t>/</w:t>
      </w:r>
      <w:r w:rsidRPr="005630D1">
        <w:rPr>
          <w:szCs w:val="18"/>
          <w:lang w:val="en-US"/>
        </w:rPr>
        <w:t>TRANS</w:t>
      </w:r>
      <w:r>
        <w:rPr>
          <w:szCs w:val="18"/>
        </w:rPr>
        <w:t>/274, пункт 123</w:t>
      </w:r>
      <w:r w:rsidRPr="009D6549">
        <w:rPr>
          <w:szCs w:val="18"/>
        </w:rPr>
        <w:t xml:space="preserve">, и </w:t>
      </w:r>
      <w:r w:rsidRPr="00B15178">
        <w:rPr>
          <w:szCs w:val="18"/>
          <w:lang w:val="en-US"/>
        </w:rPr>
        <w:t>ECE</w:t>
      </w:r>
      <w:r w:rsidRPr="009D6549">
        <w:rPr>
          <w:szCs w:val="18"/>
        </w:rPr>
        <w:t>/</w:t>
      </w:r>
      <w:r w:rsidRPr="00B15178">
        <w:rPr>
          <w:szCs w:val="18"/>
          <w:lang w:val="en-US"/>
        </w:rPr>
        <w:t>TRANS</w:t>
      </w:r>
      <w:r w:rsidRPr="009D6549">
        <w:rPr>
          <w:szCs w:val="18"/>
        </w:rPr>
        <w:t>/2018/21/</w:t>
      </w:r>
      <w:r w:rsidRPr="00B15178">
        <w:rPr>
          <w:szCs w:val="18"/>
          <w:lang w:val="en-US"/>
        </w:rPr>
        <w:t>Add</w:t>
      </w:r>
      <w:r w:rsidRPr="009D6549">
        <w:rPr>
          <w:szCs w:val="18"/>
        </w:rPr>
        <w:t>.1</w:t>
      </w:r>
      <w:r>
        <w:rPr>
          <w:szCs w:val="18"/>
        </w:rPr>
        <w:t>, направление деятельности 3.1</w:t>
      </w:r>
      <w:r w:rsidRPr="009D6549">
        <w:rPr>
          <w:szCs w:val="18"/>
        </w:rPr>
        <w:t xml:space="preserve">) Всемирный форум будет разрабатывать, согласовывать и обновлять правила ООН в целях улучшения характеристик транспортных средств. </w:t>
      </w:r>
      <w:r w:rsidRPr="005630D1">
        <w:rPr>
          <w:szCs w:val="18"/>
          <w:lang w:val="en-US"/>
        </w:rPr>
        <w:t>Н</w:t>
      </w:r>
      <w:r>
        <w:rPr>
          <w:szCs w:val="18"/>
          <w:lang w:val="en-US"/>
        </w:rPr>
        <w:t>астоящий документ представлен в </w:t>
      </w:r>
      <w:r w:rsidRPr="005630D1">
        <w:rPr>
          <w:szCs w:val="18"/>
          <w:lang w:val="en-US"/>
        </w:rPr>
        <w:t>соответствии с этим мандатом</w:t>
      </w:r>
      <w:r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C29" w:rsidRPr="00783C29" w:rsidRDefault="004B07ED">
    <w:pPr>
      <w:pStyle w:val="Header"/>
    </w:pPr>
    <w:fldSimple w:instr=" TITLE  \* MERGEFORMAT ">
      <w:r>
        <w:t>ECE/TRANS/WP.29/GRE/2019/7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C29" w:rsidRPr="00783C29" w:rsidRDefault="004B07ED" w:rsidP="00783C29">
    <w:pPr>
      <w:pStyle w:val="Header"/>
      <w:jc w:val="right"/>
    </w:pPr>
    <w:fldSimple w:instr=" TITLE  \* MERGEFORMAT ">
      <w:r>
        <w:t>ECE/TRANS/WP.29/GRE/2019/7</w:t>
      </w:r>
    </w:fldSimple>
  </w:p>
  <w:p w:rsidR="00094FF5" w:rsidRDefault="00094FF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8D0" w:rsidRDefault="00DB28D0" w:rsidP="00DB28D0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D0DC2"/>
    <w:multiLevelType w:val="hybridMultilevel"/>
    <w:tmpl w:val="05EA3194"/>
    <w:lvl w:ilvl="0" w:tplc="FB8015F0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87C"/>
    <w:rsid w:val="0002530E"/>
    <w:rsid w:val="00033EE1"/>
    <w:rsid w:val="00042B72"/>
    <w:rsid w:val="000558BD"/>
    <w:rsid w:val="00094FF5"/>
    <w:rsid w:val="000B57E7"/>
    <w:rsid w:val="000B6373"/>
    <w:rsid w:val="000E4E5B"/>
    <w:rsid w:val="000F0705"/>
    <w:rsid w:val="000F09DF"/>
    <w:rsid w:val="000F61B2"/>
    <w:rsid w:val="001075E9"/>
    <w:rsid w:val="00111529"/>
    <w:rsid w:val="0014152F"/>
    <w:rsid w:val="00145749"/>
    <w:rsid w:val="00153F6F"/>
    <w:rsid w:val="00164160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0DB1"/>
    <w:rsid w:val="002E3A3D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2085"/>
    <w:rsid w:val="003421E0"/>
    <w:rsid w:val="0037387C"/>
    <w:rsid w:val="00381C24"/>
    <w:rsid w:val="003853A2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B07ED"/>
    <w:rsid w:val="004E05B7"/>
    <w:rsid w:val="0050108D"/>
    <w:rsid w:val="00513081"/>
    <w:rsid w:val="00517901"/>
    <w:rsid w:val="00526683"/>
    <w:rsid w:val="00561C8E"/>
    <w:rsid w:val="005639C1"/>
    <w:rsid w:val="005709E0"/>
    <w:rsid w:val="00572E19"/>
    <w:rsid w:val="005961C8"/>
    <w:rsid w:val="005966F1"/>
    <w:rsid w:val="005A1143"/>
    <w:rsid w:val="005A2D06"/>
    <w:rsid w:val="005D7914"/>
    <w:rsid w:val="005E2B41"/>
    <w:rsid w:val="005F0B42"/>
    <w:rsid w:val="006076C4"/>
    <w:rsid w:val="00610FC8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249D0"/>
    <w:rsid w:val="00734ACB"/>
    <w:rsid w:val="00757357"/>
    <w:rsid w:val="00783C29"/>
    <w:rsid w:val="00792497"/>
    <w:rsid w:val="00806737"/>
    <w:rsid w:val="00825F8D"/>
    <w:rsid w:val="00834B71"/>
    <w:rsid w:val="0086064A"/>
    <w:rsid w:val="0086445C"/>
    <w:rsid w:val="008874AA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025A5"/>
    <w:rsid w:val="00A14DA8"/>
    <w:rsid w:val="00A2286A"/>
    <w:rsid w:val="00A312BC"/>
    <w:rsid w:val="00A84021"/>
    <w:rsid w:val="00A84D35"/>
    <w:rsid w:val="00A917B3"/>
    <w:rsid w:val="00AB4B51"/>
    <w:rsid w:val="00AC1B0B"/>
    <w:rsid w:val="00AC34B2"/>
    <w:rsid w:val="00B10CC7"/>
    <w:rsid w:val="00B31A34"/>
    <w:rsid w:val="00B31C7A"/>
    <w:rsid w:val="00B36DF7"/>
    <w:rsid w:val="00B4731A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76A50"/>
    <w:rsid w:val="00D873A8"/>
    <w:rsid w:val="00D90028"/>
    <w:rsid w:val="00D90138"/>
    <w:rsid w:val="00DB28D0"/>
    <w:rsid w:val="00DD78D1"/>
    <w:rsid w:val="00DE32CD"/>
    <w:rsid w:val="00DF5767"/>
    <w:rsid w:val="00DF71B9"/>
    <w:rsid w:val="00E12C5F"/>
    <w:rsid w:val="00E4486F"/>
    <w:rsid w:val="00E45B90"/>
    <w:rsid w:val="00E73F76"/>
    <w:rsid w:val="00EA2C9F"/>
    <w:rsid w:val="00EA420E"/>
    <w:rsid w:val="00EB5F09"/>
    <w:rsid w:val="00ED0BDA"/>
    <w:rsid w:val="00ED686C"/>
    <w:rsid w:val="00EE142A"/>
    <w:rsid w:val="00EE4915"/>
    <w:rsid w:val="00EE5FB5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69E6BDD-9155-44ED-A327-CD29A724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5_G_6,Footnote Text Char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R Char,5_G Char,PP Char,5_G_6 Char,Footnote Text Cha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2.bin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D712F-B263-48A3-B826-31052E6A2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1256</Words>
  <Characters>7161</Characters>
  <Application>Microsoft Office Word</Application>
  <DocSecurity>0</DocSecurity>
  <Lines>59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ECE/TRANS/WP.29/GRE/2019/7</vt:lpstr>
      <vt:lpstr>ECE/TRANS/WP.29/GRE/2019/7</vt:lpstr>
      <vt:lpstr>A/</vt:lpstr>
    </vt:vector>
  </TitlesOfParts>
  <Company>DCM</Company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ECE/TRANS/WP.29/GRE/2019/7</dc:title>
  <dc:subject/>
  <dc:creator>Nina STEPANOVA</dc:creator>
  <cp:keywords/>
  <cp:lastModifiedBy>Benedicte Boudol</cp:lastModifiedBy>
  <cp:revision>2</cp:revision>
  <cp:lastPrinted>2019-02-19T13:37:00Z</cp:lastPrinted>
  <dcterms:created xsi:type="dcterms:W3CDTF">2019-03-04T09:27:00Z</dcterms:created>
  <dcterms:modified xsi:type="dcterms:W3CDTF">2019-03-04T09:27:00Z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