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411646AD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6C6885" w14:textId="77777777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27B53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20428" w14:textId="04D1C33B" w:rsidR="00732AD2" w:rsidRPr="00525E6C" w:rsidRDefault="0025722A" w:rsidP="00350F87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</w:t>
            </w:r>
            <w:r w:rsidR="00360EDD">
              <w:t>GRE/201</w:t>
            </w:r>
            <w:r w:rsidR="008378A3">
              <w:t>9</w:t>
            </w:r>
            <w:r w:rsidRPr="00EC151E">
              <w:t>/</w:t>
            </w:r>
            <w:r w:rsidR="00866893">
              <w:t>15</w:t>
            </w:r>
          </w:p>
        </w:tc>
      </w:tr>
      <w:tr w:rsidR="00525E6C" w:rsidRPr="00525E6C" w14:paraId="1E74D5F0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A23404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464B6108" wp14:editId="54D63763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B236C5" w14:textId="77777777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EC220B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67E2F136" w14:textId="7EF83427" w:rsidR="0025722A" w:rsidRDefault="00246D76" w:rsidP="0025722A">
            <w:pPr>
              <w:spacing w:line="240" w:lineRule="exact"/>
            </w:pPr>
            <w:r w:rsidRPr="00246D76">
              <w:t>6</w:t>
            </w:r>
            <w:r w:rsidR="00EC151E" w:rsidRPr="00246D76">
              <w:t xml:space="preserve"> August 201</w:t>
            </w:r>
            <w:r w:rsidR="008378A3" w:rsidRPr="00246D76">
              <w:t>9</w:t>
            </w:r>
          </w:p>
          <w:p w14:paraId="084C9025" w14:textId="77777777" w:rsidR="00732AD2" w:rsidRPr="00525E6C" w:rsidRDefault="00732AD2" w:rsidP="00732AD2">
            <w:pPr>
              <w:spacing w:line="240" w:lineRule="exact"/>
            </w:pPr>
          </w:p>
          <w:p w14:paraId="7C4281A7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3400BD1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4B120A2C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0E1D0B23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B40FD55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57436185" w14:textId="77777777" w:rsidR="008378A3" w:rsidRPr="00246D76" w:rsidRDefault="008378A3" w:rsidP="008378A3">
      <w:pPr>
        <w:ind w:right="1134"/>
        <w:rPr>
          <w:b/>
        </w:rPr>
      </w:pPr>
      <w:r w:rsidRPr="00246D76">
        <w:rPr>
          <w:b/>
        </w:rPr>
        <w:t>Eighty-second session</w:t>
      </w:r>
    </w:p>
    <w:p w14:paraId="4F011BA2" w14:textId="479AF425" w:rsidR="008378A3" w:rsidRPr="00E04EC7" w:rsidRDefault="008378A3" w:rsidP="008378A3">
      <w:pPr>
        <w:ind w:right="1134"/>
      </w:pPr>
      <w:r w:rsidRPr="00246D76">
        <w:t>Geneva, 22</w:t>
      </w:r>
      <w:r w:rsidR="0068694B">
        <w:t>-</w:t>
      </w:r>
      <w:r w:rsidRPr="00246D76">
        <w:t>25 October 2019</w:t>
      </w:r>
    </w:p>
    <w:p w14:paraId="788DFA67" w14:textId="4CDC1387" w:rsidR="00732AD2" w:rsidRPr="00525E6C" w:rsidRDefault="00732AD2" w:rsidP="00E04EC7">
      <w:pPr>
        <w:ind w:right="1134"/>
        <w:rPr>
          <w:bCs/>
        </w:rPr>
      </w:pPr>
      <w:r w:rsidRPr="006049D7">
        <w:rPr>
          <w:bCs/>
        </w:rPr>
        <w:t xml:space="preserve">Item </w:t>
      </w:r>
      <w:r w:rsidR="006049D7" w:rsidRPr="006049D7">
        <w:rPr>
          <w:bCs/>
        </w:rPr>
        <w:t>5</w:t>
      </w:r>
      <w:r w:rsidR="0073646C" w:rsidRPr="00525E6C">
        <w:rPr>
          <w:bCs/>
        </w:rPr>
        <w:t xml:space="preserve"> </w:t>
      </w:r>
      <w:r w:rsidRPr="00525E6C">
        <w:rPr>
          <w:bCs/>
        </w:rPr>
        <w:t>of the provisional agenda</w:t>
      </w:r>
    </w:p>
    <w:p w14:paraId="79CC387A" w14:textId="235A3C7C" w:rsidR="000A556D" w:rsidRPr="00D912FF" w:rsidRDefault="00EC151E" w:rsidP="000A556D">
      <w:pPr>
        <w:ind w:right="1467"/>
        <w:jc w:val="both"/>
        <w:rPr>
          <w:bCs/>
        </w:rPr>
      </w:pPr>
      <w:r>
        <w:rPr>
          <w:b/>
          <w:bCs/>
        </w:rPr>
        <w:t xml:space="preserve">UN </w:t>
      </w:r>
      <w:r w:rsidR="000A556D" w:rsidRPr="00DC35BB">
        <w:rPr>
          <w:b/>
          <w:bCs/>
        </w:rPr>
        <w:t>Regulations Nos. 37 (Filament lamps), 99 (Gas discharge light sources), 128 (Light emitting diodes light sources) and the Consolidated Resolution on the common specification of light source categories</w:t>
      </w:r>
    </w:p>
    <w:p w14:paraId="2A9F924A" w14:textId="77777777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61713D" w:rsidRPr="0061713D">
        <w:t xml:space="preserve">Proposal for Supplement </w:t>
      </w:r>
      <w:r w:rsidR="0061713D">
        <w:t>[</w:t>
      </w:r>
      <w:r w:rsidR="00A35C0B">
        <w:t>10</w:t>
      </w:r>
      <w:r w:rsidR="0061713D">
        <w:t>]</w:t>
      </w:r>
      <w:r w:rsidR="0061713D" w:rsidRPr="0061713D">
        <w:t xml:space="preserve"> to the original version of</w:t>
      </w:r>
      <w:r w:rsidR="007366D4">
        <w:t xml:space="preserve"> UN</w:t>
      </w:r>
      <w:r w:rsidR="0061713D" w:rsidRPr="0061713D">
        <w:t xml:space="preserve"> Regulation No. 128 (Light emitting diodes light sources)</w:t>
      </w:r>
      <w:r w:rsidR="0061713D">
        <w:t xml:space="preserve"> </w:t>
      </w:r>
    </w:p>
    <w:p w14:paraId="46BBDF00" w14:textId="77777777"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>Submitted by the expert from the International Automotive Lighting and Light Signalling Expert Group (GTB)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3066CCBB" w14:textId="4AAFA089" w:rsidR="00856C69" w:rsidRDefault="0061713D" w:rsidP="00732AD2">
      <w:pPr>
        <w:pStyle w:val="SingleTxtG"/>
        <w:tabs>
          <w:tab w:val="left" w:pos="8505"/>
        </w:tabs>
        <w:ind w:firstLine="567"/>
      </w:pPr>
      <w:r w:rsidRPr="0061713D">
        <w:t xml:space="preserve">The text reproduced below was prepared by the expert from GTB to amend requirements </w:t>
      </w:r>
      <w:r w:rsidR="00246D76">
        <w:t xml:space="preserve">for </w:t>
      </w:r>
      <w:r w:rsidRPr="0061713D">
        <w:t>light emitting diode (LED) light sources. There is an associated amendment to the Consolidated Resolution on the common specification of light source categories (R.E.5)</w:t>
      </w:r>
      <w:r>
        <w:t xml:space="preserve"> (</w:t>
      </w:r>
      <w:r w:rsidR="00A35C0B">
        <w:t>ECE/TRANS/WP.29/GRE/2019/</w:t>
      </w:r>
      <w:r w:rsidR="00246D76">
        <w:t>16</w:t>
      </w:r>
      <w:r>
        <w:t>)</w:t>
      </w:r>
      <w:r w:rsidRPr="0061713D">
        <w:t xml:space="preserve">. The modifications to the existing text of the </w:t>
      </w:r>
      <w:r>
        <w:t xml:space="preserve">UN </w:t>
      </w:r>
      <w:r w:rsidRPr="0061713D">
        <w:t>Regulation are marked in bold for new or strikethrough for deleted characters.</w:t>
      </w:r>
      <w:r w:rsidR="00856C69" w:rsidRPr="00525E6C">
        <w:t xml:space="preserve">  </w:t>
      </w:r>
    </w:p>
    <w:p w14:paraId="21E8BE31" w14:textId="77777777" w:rsidR="00732AD2" w:rsidRPr="00525E6C" w:rsidRDefault="00732AD2" w:rsidP="00732AD2">
      <w:bookmarkStart w:id="0" w:name="_GoBack"/>
      <w:bookmarkEnd w:id="0"/>
    </w:p>
    <w:p w14:paraId="78D5285A" w14:textId="77777777" w:rsidR="0053129E" w:rsidRPr="00525E6C" w:rsidRDefault="0053129E" w:rsidP="0053129E">
      <w:pPr>
        <w:rPr>
          <w:b/>
          <w:bCs/>
        </w:rPr>
      </w:pPr>
    </w:p>
    <w:p w14:paraId="2479FAA2" w14:textId="77777777" w:rsidR="0053129E" w:rsidRPr="00525E6C" w:rsidRDefault="0053129E" w:rsidP="0053129E">
      <w:pPr>
        <w:rPr>
          <w:b/>
          <w:bCs/>
        </w:rPr>
      </w:pPr>
    </w:p>
    <w:p w14:paraId="7690EF17" w14:textId="77777777"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9"/>
          <w:footerReference w:type="default" r:id="rId10"/>
          <w:footerReference w:type="first" r:id="rId11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14:paraId="3131482E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4AAAEC3F" w14:textId="77777777" w:rsidR="0061713D" w:rsidRPr="008B0501" w:rsidRDefault="0061713D" w:rsidP="0061713D">
      <w:pPr>
        <w:spacing w:after="120"/>
        <w:ind w:left="2268" w:right="1134" w:hanging="1134"/>
        <w:jc w:val="both"/>
        <w:rPr>
          <w:bCs/>
        </w:rPr>
      </w:pPr>
      <w:r>
        <w:rPr>
          <w:bCs/>
          <w:i/>
        </w:rPr>
        <w:t xml:space="preserve">Paragraph </w:t>
      </w:r>
      <w:r w:rsidR="00BD0F8E" w:rsidRPr="00BD0F8E">
        <w:rPr>
          <w:bCs/>
          <w:i/>
        </w:rPr>
        <w:t>3.11.2.2.</w:t>
      </w:r>
      <w:r w:rsidRPr="008B0501">
        <w:rPr>
          <w:bCs/>
          <w:i/>
        </w:rPr>
        <w:t>,</w:t>
      </w:r>
      <w:r w:rsidRPr="008B0501">
        <w:rPr>
          <w:bCs/>
        </w:rPr>
        <w:t xml:space="preserve"> amend</w:t>
      </w:r>
      <w:r w:rsidRPr="008B0501">
        <w:rPr>
          <w:bCs/>
          <w:i/>
        </w:rPr>
        <w:t xml:space="preserve"> </w:t>
      </w:r>
      <w:r w:rsidRPr="008B0501">
        <w:rPr>
          <w:bCs/>
        </w:rPr>
        <w:t>to read:</w:t>
      </w:r>
    </w:p>
    <w:p w14:paraId="1A35F712" w14:textId="5879160F" w:rsidR="0061713D" w:rsidRPr="00032801" w:rsidRDefault="0061713D" w:rsidP="0061713D">
      <w:pPr>
        <w:spacing w:after="120"/>
        <w:ind w:left="2268" w:right="1134" w:hanging="1134"/>
        <w:jc w:val="both"/>
        <w:rPr>
          <w:bCs/>
        </w:rPr>
      </w:pPr>
      <w:r w:rsidRPr="008B0501">
        <w:rPr>
          <w:bCs/>
        </w:rPr>
        <w:t>“</w:t>
      </w:r>
      <w:r w:rsidR="00BD0F8E">
        <w:rPr>
          <w:bCs/>
        </w:rPr>
        <w:t>3.11</w:t>
      </w:r>
      <w:r>
        <w:rPr>
          <w:bCs/>
        </w:rPr>
        <w:t>.</w:t>
      </w:r>
      <w:r w:rsidR="00BD0F8E">
        <w:rPr>
          <w:bCs/>
        </w:rPr>
        <w:t>2.2.</w:t>
      </w:r>
      <w:r>
        <w:rPr>
          <w:bCs/>
        </w:rPr>
        <w:tab/>
      </w:r>
      <w:r w:rsidR="00BD0F8E" w:rsidRPr="00BD0F8E">
        <w:rPr>
          <w:bCs/>
        </w:rPr>
        <w:t>In case in the relevant data sheet only one side of the light emitting area is specified as to generate the cut-off,</w:t>
      </w:r>
      <w:r w:rsidR="009B1A00">
        <w:rPr>
          <w:bCs/>
        </w:rPr>
        <w:t xml:space="preserve"> </w:t>
      </w:r>
      <w:r w:rsidR="009B1A00" w:rsidRPr="00B45631">
        <w:rPr>
          <w:b/>
          <w:bCs/>
        </w:rPr>
        <w:t>at least one of the following provisions shall apply:</w:t>
      </w:r>
    </w:p>
    <w:p w14:paraId="6C80B3C3" w14:textId="67E3AF17" w:rsidR="00D940DC" w:rsidRPr="00344D94" w:rsidRDefault="00344D94" w:rsidP="00344D94">
      <w:pPr>
        <w:spacing w:after="120"/>
        <w:ind w:left="2625" w:right="1134" w:hanging="357"/>
        <w:jc w:val="both"/>
        <w:rPr>
          <w:bCs/>
        </w:rPr>
      </w:pPr>
      <w:r w:rsidRPr="00246D76">
        <w:rPr>
          <w:b/>
          <w:bCs/>
        </w:rPr>
        <w:t>(a)</w:t>
      </w:r>
      <w:r w:rsidRPr="00246D76">
        <w:rPr>
          <w:b/>
          <w:bCs/>
        </w:rPr>
        <w:tab/>
      </w:r>
      <w:r w:rsidR="009B1A00" w:rsidRPr="00344D94">
        <w:rPr>
          <w:b/>
          <w:bCs/>
        </w:rPr>
        <w:t>T</w:t>
      </w:r>
      <w:r w:rsidR="00C56695" w:rsidRPr="00344D94">
        <w:rPr>
          <w:b/>
          <w:bCs/>
        </w:rPr>
        <w:t>he value of the maximum luminance gradient G</w:t>
      </w:r>
      <w:r w:rsidR="00C56695" w:rsidRPr="00344D94">
        <w:rPr>
          <w:b/>
          <w:bCs/>
          <w:vertAlign w:val="subscript"/>
        </w:rPr>
        <w:t xml:space="preserve">50µm,max  </w:t>
      </w:r>
      <w:r w:rsidR="00C56695" w:rsidRPr="00344D94">
        <w:rPr>
          <w:b/>
          <w:bCs/>
        </w:rPr>
        <w:t>, determined according to Annex L of IEC </w:t>
      </w:r>
      <w:r w:rsidR="002C0D81" w:rsidRPr="00344D94">
        <w:rPr>
          <w:b/>
          <w:bCs/>
        </w:rPr>
        <w:t xml:space="preserve">Publication </w:t>
      </w:r>
      <w:r w:rsidR="00C56695" w:rsidRPr="00344D94">
        <w:rPr>
          <w:b/>
          <w:bCs/>
        </w:rPr>
        <w:t>60809</w:t>
      </w:r>
      <w:r w:rsidR="002C0D81" w:rsidRPr="00344D94">
        <w:rPr>
          <w:b/>
          <w:bCs/>
        </w:rPr>
        <w:t>, Edition 4</w:t>
      </w:r>
      <w:r w:rsidR="00C56695" w:rsidRPr="00344D94">
        <w:rPr>
          <w:b/>
          <w:bCs/>
        </w:rPr>
        <w:t>, shall not be less than the value given in the relevant category sheet, if any;</w:t>
      </w:r>
      <w:r w:rsidR="009B1A00" w:rsidRPr="00344D94">
        <w:rPr>
          <w:b/>
          <w:bCs/>
        </w:rPr>
        <w:t xml:space="preserve"> or</w:t>
      </w:r>
    </w:p>
    <w:p w14:paraId="207D32DB" w14:textId="47D1A306" w:rsidR="0061713D" w:rsidRPr="00344D94" w:rsidRDefault="00344D94" w:rsidP="00344D94">
      <w:pPr>
        <w:spacing w:after="120"/>
        <w:ind w:left="2628" w:right="1134" w:hanging="360"/>
        <w:jc w:val="both"/>
        <w:rPr>
          <w:bCs/>
        </w:rPr>
      </w:pPr>
      <w:r w:rsidRPr="009B1A00">
        <w:rPr>
          <w:b/>
          <w:bCs/>
        </w:rPr>
        <w:t>(b)</w:t>
      </w:r>
      <w:r w:rsidRPr="009B1A00">
        <w:rPr>
          <w:b/>
          <w:bCs/>
        </w:rPr>
        <w:tab/>
      </w:r>
      <w:r w:rsidR="0027604E" w:rsidRPr="00344D94">
        <w:rPr>
          <w:b/>
          <w:bCs/>
        </w:rPr>
        <w:t>Z</w:t>
      </w:r>
      <w:r w:rsidR="00463AF6" w:rsidRPr="00344D94">
        <w:rPr>
          <w:bCs/>
          <w:strike/>
        </w:rPr>
        <w:t>z</w:t>
      </w:r>
      <w:r w:rsidR="00BD0F8E" w:rsidRPr="00344D94">
        <w:rPr>
          <w:bCs/>
        </w:rPr>
        <w:t>one 1b shall have a position closer to the corresponding side of zone 1a than to the opposite side</w:t>
      </w:r>
      <w:r w:rsidR="00C56695" w:rsidRPr="00344D94">
        <w:rPr>
          <w:bCs/>
        </w:rPr>
        <w:t>.</w:t>
      </w:r>
      <w:r w:rsidR="00BD0F8E" w:rsidRPr="00C56695">
        <w:t>”</w:t>
      </w:r>
    </w:p>
    <w:p w14:paraId="7E14CE80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7F43079F" w14:textId="77777777" w:rsidR="0061713D" w:rsidRPr="002A011A" w:rsidRDefault="0061713D" w:rsidP="0061713D">
      <w:pPr>
        <w:spacing w:after="120"/>
        <w:ind w:left="1134" w:right="1134"/>
        <w:jc w:val="both"/>
        <w:rPr>
          <w:bCs/>
        </w:rPr>
      </w:pPr>
      <w:r w:rsidRPr="002A011A">
        <w:rPr>
          <w:bCs/>
        </w:rPr>
        <w:t>1.</w:t>
      </w:r>
      <w:r w:rsidRPr="002A011A">
        <w:rPr>
          <w:bCs/>
        </w:rPr>
        <w:tab/>
        <w:t>The current text of UN Regulation No. 128,</w:t>
      </w:r>
      <w:r w:rsidR="001865AA" w:rsidRPr="002A011A">
        <w:rPr>
          <w:bCs/>
        </w:rPr>
        <w:t xml:space="preserve"> </w:t>
      </w:r>
      <w:r w:rsidRPr="002A011A">
        <w:rPr>
          <w:bCs/>
        </w:rPr>
        <w:t xml:space="preserve">paragraph </w:t>
      </w:r>
      <w:r w:rsidR="001865AA" w:rsidRPr="002A011A">
        <w:rPr>
          <w:bCs/>
        </w:rPr>
        <w:t>3.11</w:t>
      </w:r>
      <w:r w:rsidRPr="002A011A">
        <w:rPr>
          <w:bCs/>
        </w:rPr>
        <w:t>.</w:t>
      </w:r>
      <w:r w:rsidR="001865AA" w:rsidRPr="002A011A">
        <w:rPr>
          <w:bCs/>
        </w:rPr>
        <w:t xml:space="preserve"> requires a certain “asymmetry” of the Light Emitting Area (LEA). This was introduced to ensure a “minimum worst-case gradient”. However</w:t>
      </w:r>
      <w:r w:rsidR="00AC7D5D" w:rsidRPr="002A011A">
        <w:rPr>
          <w:bCs/>
        </w:rPr>
        <w:t>,</w:t>
      </w:r>
      <w:r w:rsidR="001865AA" w:rsidRPr="002A011A">
        <w:rPr>
          <w:bCs/>
        </w:rPr>
        <w:t xml:space="preserve"> the current requirement is seen as too design restrictive.</w:t>
      </w:r>
    </w:p>
    <w:p w14:paraId="49885A2B" w14:textId="36358689" w:rsidR="0061713D" w:rsidRPr="002A011A" w:rsidRDefault="0061713D" w:rsidP="00246D76">
      <w:pPr>
        <w:spacing w:after="120"/>
        <w:ind w:left="1134" w:right="1134"/>
        <w:jc w:val="both"/>
        <w:rPr>
          <w:bCs/>
        </w:rPr>
      </w:pPr>
      <w:r w:rsidRPr="002A011A">
        <w:rPr>
          <w:bCs/>
        </w:rPr>
        <w:t>2.</w:t>
      </w:r>
      <w:r w:rsidRPr="002A011A">
        <w:rPr>
          <w:bCs/>
        </w:rPr>
        <w:tab/>
        <w:t xml:space="preserve">It is proposed to </w:t>
      </w:r>
      <w:r w:rsidR="001865AA" w:rsidRPr="002A011A">
        <w:rPr>
          <w:bCs/>
        </w:rPr>
        <w:t>insert a minimum luminance gradient as an alternative</w:t>
      </w:r>
      <w:r w:rsidR="00246D76">
        <w:rPr>
          <w:bCs/>
        </w:rPr>
        <w:t xml:space="preserve"> and</w:t>
      </w:r>
      <w:r w:rsidR="001865AA" w:rsidRPr="002A011A">
        <w:rPr>
          <w:bCs/>
        </w:rPr>
        <w:t xml:space="preserve"> more direct requirement. </w:t>
      </w:r>
      <w:r w:rsidR="00246D76">
        <w:rPr>
          <w:bCs/>
        </w:rPr>
        <w:t xml:space="preserve">The </w:t>
      </w:r>
      <w:r w:rsidR="00246D76" w:rsidRPr="00246D76">
        <w:rPr>
          <w:bCs/>
        </w:rPr>
        <w:t>International</w:t>
      </w:r>
      <w:r w:rsidR="00246D76">
        <w:rPr>
          <w:bCs/>
        </w:rPr>
        <w:t xml:space="preserve"> </w:t>
      </w:r>
      <w:r w:rsidR="00246D76" w:rsidRPr="00246D76">
        <w:rPr>
          <w:bCs/>
        </w:rPr>
        <w:t>Electrotechnical</w:t>
      </w:r>
      <w:r w:rsidR="00246D76">
        <w:rPr>
          <w:bCs/>
        </w:rPr>
        <w:t xml:space="preserve"> </w:t>
      </w:r>
      <w:r w:rsidR="00246D76" w:rsidRPr="00246D76">
        <w:rPr>
          <w:bCs/>
        </w:rPr>
        <w:t xml:space="preserve">Commission </w:t>
      </w:r>
      <w:r w:rsidR="00246D76">
        <w:rPr>
          <w:bCs/>
        </w:rPr>
        <w:t>(</w:t>
      </w:r>
      <w:r w:rsidR="001865AA" w:rsidRPr="002A011A">
        <w:rPr>
          <w:bCs/>
        </w:rPr>
        <w:t>IEC</w:t>
      </w:r>
      <w:r w:rsidR="00246D76">
        <w:rPr>
          <w:bCs/>
        </w:rPr>
        <w:t>) body</w:t>
      </w:r>
      <w:r w:rsidR="001865AA" w:rsidRPr="002A011A">
        <w:rPr>
          <w:bCs/>
        </w:rPr>
        <w:t xml:space="preserve"> SC34A/WG2 has developed a method how to measure / calculate the luminance gradient for LED light sources.</w:t>
      </w:r>
      <w:r w:rsidR="00AC7D5D" w:rsidRPr="002A011A">
        <w:rPr>
          <w:bCs/>
        </w:rPr>
        <w:t xml:space="preserve"> This method is added to</w:t>
      </w:r>
      <w:r w:rsidR="00246D76">
        <w:rPr>
          <w:bCs/>
        </w:rPr>
        <w:t xml:space="preserve"> standard </w:t>
      </w:r>
      <w:r w:rsidR="00AC7D5D" w:rsidRPr="002A011A">
        <w:rPr>
          <w:bCs/>
        </w:rPr>
        <w:t>IEC 60809 as a new Annex L “Method to determine the maximum luminance gradient of LED light sources”</w:t>
      </w:r>
      <w:r w:rsidRPr="002A011A">
        <w:rPr>
          <w:bCs/>
        </w:rPr>
        <w:t>.</w:t>
      </w:r>
    </w:p>
    <w:p w14:paraId="0EF803C2" w14:textId="67519304" w:rsidR="0061713D" w:rsidRPr="002A011A" w:rsidRDefault="0061713D" w:rsidP="00246D76">
      <w:pPr>
        <w:spacing w:after="120"/>
        <w:ind w:left="1134" w:right="1134"/>
        <w:jc w:val="both"/>
        <w:rPr>
          <w:bCs/>
        </w:rPr>
      </w:pPr>
      <w:r w:rsidRPr="002A011A">
        <w:rPr>
          <w:bCs/>
        </w:rPr>
        <w:t>3.</w:t>
      </w:r>
      <w:r w:rsidRPr="002A011A">
        <w:rPr>
          <w:bCs/>
        </w:rPr>
        <w:tab/>
        <w:t xml:space="preserve">In order to </w:t>
      </w:r>
      <w:r w:rsidR="00E73B36" w:rsidRPr="002A011A">
        <w:rPr>
          <w:bCs/>
        </w:rPr>
        <w:t xml:space="preserve">provide </w:t>
      </w:r>
      <w:r w:rsidR="00246D76">
        <w:rPr>
          <w:bCs/>
        </w:rPr>
        <w:t xml:space="preserve">an </w:t>
      </w:r>
      <w:r w:rsidR="00E73B36" w:rsidRPr="002A011A">
        <w:rPr>
          <w:bCs/>
        </w:rPr>
        <w:t>alternative of the mi</w:t>
      </w:r>
      <w:r w:rsidR="002A011A" w:rsidRPr="002A011A">
        <w:rPr>
          <w:bCs/>
        </w:rPr>
        <w:t>ni</w:t>
      </w:r>
      <w:r w:rsidR="00E73B36" w:rsidRPr="002A011A">
        <w:rPr>
          <w:bCs/>
        </w:rPr>
        <w:t xml:space="preserve">mum luminance gradient </w:t>
      </w:r>
      <w:r w:rsidR="008C5A1A" w:rsidRPr="002A011A">
        <w:rPr>
          <w:bCs/>
        </w:rPr>
        <w:t xml:space="preserve">the corresponding new wording </w:t>
      </w:r>
      <w:r w:rsidRPr="002A011A">
        <w:rPr>
          <w:bCs/>
        </w:rPr>
        <w:t>was added to the existing wording</w:t>
      </w:r>
      <w:r w:rsidR="008C5A1A" w:rsidRPr="002A011A">
        <w:rPr>
          <w:bCs/>
        </w:rPr>
        <w:t xml:space="preserve"> of paragraph 3.11.2.2</w:t>
      </w:r>
      <w:r w:rsidRPr="002A011A">
        <w:rPr>
          <w:bCs/>
        </w:rPr>
        <w:t>. T</w:t>
      </w:r>
      <w:r w:rsidR="008C5A1A" w:rsidRPr="002A011A">
        <w:rPr>
          <w:bCs/>
        </w:rPr>
        <w:t>he old wording was maintained as one of the alternatives</w:t>
      </w:r>
      <w:r w:rsidRPr="002A011A">
        <w:rPr>
          <w:bCs/>
        </w:rPr>
        <w:t>.</w:t>
      </w:r>
    </w:p>
    <w:p w14:paraId="5BB4DEAD" w14:textId="765BDDA5" w:rsidR="0061713D" w:rsidRPr="0061713D" w:rsidRDefault="0061713D" w:rsidP="00246D76">
      <w:pPr>
        <w:spacing w:after="120"/>
        <w:ind w:left="1134" w:right="1134"/>
        <w:jc w:val="both"/>
        <w:rPr>
          <w:bCs/>
        </w:rPr>
      </w:pPr>
      <w:r w:rsidRPr="002A011A">
        <w:rPr>
          <w:bCs/>
        </w:rPr>
        <w:t>4.</w:t>
      </w:r>
      <w:r w:rsidRPr="002A011A">
        <w:rPr>
          <w:bCs/>
        </w:rPr>
        <w:tab/>
        <w:t>As a consequence of this proposal, there is a related proposal (ECE/TRANS/WP.29/GRE/20</w:t>
      </w:r>
      <w:r w:rsidR="007650EC" w:rsidRPr="002A011A">
        <w:rPr>
          <w:bCs/>
        </w:rPr>
        <w:t>19/</w:t>
      </w:r>
      <w:r w:rsidR="00246D76">
        <w:rPr>
          <w:bCs/>
        </w:rPr>
        <w:t>16</w:t>
      </w:r>
      <w:r w:rsidRPr="002A011A">
        <w:rPr>
          <w:bCs/>
        </w:rPr>
        <w:t xml:space="preserve">) to the </w:t>
      </w:r>
      <w:r w:rsidR="0097118D">
        <w:rPr>
          <w:bCs/>
        </w:rPr>
        <w:t>c</w:t>
      </w:r>
      <w:r w:rsidR="00E87C6F" w:rsidRPr="002A011A">
        <w:rPr>
          <w:bCs/>
        </w:rPr>
        <w:t>ategory L1A/6,</w:t>
      </w:r>
      <w:r w:rsidR="007650EC" w:rsidRPr="002A011A">
        <w:rPr>
          <w:bCs/>
        </w:rPr>
        <w:t xml:space="preserve"> L1B/6</w:t>
      </w:r>
      <w:r w:rsidR="00E87C6F" w:rsidRPr="002A011A">
        <w:rPr>
          <w:bCs/>
        </w:rPr>
        <w:t xml:space="preserve"> </w:t>
      </w:r>
      <w:r w:rsidRPr="002A011A">
        <w:rPr>
          <w:bCs/>
        </w:rPr>
        <w:t>sheet in the Consolidated Resolution on the common specification of light source categories (R.E.5).</w:t>
      </w:r>
    </w:p>
    <w:p w14:paraId="44CF6B57" w14:textId="719F7EF9" w:rsidR="00E933B8" w:rsidRPr="00525E6C" w:rsidRDefault="00E933B8" w:rsidP="00B243C9">
      <w:pPr>
        <w:pStyle w:val="endnotetable"/>
        <w:spacing w:before="240" w:line="240" w:lineRule="atLeast"/>
        <w:ind w:firstLine="0"/>
        <w:jc w:val="center"/>
        <w:rPr>
          <w:u w:val="single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Pr="00525E6C">
        <w:rPr>
          <w:u w:val="single"/>
        </w:rPr>
        <w:tab/>
      </w:r>
    </w:p>
    <w:p w14:paraId="6455AFEF" w14:textId="77777777" w:rsidR="00E933B8" w:rsidRDefault="00E933B8" w:rsidP="003D7B3A">
      <w:pPr>
        <w:suppressAutoHyphens w:val="0"/>
        <w:spacing w:line="240" w:lineRule="auto"/>
        <w:ind w:left="284" w:hanging="284"/>
        <w:rPr>
          <w:b/>
          <w:sz w:val="18"/>
          <w:lang w:eastAsia="it-IT"/>
        </w:rPr>
      </w:pPr>
    </w:p>
    <w:sectPr w:rsidR="00E933B8" w:rsidSect="005D68A6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8802" w14:textId="77777777" w:rsidR="00A520E1" w:rsidRDefault="00A520E1"/>
  </w:endnote>
  <w:endnote w:type="continuationSeparator" w:id="0">
    <w:p w14:paraId="034A5632" w14:textId="77777777" w:rsidR="00A520E1" w:rsidRDefault="00A520E1"/>
  </w:endnote>
  <w:endnote w:type="continuationNotice" w:id="1">
    <w:p w14:paraId="10FBBF7F" w14:textId="77777777" w:rsidR="00A520E1" w:rsidRDefault="00A52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42C2" w14:textId="437C4341" w:rsidR="00E04EC7" w:rsidRDefault="00872F52">
    <w:pPr>
      <w:pStyle w:val="Footer"/>
    </w:pPr>
    <w:r w:rsidRPr="00A330CE">
      <w:rPr>
        <w:b/>
        <w:sz w:val="18"/>
      </w:rPr>
      <w:fldChar w:fldCharType="begin"/>
    </w:r>
    <w:r w:rsidR="00E04EC7"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344D94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1A78" w14:textId="7BF05854" w:rsidR="000436D6" w:rsidRDefault="000436D6" w:rsidP="000436D6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89472" behindDoc="0" locked="0" layoutInCell="1" allowOverlap="1" wp14:anchorId="73C77723" wp14:editId="473A5A93">
          <wp:simplePos x="0" y="0"/>
          <wp:positionH relativeFrom="margin">
            <wp:posOffset>5472430</wp:posOffset>
          </wp:positionH>
          <wp:positionV relativeFrom="margin">
            <wp:posOffset>7994650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9/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7424" behindDoc="1" locked="1" layoutInCell="1" allowOverlap="1" wp14:anchorId="3F4BA476" wp14:editId="5860A315">
          <wp:simplePos x="0" y="0"/>
          <wp:positionH relativeFrom="margin">
            <wp:posOffset>4447540</wp:posOffset>
          </wp:positionH>
          <wp:positionV relativeFrom="margin">
            <wp:posOffset>8351520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D45F4" w14:textId="4BCD1E46" w:rsidR="000436D6" w:rsidRDefault="000436D6" w:rsidP="000436D6">
    <w:pPr>
      <w:pStyle w:val="Footer"/>
      <w:ind w:right="1134"/>
      <w:rPr>
        <w:sz w:val="20"/>
      </w:rPr>
    </w:pPr>
    <w:r>
      <w:rPr>
        <w:sz w:val="20"/>
      </w:rPr>
      <w:t>GE.19-13429(E)</w:t>
    </w:r>
  </w:p>
  <w:p w14:paraId="170F3AB9" w14:textId="58A2E321" w:rsidR="000436D6" w:rsidRPr="000436D6" w:rsidRDefault="000436D6" w:rsidP="000436D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1C9E" w14:textId="77777777" w:rsidR="00E04EC7" w:rsidRPr="00003B38" w:rsidRDefault="00E04EC7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E04EC7" w:rsidRPr="002C0FEE" w14:paraId="35C5FFD9" w14:textId="77777777" w:rsidTr="00732AD2">
      <w:tc>
        <w:tcPr>
          <w:tcW w:w="3346" w:type="dxa"/>
        </w:tcPr>
        <w:p w14:paraId="7358A60C" w14:textId="77777777" w:rsidR="00E04EC7" w:rsidRPr="00503D4F" w:rsidRDefault="00E04EC7" w:rsidP="00732AD2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74D38DAD" wp14:editId="72EF24C6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AE71398" w14:textId="77777777" w:rsidR="00E04EC7" w:rsidRPr="00503D4F" w:rsidRDefault="00E04EC7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7DE78428" w14:textId="77777777" w:rsidR="00E04EC7" w:rsidRPr="004E78A5" w:rsidRDefault="00E04EC7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7F4F17E" w14:textId="77777777" w:rsidR="00E04EC7" w:rsidRDefault="00E04E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0AF" w14:textId="77777777" w:rsidR="00E04EC7" w:rsidRPr="00A330CE" w:rsidRDefault="00E04EC7" w:rsidP="00A330CE">
    <w:pPr>
      <w:pStyle w:val="Footer"/>
      <w:tabs>
        <w:tab w:val="right" w:pos="9638"/>
      </w:tabs>
      <w:rPr>
        <w:b/>
        <w:sz w:val="18"/>
      </w:rPr>
    </w:pPr>
    <w:r>
      <w:tab/>
    </w:r>
    <w:r w:rsidR="00872F52"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="00872F52" w:rsidRPr="00A330CE">
      <w:rPr>
        <w:b/>
        <w:sz w:val="18"/>
      </w:rPr>
      <w:fldChar w:fldCharType="separate"/>
    </w:r>
    <w:r w:rsidR="0061713D">
      <w:rPr>
        <w:b/>
        <w:noProof/>
        <w:sz w:val="18"/>
      </w:rPr>
      <w:t>3</w:t>
    </w:r>
    <w:r w:rsidR="00872F52"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7FBE" w14:textId="77777777" w:rsidR="00A520E1" w:rsidRPr="000B175B" w:rsidRDefault="00A520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EBB866" w14:textId="77777777" w:rsidR="00A520E1" w:rsidRPr="00FC68B7" w:rsidRDefault="00A520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B1A314" w14:textId="77777777" w:rsidR="00A520E1" w:rsidRDefault="00A520E1"/>
  </w:footnote>
  <w:footnote w:id="2">
    <w:p w14:paraId="5B62B4BE" w14:textId="77777777" w:rsidR="00EC151E" w:rsidRPr="00706101" w:rsidRDefault="00EC151E" w:rsidP="00EC151E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808B" w14:textId="12DF80BB" w:rsidR="00E04EC7" w:rsidRPr="006C395D" w:rsidRDefault="00DA544A" w:rsidP="005726B5">
    <w:pPr>
      <w:pStyle w:val="Header"/>
    </w:pPr>
    <w:r>
      <w:t>ECE/TRANS/WP.29/GRE/2019</w:t>
    </w:r>
    <w:r w:rsidR="00E04EC7" w:rsidRPr="00EC151E">
      <w:t>/</w:t>
    </w:r>
    <w:r w:rsidR="00246D76"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286B" w14:textId="77777777" w:rsidR="00E04EC7" w:rsidRPr="006C395D" w:rsidRDefault="00EB70E5" w:rsidP="00550634">
    <w:pPr>
      <w:pStyle w:val="Header"/>
    </w:pPr>
    <w:r w:rsidRPr="00EC151E">
      <w:t>ECE/TRANS/WP.29/GRE/2018</w:t>
    </w:r>
    <w:r w:rsidR="00E04EC7" w:rsidRPr="00EC151E">
      <w:t>/</w:t>
    </w:r>
    <w:r w:rsidR="00EC151E" w:rsidRPr="00EC151E">
      <w:t>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0D45" w14:textId="77777777" w:rsidR="00E04EC7" w:rsidRPr="007B4C72" w:rsidRDefault="00E04EC7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2D304AE9"/>
    <w:multiLevelType w:val="hybridMultilevel"/>
    <w:tmpl w:val="A73646A0"/>
    <w:lvl w:ilvl="0" w:tplc="FA7E3C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4" w15:restartNumberingAfterBreak="0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FA7F05"/>
    <w:multiLevelType w:val="hybridMultilevel"/>
    <w:tmpl w:val="D0DAC4F0"/>
    <w:lvl w:ilvl="0" w:tplc="B2145810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2117AB8"/>
    <w:multiLevelType w:val="hybridMultilevel"/>
    <w:tmpl w:val="8236CC40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4" w15:restartNumberingAfterBreak="0">
    <w:nsid w:val="649D2EE9"/>
    <w:multiLevelType w:val="hybridMultilevel"/>
    <w:tmpl w:val="167035AC"/>
    <w:lvl w:ilvl="0" w:tplc="311EDC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3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6"/>
  </w:num>
  <w:num w:numId="3">
    <w:abstractNumId w:val="21"/>
  </w:num>
  <w:num w:numId="4">
    <w:abstractNumId w:val="44"/>
  </w:num>
  <w:num w:numId="5">
    <w:abstractNumId w:val="18"/>
  </w:num>
  <w:num w:numId="6">
    <w:abstractNumId w:val="15"/>
  </w:num>
  <w:num w:numId="7">
    <w:abstractNumId w:val="9"/>
  </w:num>
  <w:num w:numId="8">
    <w:abstractNumId w:val="40"/>
  </w:num>
  <w:num w:numId="9">
    <w:abstractNumId w:val="41"/>
  </w:num>
  <w:num w:numId="10">
    <w:abstractNumId w:val="23"/>
  </w:num>
  <w:num w:numId="11">
    <w:abstractNumId w:val="13"/>
  </w:num>
  <w:num w:numId="12">
    <w:abstractNumId w:val="30"/>
  </w:num>
  <w:num w:numId="13">
    <w:abstractNumId w:val="42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3"/>
  </w:num>
  <w:num w:numId="24">
    <w:abstractNumId w:val="16"/>
  </w:num>
  <w:num w:numId="25">
    <w:abstractNumId w:val="25"/>
  </w:num>
  <w:num w:numId="26">
    <w:abstractNumId w:val="37"/>
  </w:num>
  <w:num w:numId="27">
    <w:abstractNumId w:val="38"/>
  </w:num>
  <w:num w:numId="28">
    <w:abstractNumId w:val="32"/>
  </w:num>
  <w:num w:numId="29">
    <w:abstractNumId w:val="20"/>
  </w:num>
  <w:num w:numId="30">
    <w:abstractNumId w:val="8"/>
  </w:num>
  <w:num w:numId="31">
    <w:abstractNumId w:val="31"/>
  </w:num>
  <w:num w:numId="32">
    <w:abstractNumId w:val="14"/>
  </w:num>
  <w:num w:numId="33">
    <w:abstractNumId w:val="11"/>
  </w:num>
  <w:num w:numId="34">
    <w:abstractNumId w:val="35"/>
  </w:num>
  <w:num w:numId="35">
    <w:abstractNumId w:val="39"/>
  </w:num>
  <w:num w:numId="36">
    <w:abstractNumId w:val="24"/>
  </w:num>
  <w:num w:numId="37">
    <w:abstractNumId w:val="12"/>
  </w:num>
  <w:num w:numId="38">
    <w:abstractNumId w:val="17"/>
  </w:num>
  <w:num w:numId="39">
    <w:abstractNumId w:val="28"/>
  </w:num>
  <w:num w:numId="40">
    <w:abstractNumId w:val="33"/>
  </w:num>
  <w:num w:numId="41">
    <w:abstractNumId w:val="34"/>
  </w:num>
  <w:num w:numId="42">
    <w:abstractNumId w:val="19"/>
  </w:num>
  <w:num w:numId="43">
    <w:abstractNumId w:val="29"/>
  </w:num>
  <w:num w:numId="44">
    <w:abstractNumId w:val="27"/>
  </w:num>
  <w:num w:numId="4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36D6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4E00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5AA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46D7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4E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11A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0D81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35D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D3C"/>
    <w:rsid w:val="00343B8A"/>
    <w:rsid w:val="00344D94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11D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AF6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1ED4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2F5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49D7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694B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298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AA9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0EC"/>
    <w:rsid w:val="007654CA"/>
    <w:rsid w:val="007656C6"/>
    <w:rsid w:val="00765D95"/>
    <w:rsid w:val="00766D0C"/>
    <w:rsid w:val="00767AA0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8A3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6893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74E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A1A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E7DA3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18D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1A00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5C0B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0E1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73A0"/>
    <w:rsid w:val="00AC78D8"/>
    <w:rsid w:val="00AC7D5D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3C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31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0F8E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695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B7BB2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61BE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0774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40DC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44A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C08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3B36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87C6F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32577C"/>
  <w15:docId w15:val="{48587E35-C118-459D-8E9F-8039DE19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31"/>
      </w:numPr>
    </w:pPr>
  </w:style>
  <w:style w:type="numbering" w:styleId="1ai">
    <w:name w:val="Outline List 1"/>
    <w:basedOn w:val="NoList"/>
    <w:rsid w:val="00885908"/>
    <w:pPr>
      <w:numPr>
        <w:numId w:val="32"/>
      </w:numPr>
    </w:pPr>
  </w:style>
  <w:style w:type="numbering" w:styleId="ArticleSection">
    <w:name w:val="Outline List 3"/>
    <w:basedOn w:val="NoList"/>
    <w:rsid w:val="00885908"/>
    <w:pPr>
      <w:numPr>
        <w:numId w:val="33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uiPriority w:val="22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9D5C-72D1-41F8-AF4D-43DC1DDD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438</Words>
  <Characters>2435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ECE/TRANS/WP.29/GRE/2018/49</vt:lpstr>
    </vt:vector>
  </TitlesOfParts>
  <Company>CSD</Company>
  <LinksUpToDate>false</LinksUpToDate>
  <CharactersWithSpaces>2859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ECE/TRANS/WP.29/GRE/2019/15</dc:title>
  <dc:subject>1913429</dc:subject>
  <dc:creator>AFTER JUNE</dc:creator>
  <cp:keywords/>
  <dc:description/>
  <cp:lastModifiedBy>Generic Desk Anglais</cp:lastModifiedBy>
  <cp:revision>2</cp:revision>
  <cp:lastPrinted>2019-06-06T14:56:00Z</cp:lastPrinted>
  <dcterms:created xsi:type="dcterms:W3CDTF">2019-08-06T15:03:00Z</dcterms:created>
  <dcterms:modified xsi:type="dcterms:W3CDTF">2019-08-06T15:03:00Z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Bart.Terburg@osram.com</vt:lpwstr>
  </property>
  <property fmtid="{D5CDD505-2E9C-101B-9397-08002B2CF9AE}" pid="5" name="MSIP_Label_1c8e0fde-d954-47be-ab67-d16694a3feef_SetDate">
    <vt:lpwstr>2019-04-24T18:21:54.7370282Z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Extended_MSFT_Method">
    <vt:lpwstr>Automatic</vt:lpwstr>
  </property>
  <property fmtid="{D5CDD505-2E9C-101B-9397-08002B2CF9AE}" pid="9" name="MSIP_Label_f9dda1df-3fca-45c7-91be-5629a3733338_Enabled">
    <vt:lpwstr>True</vt:lpwstr>
  </property>
  <property fmtid="{D5CDD505-2E9C-101B-9397-08002B2CF9AE}" pid="10" name="MSIP_Label_f9dda1df-3fca-45c7-91be-5629a3733338_SiteId">
    <vt:lpwstr>ec1ca250-c234-4d56-a76b-7dfb9eee0c46</vt:lpwstr>
  </property>
  <property fmtid="{D5CDD505-2E9C-101B-9397-08002B2CF9AE}" pid="11" name="MSIP_Label_f9dda1df-3fca-45c7-91be-5629a3733338_Owner">
    <vt:lpwstr>Bart.Terburg@osram.com</vt:lpwstr>
  </property>
  <property fmtid="{D5CDD505-2E9C-101B-9397-08002B2CF9AE}" pid="12" name="MSIP_Label_f9dda1df-3fca-45c7-91be-5629a3733338_SetDate">
    <vt:lpwstr>2019-04-24T18:21:54.7370282Z</vt:lpwstr>
  </property>
  <property fmtid="{D5CDD505-2E9C-101B-9397-08002B2CF9AE}" pid="13" name="MSIP_Label_f9dda1df-3fca-45c7-91be-5629a3733338_Name">
    <vt:lpwstr>All employees (unprotected)</vt:lpwstr>
  </property>
  <property fmtid="{D5CDD505-2E9C-101B-9397-08002B2CF9AE}" pid="14" name="MSIP_Label_f9dda1df-3fca-45c7-91be-5629a3733338_Application">
    <vt:lpwstr>Microsoft Azure Information Protection</vt:lpwstr>
  </property>
  <property fmtid="{D5CDD505-2E9C-101B-9397-08002B2CF9AE}" pid="15" name="MSIP_Label_f9dda1df-3fca-45c7-91be-5629a3733338_Parent">
    <vt:lpwstr>1c8e0fde-d954-47be-ab67-d16694a3feef</vt:lpwstr>
  </property>
  <property fmtid="{D5CDD505-2E9C-101B-9397-08002B2CF9AE}" pid="16" name="MSIP_Label_f9dda1df-3fca-45c7-91be-5629a3733338_Extended_MSFT_Method">
    <vt:lpwstr>Automatic</vt:lpwstr>
  </property>
  <property fmtid="{D5CDD505-2E9C-101B-9397-08002B2CF9AE}" pid="17" name="Sensitivity">
    <vt:lpwstr>Internal Use All employees (unprotected)</vt:lpwstr>
  </property>
</Properties>
</file>