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58BEC3" w14:textId="77777777" w:rsidTr="00C97039">
        <w:trPr>
          <w:trHeight w:hRule="exact" w:val="851"/>
        </w:trPr>
        <w:tc>
          <w:tcPr>
            <w:tcW w:w="1276" w:type="dxa"/>
            <w:tcBorders>
              <w:bottom w:val="single" w:sz="4" w:space="0" w:color="auto"/>
            </w:tcBorders>
          </w:tcPr>
          <w:p w14:paraId="4B4C3B35" w14:textId="77777777" w:rsidR="00F35BAF" w:rsidRPr="00DB58B5" w:rsidRDefault="00F35BAF" w:rsidP="00F813B2"/>
        </w:tc>
        <w:tc>
          <w:tcPr>
            <w:tcW w:w="2268" w:type="dxa"/>
            <w:tcBorders>
              <w:bottom w:val="single" w:sz="4" w:space="0" w:color="auto"/>
            </w:tcBorders>
            <w:vAlign w:val="bottom"/>
          </w:tcPr>
          <w:p w14:paraId="468849D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85213B" w14:textId="77777777" w:rsidR="00F35BAF" w:rsidRPr="00DB58B5" w:rsidRDefault="00F813B2" w:rsidP="00F813B2">
            <w:pPr>
              <w:jc w:val="right"/>
            </w:pPr>
            <w:r w:rsidRPr="00F813B2">
              <w:rPr>
                <w:sz w:val="40"/>
              </w:rPr>
              <w:t>ECE</w:t>
            </w:r>
            <w:r>
              <w:t>/TRANS/WP.29/GRSG/95</w:t>
            </w:r>
          </w:p>
        </w:tc>
      </w:tr>
      <w:tr w:rsidR="00F35BAF" w:rsidRPr="00DB58B5" w14:paraId="4F8B6E62" w14:textId="77777777" w:rsidTr="00C97039">
        <w:trPr>
          <w:trHeight w:hRule="exact" w:val="2835"/>
        </w:trPr>
        <w:tc>
          <w:tcPr>
            <w:tcW w:w="1276" w:type="dxa"/>
            <w:tcBorders>
              <w:top w:val="single" w:sz="4" w:space="0" w:color="auto"/>
              <w:bottom w:val="single" w:sz="12" w:space="0" w:color="auto"/>
            </w:tcBorders>
          </w:tcPr>
          <w:p w14:paraId="5A9AE8B9" w14:textId="77777777" w:rsidR="00F35BAF" w:rsidRPr="00DB58B5" w:rsidRDefault="00F35BAF" w:rsidP="00C97039">
            <w:pPr>
              <w:spacing w:before="120"/>
              <w:jc w:val="center"/>
            </w:pPr>
            <w:r>
              <w:rPr>
                <w:noProof/>
                <w:lang w:eastAsia="fr-CH"/>
              </w:rPr>
              <w:drawing>
                <wp:inline distT="0" distB="0" distL="0" distR="0" wp14:anchorId="79E2B68B" wp14:editId="0981F6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DEEFA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9CA978" w14:textId="77777777" w:rsidR="00F35BAF" w:rsidRDefault="00F813B2" w:rsidP="00C97039">
            <w:pPr>
              <w:spacing w:before="240"/>
            </w:pPr>
            <w:r>
              <w:t>Distr. générale</w:t>
            </w:r>
          </w:p>
          <w:p w14:paraId="071E253B" w14:textId="77777777" w:rsidR="00F813B2" w:rsidRDefault="00F813B2" w:rsidP="00F813B2">
            <w:pPr>
              <w:spacing w:line="240" w:lineRule="exact"/>
            </w:pPr>
            <w:r>
              <w:t>23 mai 2019</w:t>
            </w:r>
          </w:p>
          <w:p w14:paraId="2A870A99" w14:textId="77777777" w:rsidR="00F813B2" w:rsidRDefault="00F813B2" w:rsidP="00F813B2">
            <w:pPr>
              <w:spacing w:line="240" w:lineRule="exact"/>
            </w:pPr>
            <w:r>
              <w:t>Français</w:t>
            </w:r>
          </w:p>
          <w:p w14:paraId="19AE51F9" w14:textId="77777777" w:rsidR="00F813B2" w:rsidRPr="00DB58B5" w:rsidRDefault="00F813B2" w:rsidP="00F813B2">
            <w:pPr>
              <w:spacing w:line="240" w:lineRule="exact"/>
            </w:pPr>
            <w:r>
              <w:t>Original : anglais</w:t>
            </w:r>
          </w:p>
        </w:tc>
      </w:tr>
    </w:tbl>
    <w:p w14:paraId="331696E5" w14:textId="77777777" w:rsidR="007F20FA" w:rsidRPr="000312C0" w:rsidRDefault="007F20FA" w:rsidP="007F20FA">
      <w:pPr>
        <w:spacing w:before="120"/>
        <w:rPr>
          <w:b/>
          <w:sz w:val="28"/>
          <w:szCs w:val="28"/>
        </w:rPr>
      </w:pPr>
      <w:r w:rsidRPr="000312C0">
        <w:rPr>
          <w:b/>
          <w:sz w:val="28"/>
          <w:szCs w:val="28"/>
        </w:rPr>
        <w:t>Commission économique pour l’Europe</w:t>
      </w:r>
    </w:p>
    <w:p w14:paraId="04A79B3F" w14:textId="77777777" w:rsidR="007F20FA" w:rsidRDefault="007F20FA" w:rsidP="007F20FA">
      <w:pPr>
        <w:spacing w:before="120"/>
        <w:rPr>
          <w:sz w:val="28"/>
          <w:szCs w:val="28"/>
        </w:rPr>
      </w:pPr>
      <w:r w:rsidRPr="00685843">
        <w:rPr>
          <w:sz w:val="28"/>
          <w:szCs w:val="28"/>
        </w:rPr>
        <w:t>Comité des transports intérieurs</w:t>
      </w:r>
    </w:p>
    <w:p w14:paraId="2CFB8160" w14:textId="77777777" w:rsidR="00A73F28" w:rsidRPr="00D445B6" w:rsidRDefault="00A73F28" w:rsidP="00D445B6">
      <w:pPr>
        <w:spacing w:before="120"/>
        <w:rPr>
          <w:b/>
          <w:sz w:val="24"/>
          <w:szCs w:val="24"/>
        </w:rPr>
      </w:pPr>
      <w:r w:rsidRPr="00D445B6">
        <w:rPr>
          <w:b/>
          <w:bCs/>
          <w:sz w:val="24"/>
          <w:szCs w:val="24"/>
          <w:lang w:val="fr-FR"/>
        </w:rPr>
        <w:t>Forum mondial de l’harmonisation des Règlements</w:t>
      </w:r>
      <w:r w:rsidR="00D445B6">
        <w:rPr>
          <w:b/>
          <w:bCs/>
          <w:sz w:val="24"/>
          <w:szCs w:val="24"/>
          <w:lang w:val="fr-FR"/>
        </w:rPr>
        <w:br/>
      </w:r>
      <w:r w:rsidRPr="00D445B6">
        <w:rPr>
          <w:b/>
          <w:bCs/>
          <w:sz w:val="24"/>
          <w:szCs w:val="24"/>
          <w:lang w:val="fr-FR"/>
        </w:rPr>
        <w:t>concernant les véhicules</w:t>
      </w:r>
    </w:p>
    <w:p w14:paraId="479F1046" w14:textId="77777777" w:rsidR="00A73F28" w:rsidRPr="00DD1D4D" w:rsidRDefault="00A73F28" w:rsidP="00D445B6">
      <w:pPr>
        <w:spacing w:before="120"/>
        <w:rPr>
          <w:b/>
        </w:rPr>
      </w:pPr>
      <w:r>
        <w:rPr>
          <w:b/>
          <w:bCs/>
          <w:lang w:val="fr-FR"/>
        </w:rPr>
        <w:t>Groupe de travail des dispositions générales de sécurité</w:t>
      </w:r>
    </w:p>
    <w:p w14:paraId="3C402373" w14:textId="77777777" w:rsidR="00A73F28" w:rsidRPr="00D445B6" w:rsidRDefault="00A73F28" w:rsidP="00D445B6">
      <w:pPr>
        <w:spacing w:before="120"/>
        <w:rPr>
          <w:b/>
        </w:rPr>
      </w:pPr>
      <w:r w:rsidRPr="00D445B6">
        <w:rPr>
          <w:b/>
          <w:lang w:val="fr-FR"/>
        </w:rPr>
        <w:t>116</w:t>
      </w:r>
      <w:r w:rsidRPr="00D445B6">
        <w:rPr>
          <w:b/>
          <w:vertAlign w:val="superscript"/>
          <w:lang w:val="fr-FR"/>
        </w:rPr>
        <w:t>e</w:t>
      </w:r>
      <w:r w:rsidR="00D445B6" w:rsidRPr="00D445B6">
        <w:rPr>
          <w:b/>
          <w:lang w:val="fr-FR"/>
        </w:rPr>
        <w:t> </w:t>
      </w:r>
      <w:r w:rsidRPr="00D445B6">
        <w:rPr>
          <w:b/>
          <w:lang w:val="fr-FR"/>
        </w:rPr>
        <w:t>session</w:t>
      </w:r>
    </w:p>
    <w:p w14:paraId="039CBA56" w14:textId="77777777" w:rsidR="00A73F28" w:rsidRDefault="00A73F28" w:rsidP="00A73F28">
      <w:r>
        <w:rPr>
          <w:lang w:val="fr-FR"/>
        </w:rPr>
        <w:t>Genève, 1</w:t>
      </w:r>
      <w:r w:rsidRPr="00D445B6">
        <w:rPr>
          <w:vertAlign w:val="superscript"/>
          <w:lang w:val="fr-FR"/>
        </w:rPr>
        <w:t>er</w:t>
      </w:r>
      <w:r>
        <w:rPr>
          <w:lang w:val="fr-FR"/>
        </w:rPr>
        <w:t>-5</w:t>
      </w:r>
      <w:r w:rsidR="00D445B6">
        <w:rPr>
          <w:lang w:val="fr-FR"/>
        </w:rPr>
        <w:t> </w:t>
      </w:r>
      <w:r>
        <w:rPr>
          <w:lang w:val="fr-FR"/>
        </w:rPr>
        <w:t>avril 2019</w:t>
      </w:r>
    </w:p>
    <w:p w14:paraId="2EA53AA1" w14:textId="77777777" w:rsidR="00A73F28" w:rsidRDefault="00A73F28" w:rsidP="00D445B6">
      <w:pPr>
        <w:pStyle w:val="HChG"/>
        <w:rPr>
          <w:lang w:val="fr-FR"/>
        </w:rPr>
      </w:pPr>
      <w:r>
        <w:rPr>
          <w:lang w:val="fr-FR"/>
        </w:rPr>
        <w:tab/>
      </w:r>
      <w:r>
        <w:rPr>
          <w:lang w:val="fr-FR"/>
        </w:rPr>
        <w:tab/>
        <w:t xml:space="preserve">Rapport du Groupe de travail des dispositions générales </w:t>
      </w:r>
      <w:r w:rsidR="00D445B6">
        <w:rPr>
          <w:lang w:val="fr-FR"/>
        </w:rPr>
        <w:br/>
      </w:r>
      <w:r>
        <w:rPr>
          <w:lang w:val="fr-FR"/>
        </w:rPr>
        <w:t>de sécurité sur sa 116</w:t>
      </w:r>
      <w:r w:rsidRPr="00D445B6">
        <w:rPr>
          <w:vertAlign w:val="superscript"/>
          <w:lang w:val="fr-FR"/>
        </w:rPr>
        <w:t>e</w:t>
      </w:r>
      <w:r w:rsidR="00D445B6">
        <w:rPr>
          <w:lang w:val="fr-FR"/>
        </w:rPr>
        <w:t> </w:t>
      </w:r>
      <w:r>
        <w:rPr>
          <w:lang w:val="fr-FR"/>
        </w:rPr>
        <w:t>session</w:t>
      </w:r>
    </w:p>
    <w:p w14:paraId="13C6ED9C" w14:textId="77777777" w:rsidR="00442B26" w:rsidRPr="00442B26" w:rsidRDefault="00442B26" w:rsidP="00442B26">
      <w:pPr>
        <w:spacing w:after="120"/>
        <w:rPr>
          <w:sz w:val="28"/>
        </w:rPr>
      </w:pPr>
      <w:r w:rsidRPr="00442B26">
        <w:rPr>
          <w:sz w:val="28"/>
        </w:rPr>
        <w:t>Table des matières</w:t>
      </w:r>
    </w:p>
    <w:p w14:paraId="51963936" w14:textId="77777777" w:rsidR="00442B26" w:rsidRPr="00442B26" w:rsidRDefault="00442B26" w:rsidP="00442B26">
      <w:pPr>
        <w:tabs>
          <w:tab w:val="right" w:pos="8929"/>
          <w:tab w:val="right" w:pos="9638"/>
        </w:tabs>
        <w:spacing w:after="120"/>
        <w:ind w:left="283"/>
        <w:rPr>
          <w:i/>
          <w:sz w:val="18"/>
        </w:rPr>
      </w:pPr>
      <w:r w:rsidRPr="00442B26">
        <w:rPr>
          <w:i/>
          <w:sz w:val="18"/>
        </w:rPr>
        <w:tab/>
        <w:t>Paragraphes</w:t>
      </w:r>
      <w:r w:rsidRPr="00442B26">
        <w:rPr>
          <w:i/>
          <w:sz w:val="18"/>
        </w:rPr>
        <w:tab/>
        <w:t>Page</w:t>
      </w:r>
    </w:p>
    <w:p w14:paraId="0B1DA7A9" w14:textId="77777777" w:rsidR="00442B26" w:rsidRDefault="00442B26" w:rsidP="00442B26">
      <w:pPr>
        <w:tabs>
          <w:tab w:val="right" w:pos="850"/>
          <w:tab w:val="right" w:leader="dot" w:pos="7654"/>
          <w:tab w:val="right" w:pos="8929"/>
          <w:tab w:val="right" w:pos="9638"/>
        </w:tabs>
        <w:spacing w:after="120"/>
        <w:ind w:left="1134" w:hanging="1134"/>
      </w:pPr>
      <w:r>
        <w:tab/>
        <w:t>I.</w:t>
      </w:r>
      <w:r>
        <w:tab/>
      </w:r>
      <w:r w:rsidR="007E0D05">
        <w:rPr>
          <w:lang w:val="fr-FR"/>
        </w:rPr>
        <w:t>Participation</w:t>
      </w:r>
      <w:r>
        <w:tab/>
      </w:r>
      <w:r>
        <w:tab/>
      </w:r>
      <w:r w:rsidR="004E20DE">
        <w:t>1</w:t>
      </w:r>
      <w:r>
        <w:tab/>
      </w:r>
      <w:r w:rsidR="0069515B">
        <w:t>3</w:t>
      </w:r>
    </w:p>
    <w:p w14:paraId="0BB5A61C" w14:textId="77777777" w:rsidR="00442B26" w:rsidRDefault="00442B26" w:rsidP="00442B26">
      <w:pPr>
        <w:tabs>
          <w:tab w:val="right" w:pos="850"/>
          <w:tab w:val="right" w:leader="dot" w:pos="7654"/>
          <w:tab w:val="right" w:pos="8929"/>
          <w:tab w:val="right" w:pos="9638"/>
        </w:tabs>
        <w:spacing w:after="120"/>
        <w:ind w:left="1134" w:hanging="1134"/>
      </w:pPr>
      <w:r>
        <w:tab/>
        <w:t>II.</w:t>
      </w:r>
      <w:r>
        <w:tab/>
      </w:r>
      <w:r w:rsidR="007E0D05">
        <w:rPr>
          <w:lang w:val="fr-FR"/>
        </w:rPr>
        <w:t>Adoption de l’ordre du jour (point 1 de l’ordre du jour)</w:t>
      </w:r>
      <w:r>
        <w:tab/>
      </w:r>
      <w:r>
        <w:tab/>
      </w:r>
      <w:r w:rsidR="004E20DE">
        <w:t>2−4</w:t>
      </w:r>
      <w:r>
        <w:tab/>
      </w:r>
      <w:r w:rsidR="0069515B">
        <w:t>3</w:t>
      </w:r>
    </w:p>
    <w:p w14:paraId="52B23DFD" w14:textId="77777777" w:rsidR="00442B26" w:rsidRDefault="00442B26" w:rsidP="00442B26">
      <w:pPr>
        <w:tabs>
          <w:tab w:val="right" w:pos="850"/>
          <w:tab w:val="right" w:leader="dot" w:pos="7654"/>
          <w:tab w:val="right" w:pos="8929"/>
          <w:tab w:val="right" w:pos="9638"/>
        </w:tabs>
        <w:spacing w:after="120"/>
        <w:ind w:left="1134" w:hanging="1134"/>
      </w:pPr>
      <w:r>
        <w:tab/>
        <w:t>III.</w:t>
      </w:r>
      <w:r>
        <w:tab/>
      </w:r>
      <w:r w:rsidR="007E0D05">
        <w:rPr>
          <w:lang w:val="fr-FR"/>
        </w:rPr>
        <w:t xml:space="preserve">Amendements aux Règlements sur les autobus et les autocars </w:t>
      </w:r>
      <w:r w:rsidR="00C535E2">
        <w:rPr>
          <w:lang w:val="fr-FR"/>
        </w:rPr>
        <w:br/>
      </w:r>
      <w:r w:rsidR="007E0D05">
        <w:rPr>
          <w:lang w:val="fr-FR"/>
        </w:rPr>
        <w:t>(point 2 de l’ordre du jour)</w:t>
      </w:r>
      <w:r>
        <w:tab/>
      </w:r>
      <w:r>
        <w:tab/>
      </w:r>
      <w:r w:rsidR="004E20DE">
        <w:t>5−1</w:t>
      </w:r>
      <w:r w:rsidR="004A33C8">
        <w:t>2</w:t>
      </w:r>
      <w:r>
        <w:tab/>
      </w:r>
      <w:r w:rsidR="0069515B">
        <w:t>3</w:t>
      </w:r>
    </w:p>
    <w:p w14:paraId="1B00E722" w14:textId="77777777" w:rsidR="00442B26" w:rsidRDefault="00442B26" w:rsidP="00442B26">
      <w:pPr>
        <w:tabs>
          <w:tab w:val="right" w:leader="dot" w:pos="7654"/>
          <w:tab w:val="right" w:pos="8929"/>
          <w:tab w:val="right" w:pos="9638"/>
        </w:tabs>
        <w:spacing w:after="120"/>
        <w:ind w:left="1559" w:hanging="425"/>
      </w:pPr>
      <w:r>
        <w:t>A.</w:t>
      </w:r>
      <w:r>
        <w:tab/>
      </w:r>
      <w:r w:rsidR="007E0D05" w:rsidRPr="00061789">
        <w:rPr>
          <w:lang w:val="fr-FR"/>
        </w:rPr>
        <w:t>Règlement ONU n</w:t>
      </w:r>
      <w:r w:rsidR="007E0D05" w:rsidRPr="00B74950">
        <w:rPr>
          <w:vertAlign w:val="superscript"/>
          <w:lang w:val="fr-FR"/>
        </w:rPr>
        <w:t>o</w:t>
      </w:r>
      <w:r w:rsidR="007E0D05">
        <w:rPr>
          <w:lang w:val="fr-FR"/>
        </w:rPr>
        <w:t> </w:t>
      </w:r>
      <w:r w:rsidR="007E0D05" w:rsidRPr="00061789">
        <w:rPr>
          <w:lang w:val="fr-FR"/>
        </w:rPr>
        <w:t>107 (Véhicules des catégories M</w:t>
      </w:r>
      <w:r w:rsidR="007E0D05" w:rsidRPr="00061789">
        <w:rPr>
          <w:vertAlign w:val="subscript"/>
          <w:lang w:val="fr-FR"/>
        </w:rPr>
        <w:t>2</w:t>
      </w:r>
      <w:r w:rsidR="007E0D05" w:rsidRPr="00061789">
        <w:rPr>
          <w:lang w:val="fr-FR"/>
        </w:rPr>
        <w:t xml:space="preserve"> et M</w:t>
      </w:r>
      <w:r w:rsidR="007E0D05" w:rsidRPr="00061789">
        <w:rPr>
          <w:vertAlign w:val="subscript"/>
          <w:lang w:val="fr-FR"/>
        </w:rPr>
        <w:t>3</w:t>
      </w:r>
      <w:r w:rsidR="007E0D05" w:rsidRPr="00061789">
        <w:rPr>
          <w:lang w:val="fr-FR"/>
        </w:rPr>
        <w:t>)</w:t>
      </w:r>
      <w:r>
        <w:tab/>
      </w:r>
      <w:r>
        <w:tab/>
      </w:r>
      <w:r w:rsidR="004E20DE">
        <w:t>5−9</w:t>
      </w:r>
      <w:r>
        <w:tab/>
      </w:r>
      <w:r w:rsidR="0069515B">
        <w:t>3</w:t>
      </w:r>
    </w:p>
    <w:p w14:paraId="0CAFBD20" w14:textId="77777777" w:rsidR="00442B26" w:rsidRDefault="00442B26" w:rsidP="00442B26">
      <w:pPr>
        <w:tabs>
          <w:tab w:val="right" w:leader="dot" w:pos="7654"/>
          <w:tab w:val="right" w:pos="8929"/>
          <w:tab w:val="right" w:pos="9638"/>
        </w:tabs>
        <w:spacing w:after="120"/>
        <w:ind w:left="1559" w:hanging="425"/>
      </w:pPr>
      <w:r>
        <w:t>B.</w:t>
      </w:r>
      <w:r>
        <w:tab/>
      </w:r>
      <w:r w:rsidR="007E0D05" w:rsidRPr="00061789">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061789">
        <w:rPr>
          <w:lang w:val="fr-FR"/>
        </w:rPr>
        <w:t>118 (Comportement au feu des matériaux)</w:t>
      </w:r>
      <w:r>
        <w:tab/>
      </w:r>
      <w:r>
        <w:tab/>
      </w:r>
      <w:r w:rsidR="004E20DE">
        <w:t>10−12</w:t>
      </w:r>
      <w:r>
        <w:tab/>
      </w:r>
      <w:r w:rsidR="0069515B">
        <w:t>4</w:t>
      </w:r>
    </w:p>
    <w:p w14:paraId="4CF729D3" w14:textId="77777777" w:rsidR="00442B26" w:rsidRDefault="00442B26" w:rsidP="00442B26">
      <w:pPr>
        <w:tabs>
          <w:tab w:val="right" w:pos="850"/>
          <w:tab w:val="right" w:leader="dot" w:pos="7654"/>
          <w:tab w:val="right" w:pos="8929"/>
          <w:tab w:val="right" w:pos="9638"/>
        </w:tabs>
        <w:spacing w:after="120"/>
        <w:ind w:left="1134" w:hanging="1134"/>
      </w:pPr>
      <w:r>
        <w:tab/>
        <w:t>IV.</w:t>
      </w:r>
      <w:r>
        <w:tab/>
      </w:r>
      <w:r w:rsidR="007E0D05" w:rsidRPr="00CD5CB2">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CD5CB2">
        <w:rPr>
          <w:lang w:val="fr-FR"/>
        </w:rPr>
        <w:t>26 (Saillies extérieures des voitures particulières)</w:t>
      </w:r>
      <w:r w:rsidR="00C535E2">
        <w:rPr>
          <w:lang w:val="fr-FR"/>
        </w:rPr>
        <w:br/>
      </w:r>
      <w:r w:rsidR="007E0D05" w:rsidRPr="00CD5CB2">
        <w:rPr>
          <w:lang w:val="fr-FR"/>
        </w:rPr>
        <w:t>(point 3 de l</w:t>
      </w:r>
      <w:r w:rsidR="007E0D05">
        <w:rPr>
          <w:lang w:val="fr-FR"/>
        </w:rPr>
        <w:t>’</w:t>
      </w:r>
      <w:r w:rsidR="007E0D05" w:rsidRPr="00CD5CB2">
        <w:rPr>
          <w:lang w:val="fr-FR"/>
        </w:rPr>
        <w:t>ordre du jour)</w:t>
      </w:r>
      <w:r>
        <w:tab/>
      </w:r>
      <w:r>
        <w:tab/>
      </w:r>
      <w:r w:rsidR="004E20DE">
        <w:t>13−15</w:t>
      </w:r>
      <w:r>
        <w:tab/>
      </w:r>
      <w:r w:rsidR="0069515B">
        <w:t>5</w:t>
      </w:r>
    </w:p>
    <w:p w14:paraId="410C5C25" w14:textId="77777777" w:rsidR="00442B26" w:rsidRDefault="00442B26" w:rsidP="00442B26">
      <w:pPr>
        <w:tabs>
          <w:tab w:val="right" w:pos="850"/>
          <w:tab w:val="right" w:leader="dot" w:pos="7654"/>
          <w:tab w:val="right" w:pos="8929"/>
          <w:tab w:val="right" w:pos="9638"/>
        </w:tabs>
        <w:spacing w:after="120"/>
        <w:ind w:left="1134" w:hanging="1134"/>
      </w:pPr>
      <w:r>
        <w:tab/>
        <w:t>V.</w:t>
      </w:r>
      <w:r>
        <w:tab/>
      </w:r>
      <w:r w:rsidR="007E0D05">
        <w:rPr>
          <w:lang w:val="fr-FR"/>
        </w:rPr>
        <w:t>Règlement ONU n</w:t>
      </w:r>
      <w:r w:rsidR="007E0D05" w:rsidRPr="00BD103A">
        <w:rPr>
          <w:vertAlign w:val="superscript"/>
          <w:lang w:val="fr-FR"/>
        </w:rPr>
        <w:t>o</w:t>
      </w:r>
      <w:r w:rsidR="007E0D05">
        <w:rPr>
          <w:lang w:val="fr-FR"/>
        </w:rPr>
        <w:t> 34 (Prévention des incendies)</w:t>
      </w:r>
      <w:r w:rsidR="00C535E2">
        <w:rPr>
          <w:lang w:val="fr-FR"/>
        </w:rPr>
        <w:t xml:space="preserve"> </w:t>
      </w:r>
      <w:r w:rsidR="007E0D05">
        <w:rPr>
          <w:lang w:val="fr-FR"/>
        </w:rPr>
        <w:t>(point 4 de l’ordre du jour)</w:t>
      </w:r>
      <w:r>
        <w:tab/>
      </w:r>
      <w:r>
        <w:tab/>
      </w:r>
      <w:r w:rsidR="004E20DE">
        <w:t>16−17</w:t>
      </w:r>
      <w:r>
        <w:tab/>
      </w:r>
      <w:r w:rsidR="0069515B">
        <w:t>5</w:t>
      </w:r>
    </w:p>
    <w:p w14:paraId="1237BEC7" w14:textId="77777777" w:rsidR="00442B26" w:rsidRDefault="00442B26" w:rsidP="00442B26">
      <w:pPr>
        <w:tabs>
          <w:tab w:val="right" w:pos="850"/>
          <w:tab w:val="right" w:leader="dot" w:pos="7654"/>
          <w:tab w:val="right" w:pos="8929"/>
          <w:tab w:val="right" w:pos="9638"/>
        </w:tabs>
        <w:spacing w:after="120"/>
        <w:ind w:left="1134" w:hanging="1134"/>
      </w:pPr>
      <w:r>
        <w:tab/>
        <w:t>VI.</w:t>
      </w:r>
      <w:r>
        <w:tab/>
      </w:r>
      <w:r w:rsidR="007E0D05">
        <w:rPr>
          <w:lang w:val="fr-FR"/>
        </w:rPr>
        <w:t>Règlement ONU n</w:t>
      </w:r>
      <w:r w:rsidR="007E0D05" w:rsidRPr="00BD103A">
        <w:rPr>
          <w:vertAlign w:val="superscript"/>
          <w:lang w:val="fr-FR"/>
        </w:rPr>
        <w:t>o</w:t>
      </w:r>
      <w:r w:rsidR="007E0D05">
        <w:rPr>
          <w:lang w:val="fr-FR"/>
        </w:rPr>
        <w:t> 35 (Disposition des pédales de commande)</w:t>
      </w:r>
      <w:r w:rsidR="003E672E">
        <w:rPr>
          <w:lang w:val="fr-FR"/>
        </w:rPr>
        <w:br/>
      </w:r>
      <w:r w:rsidR="007E0D05">
        <w:rPr>
          <w:lang w:val="fr-FR"/>
        </w:rPr>
        <w:t>(point 5 de l’ordre du jour)</w:t>
      </w:r>
      <w:r>
        <w:tab/>
      </w:r>
      <w:r>
        <w:tab/>
      </w:r>
      <w:r w:rsidR="004E20DE">
        <w:t>18</w:t>
      </w:r>
      <w:r>
        <w:tab/>
      </w:r>
      <w:r w:rsidR="0069515B">
        <w:t>6</w:t>
      </w:r>
    </w:p>
    <w:p w14:paraId="7F9E88C5" w14:textId="77777777" w:rsidR="00442B26" w:rsidRDefault="00442B26" w:rsidP="00442B26">
      <w:pPr>
        <w:tabs>
          <w:tab w:val="right" w:pos="850"/>
          <w:tab w:val="right" w:leader="dot" w:pos="7654"/>
          <w:tab w:val="right" w:pos="8929"/>
          <w:tab w:val="right" w:pos="9638"/>
        </w:tabs>
        <w:spacing w:after="120"/>
        <w:ind w:left="1134" w:hanging="1134"/>
      </w:pPr>
      <w:r>
        <w:tab/>
        <w:t>VII.</w:t>
      </w:r>
      <w:r>
        <w:tab/>
      </w:r>
      <w:r w:rsidR="007E0D05">
        <w:rPr>
          <w:lang w:val="fr-FR"/>
        </w:rPr>
        <w:t xml:space="preserve">Amendements aux règlements relatifs aux vitrages de sécurité </w:t>
      </w:r>
      <w:r w:rsidR="003E672E">
        <w:rPr>
          <w:lang w:val="fr-FR"/>
        </w:rPr>
        <w:br/>
      </w:r>
      <w:r w:rsidR="007E0D05">
        <w:rPr>
          <w:lang w:val="fr-FR"/>
        </w:rPr>
        <w:t>(point 6 de l’ordre du jour)</w:t>
      </w:r>
      <w:r>
        <w:tab/>
      </w:r>
      <w:r>
        <w:tab/>
      </w:r>
      <w:r w:rsidR="004E20DE">
        <w:t>19−25</w:t>
      </w:r>
      <w:r>
        <w:tab/>
      </w:r>
      <w:r w:rsidR="0069515B">
        <w:t>6</w:t>
      </w:r>
    </w:p>
    <w:p w14:paraId="7FF1DB68" w14:textId="77777777" w:rsidR="00442B26" w:rsidRDefault="00442B26" w:rsidP="00442B26">
      <w:pPr>
        <w:tabs>
          <w:tab w:val="right" w:leader="dot" w:pos="7654"/>
          <w:tab w:val="right" w:pos="8929"/>
          <w:tab w:val="right" w:pos="9638"/>
        </w:tabs>
        <w:spacing w:after="120"/>
        <w:ind w:left="1559" w:hanging="425"/>
      </w:pPr>
      <w:r>
        <w:t>A.</w:t>
      </w:r>
      <w:r>
        <w:tab/>
      </w:r>
      <w:r w:rsidR="007E0D05" w:rsidRPr="00BB6B65">
        <w:rPr>
          <w:lang w:val="fr-FR"/>
        </w:rPr>
        <w:t xml:space="preserve">Règlement technique mondial ONU </w:t>
      </w:r>
      <w:r w:rsidR="007E0D05">
        <w:rPr>
          <w:lang w:val="fr-FR"/>
        </w:rPr>
        <w:t>n</w:t>
      </w:r>
      <w:r w:rsidR="007E0D05" w:rsidRPr="00BD103A">
        <w:rPr>
          <w:vertAlign w:val="superscript"/>
          <w:lang w:val="fr-FR"/>
        </w:rPr>
        <w:t>o</w:t>
      </w:r>
      <w:r w:rsidR="007E0D05">
        <w:rPr>
          <w:lang w:val="fr-FR"/>
        </w:rPr>
        <w:t> </w:t>
      </w:r>
      <w:r w:rsidR="007E0D05" w:rsidRPr="00BB6B65">
        <w:rPr>
          <w:lang w:val="fr-FR"/>
        </w:rPr>
        <w:t>6 (Vitrages de sécurité)</w:t>
      </w:r>
      <w:r>
        <w:tab/>
      </w:r>
      <w:r>
        <w:tab/>
      </w:r>
      <w:r w:rsidR="004E20DE">
        <w:t>21−23</w:t>
      </w:r>
      <w:r>
        <w:tab/>
      </w:r>
      <w:r w:rsidR="0069515B">
        <w:t>6</w:t>
      </w:r>
    </w:p>
    <w:p w14:paraId="7C7B3012" w14:textId="77777777" w:rsidR="00442B26" w:rsidRDefault="00442B26" w:rsidP="00442B26">
      <w:pPr>
        <w:tabs>
          <w:tab w:val="right" w:leader="dot" w:pos="7654"/>
          <w:tab w:val="right" w:pos="8929"/>
          <w:tab w:val="right" w:pos="9638"/>
        </w:tabs>
        <w:spacing w:after="120"/>
        <w:ind w:left="1559" w:hanging="425"/>
      </w:pPr>
      <w:r>
        <w:t>B.</w:t>
      </w:r>
      <w:r>
        <w:tab/>
      </w:r>
      <w:r w:rsidR="007E0D05" w:rsidRPr="00107E98">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107E98">
        <w:rPr>
          <w:lang w:val="fr-FR"/>
        </w:rPr>
        <w:t>43 (Vitrages de sécurité)</w:t>
      </w:r>
      <w:r>
        <w:tab/>
      </w:r>
      <w:r>
        <w:tab/>
      </w:r>
      <w:r w:rsidR="004E20DE">
        <w:t>24−25</w:t>
      </w:r>
      <w:r>
        <w:tab/>
      </w:r>
      <w:r w:rsidR="0069515B">
        <w:t>7</w:t>
      </w:r>
    </w:p>
    <w:p w14:paraId="1CF01628" w14:textId="77777777" w:rsidR="00442B26" w:rsidRDefault="00442B26" w:rsidP="00442B26">
      <w:pPr>
        <w:tabs>
          <w:tab w:val="right" w:pos="850"/>
          <w:tab w:val="right" w:leader="dot" w:pos="7654"/>
          <w:tab w:val="right" w:pos="8929"/>
          <w:tab w:val="right" w:pos="9638"/>
        </w:tabs>
        <w:spacing w:after="120"/>
        <w:ind w:left="1134" w:hanging="1134"/>
      </w:pPr>
      <w:r>
        <w:tab/>
        <w:t>VIII.</w:t>
      </w:r>
      <w:r>
        <w:tab/>
      </w:r>
      <w:r w:rsidR="007E0D05">
        <w:rPr>
          <w:lang w:val="fr-FR"/>
        </w:rPr>
        <w:t xml:space="preserve">Détection de la présence d’usagers de la route vulnérables </w:t>
      </w:r>
      <w:r w:rsidR="003E672E">
        <w:rPr>
          <w:lang w:val="fr-FR"/>
        </w:rPr>
        <w:br/>
      </w:r>
      <w:r w:rsidR="007E0D05">
        <w:rPr>
          <w:lang w:val="fr-FR"/>
        </w:rPr>
        <w:t>(point 7 de l’ordre du jour)</w:t>
      </w:r>
      <w:r>
        <w:tab/>
      </w:r>
      <w:r>
        <w:tab/>
      </w:r>
      <w:r w:rsidR="004E20DE">
        <w:t>26−34</w:t>
      </w:r>
      <w:r>
        <w:tab/>
      </w:r>
      <w:r w:rsidR="0069515B">
        <w:t>7</w:t>
      </w:r>
    </w:p>
    <w:p w14:paraId="418EBA7F" w14:textId="77777777" w:rsidR="00442B26" w:rsidRDefault="00442B26" w:rsidP="00442B26">
      <w:pPr>
        <w:tabs>
          <w:tab w:val="right" w:leader="dot" w:pos="7654"/>
          <w:tab w:val="right" w:pos="8929"/>
          <w:tab w:val="right" w:pos="9638"/>
        </w:tabs>
        <w:spacing w:after="120"/>
        <w:ind w:left="1559" w:hanging="425"/>
      </w:pPr>
      <w:r>
        <w:t>A.</w:t>
      </w:r>
      <w:r>
        <w:tab/>
      </w:r>
      <w:r w:rsidR="007E0D05" w:rsidRPr="00FE2BBF">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FE2BBF">
        <w:rPr>
          <w:lang w:val="fr-FR"/>
        </w:rPr>
        <w:t>46 (Systèmes de vision indirecte)</w:t>
      </w:r>
      <w:r>
        <w:tab/>
      </w:r>
      <w:r>
        <w:tab/>
      </w:r>
      <w:r w:rsidR="004E20DE">
        <w:t>28−33</w:t>
      </w:r>
      <w:r>
        <w:tab/>
      </w:r>
      <w:r w:rsidR="0069515B">
        <w:t>7</w:t>
      </w:r>
    </w:p>
    <w:p w14:paraId="1B957C4C" w14:textId="77777777" w:rsidR="00442B26" w:rsidRDefault="00442B26" w:rsidP="00442B26">
      <w:pPr>
        <w:tabs>
          <w:tab w:val="right" w:leader="dot" w:pos="7654"/>
          <w:tab w:val="right" w:pos="8929"/>
          <w:tab w:val="right" w:pos="9638"/>
        </w:tabs>
        <w:spacing w:after="120"/>
        <w:ind w:left="1559" w:hanging="425"/>
      </w:pPr>
      <w:r>
        <w:t>B.</w:t>
      </w:r>
      <w:r>
        <w:tab/>
      </w:r>
      <w:r w:rsidR="007E0D05" w:rsidRPr="00447EB4">
        <w:rPr>
          <w:lang w:val="fr-FR"/>
        </w:rPr>
        <w:t>Nouveau règlement ONU sur les systèmes de surveillance</w:t>
      </w:r>
      <w:r w:rsidR="007E0D05">
        <w:rPr>
          <w:lang w:val="fr-FR"/>
        </w:rPr>
        <w:t xml:space="preserve"> </w:t>
      </w:r>
      <w:r w:rsidR="003E672E">
        <w:rPr>
          <w:lang w:val="fr-FR"/>
        </w:rPr>
        <w:br/>
      </w:r>
      <w:r w:rsidR="007E0D05" w:rsidRPr="00447EB4">
        <w:rPr>
          <w:lang w:val="fr-FR"/>
        </w:rPr>
        <w:t>de l</w:t>
      </w:r>
      <w:r w:rsidR="007E0D05">
        <w:rPr>
          <w:lang w:val="fr-FR"/>
        </w:rPr>
        <w:t>’</w:t>
      </w:r>
      <w:r w:rsidR="007E0D05" w:rsidRPr="00447EB4">
        <w:rPr>
          <w:lang w:val="fr-FR"/>
        </w:rPr>
        <w:t>angle mort (BSIS)</w:t>
      </w:r>
      <w:r>
        <w:tab/>
      </w:r>
      <w:r>
        <w:tab/>
      </w:r>
      <w:r w:rsidR="004E20DE">
        <w:t>34</w:t>
      </w:r>
      <w:r>
        <w:tab/>
      </w:r>
      <w:r w:rsidR="0069515B">
        <w:t>8</w:t>
      </w:r>
    </w:p>
    <w:p w14:paraId="50CE2123" w14:textId="77777777" w:rsidR="00442B26" w:rsidRDefault="00442B26" w:rsidP="00442B26">
      <w:pPr>
        <w:tabs>
          <w:tab w:val="right" w:pos="850"/>
          <w:tab w:val="right" w:leader="dot" w:pos="7654"/>
          <w:tab w:val="right" w:pos="8929"/>
          <w:tab w:val="right" w:pos="9638"/>
        </w:tabs>
        <w:spacing w:after="120"/>
        <w:ind w:left="1134" w:hanging="1134"/>
      </w:pPr>
      <w:r>
        <w:lastRenderedPageBreak/>
        <w:tab/>
        <w:t>IX.</w:t>
      </w:r>
      <w:r>
        <w:tab/>
      </w:r>
      <w:r w:rsidR="007E0D05" w:rsidRPr="00447EB4">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447EB4">
        <w:rPr>
          <w:lang w:val="fr-FR"/>
        </w:rPr>
        <w:t>55 (Pièces mécaniques d</w:t>
      </w:r>
      <w:r w:rsidR="007E0D05">
        <w:rPr>
          <w:lang w:val="fr-FR"/>
        </w:rPr>
        <w:t>’</w:t>
      </w:r>
      <w:r w:rsidR="007E0D05" w:rsidRPr="00447EB4">
        <w:rPr>
          <w:lang w:val="fr-FR"/>
        </w:rPr>
        <w:t>attelage)</w:t>
      </w:r>
      <w:r w:rsidR="003E672E">
        <w:rPr>
          <w:lang w:val="fr-FR"/>
        </w:rPr>
        <w:br/>
      </w:r>
      <w:r w:rsidR="007E0D05" w:rsidRPr="00447EB4">
        <w:rPr>
          <w:lang w:val="fr-FR"/>
        </w:rPr>
        <w:t>(point 8 de l</w:t>
      </w:r>
      <w:r w:rsidR="007E0D05">
        <w:rPr>
          <w:lang w:val="fr-FR"/>
        </w:rPr>
        <w:t>’</w:t>
      </w:r>
      <w:r w:rsidR="007E0D05" w:rsidRPr="00447EB4">
        <w:rPr>
          <w:lang w:val="fr-FR"/>
        </w:rPr>
        <w:t>ordre du jour)</w:t>
      </w:r>
      <w:r>
        <w:tab/>
      </w:r>
      <w:r>
        <w:tab/>
      </w:r>
      <w:r w:rsidR="004E20DE">
        <w:t>35−37</w:t>
      </w:r>
      <w:r>
        <w:tab/>
      </w:r>
      <w:r w:rsidR="0069515B">
        <w:t>9</w:t>
      </w:r>
    </w:p>
    <w:p w14:paraId="0EDA1808" w14:textId="77777777" w:rsidR="00442B26" w:rsidRDefault="00442B26" w:rsidP="00442B26">
      <w:pPr>
        <w:tabs>
          <w:tab w:val="right" w:pos="850"/>
          <w:tab w:val="right" w:leader="dot" w:pos="7654"/>
          <w:tab w:val="right" w:pos="8929"/>
          <w:tab w:val="right" w:pos="9638"/>
        </w:tabs>
        <w:spacing w:after="120"/>
        <w:ind w:left="1134" w:hanging="1134"/>
      </w:pPr>
      <w:r>
        <w:tab/>
        <w:t>X.</w:t>
      </w:r>
      <w:r>
        <w:tab/>
      </w:r>
      <w:r w:rsidR="007E0D05">
        <w:rPr>
          <w:lang w:val="fr-FR"/>
        </w:rPr>
        <w:t xml:space="preserve">Amendements aux règlements concernant les véhicules fonctionnant au gaz </w:t>
      </w:r>
      <w:r w:rsidR="003E672E">
        <w:rPr>
          <w:lang w:val="fr-FR"/>
        </w:rPr>
        <w:br/>
      </w:r>
      <w:r w:rsidR="007E0D05">
        <w:rPr>
          <w:lang w:val="fr-FR"/>
        </w:rPr>
        <w:t>(point 9 de l’ordre du jour)</w:t>
      </w:r>
      <w:r>
        <w:tab/>
      </w:r>
      <w:r>
        <w:tab/>
      </w:r>
      <w:r w:rsidR="004E20DE">
        <w:t>38−42</w:t>
      </w:r>
      <w:r>
        <w:tab/>
      </w:r>
      <w:r w:rsidR="0069515B">
        <w:t>9</w:t>
      </w:r>
    </w:p>
    <w:p w14:paraId="5FD895FD" w14:textId="77777777" w:rsidR="00442B26" w:rsidRDefault="00442B26" w:rsidP="00442B26">
      <w:pPr>
        <w:tabs>
          <w:tab w:val="right" w:leader="dot" w:pos="7654"/>
          <w:tab w:val="right" w:pos="8929"/>
          <w:tab w:val="right" w:pos="9638"/>
        </w:tabs>
        <w:spacing w:after="120"/>
        <w:ind w:left="1559" w:hanging="425"/>
      </w:pPr>
      <w:r>
        <w:t>A.</w:t>
      </w:r>
      <w:r>
        <w:tab/>
      </w:r>
      <w:r w:rsidR="007E0D05" w:rsidRPr="002B751F">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2B751F">
        <w:rPr>
          <w:lang w:val="fr-FR"/>
        </w:rPr>
        <w:t>67 (Véhicules alimentés au GPL)</w:t>
      </w:r>
      <w:r>
        <w:tab/>
      </w:r>
      <w:r>
        <w:tab/>
      </w:r>
      <w:r w:rsidR="004E20DE">
        <w:t>38−39</w:t>
      </w:r>
      <w:r>
        <w:tab/>
      </w:r>
      <w:r w:rsidR="0069515B">
        <w:t>9</w:t>
      </w:r>
    </w:p>
    <w:p w14:paraId="12FEF5C3" w14:textId="77777777" w:rsidR="00442B26" w:rsidRDefault="00442B26" w:rsidP="00442B26">
      <w:pPr>
        <w:tabs>
          <w:tab w:val="right" w:leader="dot" w:pos="7654"/>
          <w:tab w:val="right" w:pos="8929"/>
          <w:tab w:val="right" w:pos="9638"/>
        </w:tabs>
        <w:spacing w:after="120"/>
        <w:ind w:left="1559" w:hanging="425"/>
      </w:pPr>
      <w:r>
        <w:t>B.</w:t>
      </w:r>
      <w:r>
        <w:tab/>
      </w:r>
      <w:r w:rsidR="007E0D05" w:rsidRPr="00E67CC9">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E67CC9">
        <w:rPr>
          <w:lang w:val="fr-FR"/>
        </w:rPr>
        <w:t>110 (Véhicules alimentés au GNC/GNL)</w:t>
      </w:r>
      <w:r>
        <w:tab/>
      </w:r>
      <w:r>
        <w:tab/>
      </w:r>
      <w:r w:rsidR="004E20DE">
        <w:t>40−42</w:t>
      </w:r>
      <w:r>
        <w:tab/>
      </w:r>
      <w:r w:rsidR="0069515B">
        <w:t>10</w:t>
      </w:r>
    </w:p>
    <w:p w14:paraId="5A26EE10" w14:textId="77777777" w:rsidR="00442B26" w:rsidRDefault="00442B26" w:rsidP="00442B26">
      <w:pPr>
        <w:tabs>
          <w:tab w:val="right" w:pos="850"/>
          <w:tab w:val="right" w:leader="dot" w:pos="7654"/>
          <w:tab w:val="right" w:pos="8929"/>
          <w:tab w:val="right" w:pos="9638"/>
        </w:tabs>
        <w:spacing w:after="120"/>
        <w:ind w:left="1134" w:hanging="1134"/>
      </w:pPr>
      <w:r>
        <w:tab/>
        <w:t>XI.</w:t>
      </w:r>
      <w:r>
        <w:tab/>
      </w:r>
      <w:r w:rsidR="007E0D05" w:rsidRPr="00407480">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407480">
        <w:rPr>
          <w:lang w:val="fr-FR"/>
        </w:rPr>
        <w:t xml:space="preserve">73 (Dispositifs de protection latérale) </w:t>
      </w:r>
      <w:r w:rsidR="004E20DE">
        <w:rPr>
          <w:lang w:val="fr-FR"/>
        </w:rPr>
        <w:br/>
      </w:r>
      <w:r w:rsidR="007E0D05" w:rsidRPr="00407480">
        <w:rPr>
          <w:lang w:val="fr-FR"/>
        </w:rPr>
        <w:t>(point 10 de l</w:t>
      </w:r>
      <w:r w:rsidR="007E0D05">
        <w:rPr>
          <w:lang w:val="fr-FR"/>
        </w:rPr>
        <w:t>’</w:t>
      </w:r>
      <w:r w:rsidR="007E0D05" w:rsidRPr="00407480">
        <w:rPr>
          <w:lang w:val="fr-FR"/>
        </w:rPr>
        <w:t>ordre du jour)</w:t>
      </w:r>
      <w:r>
        <w:tab/>
      </w:r>
      <w:r>
        <w:tab/>
      </w:r>
      <w:r w:rsidR="004E20DE">
        <w:t>43</w:t>
      </w:r>
      <w:r>
        <w:tab/>
      </w:r>
      <w:r w:rsidR="0069515B">
        <w:t>10</w:t>
      </w:r>
    </w:p>
    <w:p w14:paraId="2287CCCE" w14:textId="77777777" w:rsidR="00442B26" w:rsidRDefault="00442B26" w:rsidP="00442B26">
      <w:pPr>
        <w:tabs>
          <w:tab w:val="right" w:pos="850"/>
          <w:tab w:val="right" w:leader="dot" w:pos="7654"/>
          <w:tab w:val="right" w:pos="8929"/>
          <w:tab w:val="right" w:pos="9638"/>
        </w:tabs>
        <w:spacing w:after="120"/>
        <w:ind w:left="1134" w:hanging="1134"/>
      </w:pPr>
      <w:r>
        <w:tab/>
        <w:t>XII.</w:t>
      </w:r>
      <w:r>
        <w:tab/>
      </w:r>
      <w:r w:rsidR="007E0D05" w:rsidRPr="00407480">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407480">
        <w:rPr>
          <w:lang w:val="fr-FR"/>
        </w:rPr>
        <w:t>93 (Protection contre l</w:t>
      </w:r>
      <w:r w:rsidR="007E0D05">
        <w:rPr>
          <w:lang w:val="fr-FR"/>
        </w:rPr>
        <w:t>’</w:t>
      </w:r>
      <w:r w:rsidR="007E0D05" w:rsidRPr="00407480">
        <w:rPr>
          <w:lang w:val="fr-FR"/>
        </w:rPr>
        <w:t>encastrement à l</w:t>
      </w:r>
      <w:r w:rsidR="007E0D05">
        <w:rPr>
          <w:lang w:val="fr-FR"/>
        </w:rPr>
        <w:t>’</w:t>
      </w:r>
      <w:r w:rsidR="007E0D05" w:rsidRPr="00407480">
        <w:rPr>
          <w:lang w:val="fr-FR"/>
        </w:rPr>
        <w:t>avant)</w:t>
      </w:r>
      <w:r w:rsidR="003E672E">
        <w:rPr>
          <w:lang w:val="fr-FR"/>
        </w:rPr>
        <w:br/>
      </w:r>
      <w:r w:rsidR="007E0D05" w:rsidRPr="00407480">
        <w:rPr>
          <w:lang w:val="fr-FR"/>
        </w:rPr>
        <w:t>(point 11 de l</w:t>
      </w:r>
      <w:r w:rsidR="007E0D05">
        <w:rPr>
          <w:lang w:val="fr-FR"/>
        </w:rPr>
        <w:t>’</w:t>
      </w:r>
      <w:r w:rsidR="007E0D05" w:rsidRPr="00407480">
        <w:rPr>
          <w:lang w:val="fr-FR"/>
        </w:rPr>
        <w:t>ordre du jour)</w:t>
      </w:r>
      <w:r>
        <w:tab/>
      </w:r>
      <w:r>
        <w:tab/>
      </w:r>
      <w:r w:rsidR="004E20DE">
        <w:t>44</w:t>
      </w:r>
      <w:r>
        <w:tab/>
      </w:r>
      <w:r w:rsidR="0069515B">
        <w:t>11</w:t>
      </w:r>
    </w:p>
    <w:p w14:paraId="4EC8D161" w14:textId="77777777" w:rsidR="00442B26" w:rsidRDefault="00442B26" w:rsidP="00442B26">
      <w:pPr>
        <w:tabs>
          <w:tab w:val="right" w:pos="850"/>
          <w:tab w:val="right" w:leader="dot" w:pos="7654"/>
          <w:tab w:val="right" w:pos="8929"/>
          <w:tab w:val="right" w:pos="9638"/>
        </w:tabs>
        <w:spacing w:after="120"/>
        <w:ind w:left="1134" w:hanging="1134"/>
      </w:pPr>
      <w:r>
        <w:tab/>
        <w:t>XIII.</w:t>
      </w:r>
      <w:r>
        <w:tab/>
      </w:r>
      <w:r w:rsidR="007E0D05" w:rsidRPr="00765E48">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765E48">
        <w:rPr>
          <w:lang w:val="fr-FR"/>
        </w:rPr>
        <w:t>116 (Dispositifs antivol et systèmes d</w:t>
      </w:r>
      <w:r w:rsidR="007E0D05">
        <w:rPr>
          <w:lang w:val="fr-FR"/>
        </w:rPr>
        <w:t>’</w:t>
      </w:r>
      <w:r w:rsidR="007E0D05" w:rsidRPr="00765E48">
        <w:rPr>
          <w:lang w:val="fr-FR"/>
        </w:rPr>
        <w:t>alarme)</w:t>
      </w:r>
      <w:r w:rsidR="003E672E">
        <w:rPr>
          <w:lang w:val="fr-FR"/>
        </w:rPr>
        <w:br/>
      </w:r>
      <w:r w:rsidR="007E0D05" w:rsidRPr="00765E48">
        <w:rPr>
          <w:lang w:val="fr-FR"/>
        </w:rPr>
        <w:t>(point 12 de l</w:t>
      </w:r>
      <w:r w:rsidR="007E0D05">
        <w:rPr>
          <w:lang w:val="fr-FR"/>
        </w:rPr>
        <w:t>’</w:t>
      </w:r>
      <w:r w:rsidR="007E0D05" w:rsidRPr="00765E48">
        <w:rPr>
          <w:lang w:val="fr-FR"/>
        </w:rPr>
        <w:t>ordre du jour)</w:t>
      </w:r>
      <w:r>
        <w:tab/>
      </w:r>
      <w:r>
        <w:tab/>
      </w:r>
      <w:r w:rsidR="004E20DE">
        <w:t>45−48</w:t>
      </w:r>
      <w:r>
        <w:tab/>
      </w:r>
      <w:r w:rsidR="0069515B">
        <w:t>11</w:t>
      </w:r>
    </w:p>
    <w:p w14:paraId="09154837" w14:textId="77777777" w:rsidR="00677671" w:rsidRDefault="00677671" w:rsidP="00677671">
      <w:pPr>
        <w:tabs>
          <w:tab w:val="right" w:pos="850"/>
          <w:tab w:val="right" w:leader="dot" w:pos="7654"/>
          <w:tab w:val="right" w:pos="8929"/>
          <w:tab w:val="right" w:pos="9638"/>
        </w:tabs>
        <w:spacing w:after="120"/>
        <w:ind w:left="1134" w:hanging="1134"/>
      </w:pPr>
      <w:r>
        <w:tab/>
        <w:t>XIV.</w:t>
      </w:r>
      <w:r>
        <w:tab/>
      </w:r>
      <w:r w:rsidR="007E0D05" w:rsidRPr="00F73F12">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F73F12">
        <w:rPr>
          <w:lang w:val="fr-FR"/>
        </w:rPr>
        <w:t>121 (Identification des commandes manuelles,</w:t>
      </w:r>
      <w:r w:rsidR="003E672E">
        <w:rPr>
          <w:lang w:val="fr-FR"/>
        </w:rPr>
        <w:br/>
      </w:r>
      <w:r w:rsidR="007E0D05" w:rsidRPr="00F73F12">
        <w:rPr>
          <w:lang w:val="fr-FR"/>
        </w:rPr>
        <w:t>des témoins et des indicateurs)</w:t>
      </w:r>
      <w:r w:rsidR="007E0D05">
        <w:rPr>
          <w:lang w:val="fr-FR"/>
        </w:rPr>
        <w:t xml:space="preserve"> </w:t>
      </w:r>
      <w:r w:rsidR="007E0D05" w:rsidRPr="00F73F12">
        <w:rPr>
          <w:lang w:val="fr-FR"/>
        </w:rPr>
        <w:t>(point 13 de l</w:t>
      </w:r>
      <w:r w:rsidR="007E0D05">
        <w:rPr>
          <w:lang w:val="fr-FR"/>
        </w:rPr>
        <w:t>’</w:t>
      </w:r>
      <w:r w:rsidR="007E0D05" w:rsidRPr="00F73F12">
        <w:rPr>
          <w:lang w:val="fr-FR"/>
        </w:rPr>
        <w:t>ordre du jour)</w:t>
      </w:r>
      <w:r>
        <w:tab/>
      </w:r>
      <w:r>
        <w:tab/>
      </w:r>
      <w:r w:rsidR="004E20DE">
        <w:t>49−51</w:t>
      </w:r>
      <w:r>
        <w:tab/>
      </w:r>
      <w:r w:rsidR="0069515B">
        <w:t>12</w:t>
      </w:r>
    </w:p>
    <w:p w14:paraId="10800E85" w14:textId="77777777" w:rsidR="00677671" w:rsidRDefault="00677671" w:rsidP="00677671">
      <w:pPr>
        <w:tabs>
          <w:tab w:val="right" w:pos="850"/>
          <w:tab w:val="right" w:leader="dot" w:pos="7654"/>
          <w:tab w:val="right" w:pos="8929"/>
          <w:tab w:val="right" w:pos="9638"/>
        </w:tabs>
        <w:spacing w:after="120"/>
        <w:ind w:left="1134" w:hanging="1134"/>
      </w:pPr>
      <w:r>
        <w:tab/>
        <w:t>XV.</w:t>
      </w:r>
      <w:r>
        <w:tab/>
      </w:r>
      <w:r w:rsidR="007E0D05" w:rsidRPr="00D80332">
        <w:rPr>
          <w:lang w:val="fr-FR"/>
        </w:rPr>
        <w:t xml:space="preserve">Règlement ONU </w:t>
      </w:r>
      <w:r w:rsidR="007E0D05">
        <w:rPr>
          <w:lang w:val="fr-FR"/>
        </w:rPr>
        <w:t>n</w:t>
      </w:r>
      <w:r w:rsidR="007E0D05" w:rsidRPr="00BD103A">
        <w:rPr>
          <w:vertAlign w:val="superscript"/>
          <w:lang w:val="fr-FR"/>
        </w:rPr>
        <w:t>o</w:t>
      </w:r>
      <w:r w:rsidR="007E0D05">
        <w:rPr>
          <w:lang w:val="fr-FR"/>
        </w:rPr>
        <w:t> </w:t>
      </w:r>
      <w:r w:rsidR="007E0D05" w:rsidRPr="00D80332">
        <w:rPr>
          <w:lang w:val="fr-FR"/>
        </w:rPr>
        <w:t>144 (Systèmes automatiques d</w:t>
      </w:r>
      <w:r w:rsidR="007E0D05">
        <w:rPr>
          <w:lang w:val="fr-FR"/>
        </w:rPr>
        <w:t>’</w:t>
      </w:r>
      <w:r w:rsidR="007E0D05" w:rsidRPr="00D80332">
        <w:rPr>
          <w:lang w:val="fr-FR"/>
        </w:rPr>
        <w:t>appel d</w:t>
      </w:r>
      <w:r w:rsidR="007E0D05">
        <w:rPr>
          <w:lang w:val="fr-FR"/>
        </w:rPr>
        <w:t>’</w:t>
      </w:r>
      <w:r w:rsidR="007E0D05" w:rsidRPr="00D80332">
        <w:rPr>
          <w:lang w:val="fr-FR"/>
        </w:rPr>
        <w:t xml:space="preserve">urgence) </w:t>
      </w:r>
      <w:r w:rsidR="003E672E">
        <w:rPr>
          <w:lang w:val="fr-FR"/>
        </w:rPr>
        <w:br/>
      </w:r>
      <w:r w:rsidR="007E0D05" w:rsidRPr="00D80332">
        <w:rPr>
          <w:lang w:val="fr-FR"/>
        </w:rPr>
        <w:t>(point 14 de l</w:t>
      </w:r>
      <w:r w:rsidR="007E0D05">
        <w:rPr>
          <w:lang w:val="fr-FR"/>
        </w:rPr>
        <w:t>’</w:t>
      </w:r>
      <w:r w:rsidR="007E0D05" w:rsidRPr="00D80332">
        <w:rPr>
          <w:lang w:val="fr-FR"/>
        </w:rPr>
        <w:t>ordre du jour)</w:t>
      </w:r>
      <w:r>
        <w:tab/>
      </w:r>
      <w:r>
        <w:tab/>
      </w:r>
      <w:r w:rsidR="004E20DE">
        <w:t>52−53</w:t>
      </w:r>
      <w:r>
        <w:tab/>
      </w:r>
      <w:r w:rsidR="0069515B">
        <w:t>12</w:t>
      </w:r>
    </w:p>
    <w:p w14:paraId="1BB9C20F" w14:textId="77777777" w:rsidR="00677671" w:rsidRDefault="00677671" w:rsidP="00677671">
      <w:pPr>
        <w:tabs>
          <w:tab w:val="right" w:pos="850"/>
          <w:tab w:val="right" w:leader="dot" w:pos="7654"/>
          <w:tab w:val="right" w:pos="8929"/>
          <w:tab w:val="right" w:pos="9638"/>
        </w:tabs>
        <w:spacing w:after="120"/>
        <w:ind w:left="1134" w:hanging="1134"/>
      </w:pPr>
      <w:r>
        <w:tab/>
        <w:t>XVI.</w:t>
      </w:r>
      <w:r>
        <w:tab/>
      </w:r>
      <w:r w:rsidR="007E0D05" w:rsidRPr="00C85593">
        <w:rPr>
          <w:lang w:val="fr-FR"/>
        </w:rPr>
        <w:t>Règlement ONU n</w:t>
      </w:r>
      <w:r w:rsidR="007E0D05" w:rsidRPr="005D6964">
        <w:rPr>
          <w:vertAlign w:val="superscript"/>
          <w:lang w:val="fr-FR"/>
        </w:rPr>
        <w:t>o</w:t>
      </w:r>
      <w:r w:rsidR="007E0D05">
        <w:rPr>
          <w:lang w:val="fr-FR"/>
        </w:rPr>
        <w:t> </w:t>
      </w:r>
      <w:r w:rsidR="007E0D05" w:rsidRPr="00C85593">
        <w:rPr>
          <w:lang w:val="fr-FR"/>
        </w:rPr>
        <w:t>0 (Homologation de type</w:t>
      </w:r>
      <w:r w:rsidR="007E0D05">
        <w:rPr>
          <w:lang w:val="fr-FR"/>
        </w:rPr>
        <w:t xml:space="preserve"> </w:t>
      </w:r>
      <w:r w:rsidR="007E0D05" w:rsidRPr="00C85593">
        <w:rPr>
          <w:lang w:val="fr-FR"/>
        </w:rPr>
        <w:t>internationale de l</w:t>
      </w:r>
      <w:r w:rsidR="007E0D05">
        <w:rPr>
          <w:lang w:val="fr-FR"/>
        </w:rPr>
        <w:t>’</w:t>
      </w:r>
      <w:r w:rsidR="007E0D05" w:rsidRPr="00C85593">
        <w:rPr>
          <w:lang w:val="fr-FR"/>
        </w:rPr>
        <w:t xml:space="preserve">ensemble </w:t>
      </w:r>
      <w:r w:rsidR="003E672E">
        <w:rPr>
          <w:lang w:val="fr-FR"/>
        </w:rPr>
        <w:br/>
      </w:r>
      <w:r w:rsidR="007E0D05" w:rsidRPr="00C85593">
        <w:rPr>
          <w:lang w:val="fr-FR"/>
        </w:rPr>
        <w:t>du véhicule)</w:t>
      </w:r>
      <w:r w:rsidR="007E0D05">
        <w:rPr>
          <w:lang w:val="fr-FR"/>
        </w:rPr>
        <w:t xml:space="preserve"> </w:t>
      </w:r>
      <w:r w:rsidR="007E0D05" w:rsidRPr="00C85593">
        <w:rPr>
          <w:lang w:val="fr-FR"/>
        </w:rPr>
        <w:t>(point 15 de l</w:t>
      </w:r>
      <w:r w:rsidR="007E0D05">
        <w:rPr>
          <w:lang w:val="fr-FR"/>
        </w:rPr>
        <w:t>’</w:t>
      </w:r>
      <w:r w:rsidR="007E0D05" w:rsidRPr="00C85593">
        <w:rPr>
          <w:lang w:val="fr-FR"/>
        </w:rPr>
        <w:t>ordre du jour)</w:t>
      </w:r>
      <w:r>
        <w:tab/>
      </w:r>
      <w:r>
        <w:tab/>
      </w:r>
      <w:r w:rsidR="004E20DE">
        <w:t>54−55</w:t>
      </w:r>
      <w:r>
        <w:tab/>
      </w:r>
      <w:r w:rsidR="0069515B">
        <w:t>12</w:t>
      </w:r>
    </w:p>
    <w:p w14:paraId="405686B3" w14:textId="77777777" w:rsidR="00677671" w:rsidRDefault="00677671" w:rsidP="00677671">
      <w:pPr>
        <w:tabs>
          <w:tab w:val="right" w:pos="850"/>
          <w:tab w:val="right" w:leader="dot" w:pos="7654"/>
          <w:tab w:val="right" w:pos="8929"/>
          <w:tab w:val="right" w:pos="9638"/>
        </w:tabs>
        <w:spacing w:after="120"/>
        <w:ind w:left="1134" w:hanging="1134"/>
      </w:pPr>
      <w:r>
        <w:tab/>
        <w:t>XVII.</w:t>
      </w:r>
      <w:r>
        <w:tab/>
      </w:r>
      <w:r w:rsidR="007E0D05" w:rsidRPr="00C85593">
        <w:rPr>
          <w:lang w:val="fr-FR"/>
        </w:rPr>
        <w:t>Résolution d</w:t>
      </w:r>
      <w:r w:rsidR="007E0D05">
        <w:rPr>
          <w:lang w:val="fr-FR"/>
        </w:rPr>
        <w:t>’</w:t>
      </w:r>
      <w:r w:rsidR="007E0D05" w:rsidRPr="00C85593">
        <w:rPr>
          <w:lang w:val="fr-FR"/>
        </w:rPr>
        <w:t xml:space="preserve">ensemble sur la construction des véhicules (R.E.3) </w:t>
      </w:r>
      <w:r w:rsidR="003E672E">
        <w:rPr>
          <w:lang w:val="fr-FR"/>
        </w:rPr>
        <w:br/>
      </w:r>
      <w:r w:rsidR="007E0D05" w:rsidRPr="00C85593">
        <w:rPr>
          <w:lang w:val="fr-FR"/>
        </w:rPr>
        <w:t>(point 16 de l</w:t>
      </w:r>
      <w:r w:rsidR="007E0D05">
        <w:rPr>
          <w:lang w:val="fr-FR"/>
        </w:rPr>
        <w:t>’</w:t>
      </w:r>
      <w:r w:rsidR="007E0D05" w:rsidRPr="00C85593">
        <w:rPr>
          <w:lang w:val="fr-FR"/>
        </w:rPr>
        <w:t>ordre du jour)</w:t>
      </w:r>
      <w:r>
        <w:tab/>
      </w:r>
      <w:r>
        <w:tab/>
      </w:r>
      <w:r w:rsidR="004E20DE">
        <w:t>56−57</w:t>
      </w:r>
      <w:r>
        <w:tab/>
      </w:r>
      <w:r w:rsidR="0069515B">
        <w:t>13</w:t>
      </w:r>
    </w:p>
    <w:p w14:paraId="527A6548" w14:textId="77777777" w:rsidR="00677671" w:rsidRDefault="00677671" w:rsidP="00677671">
      <w:pPr>
        <w:tabs>
          <w:tab w:val="right" w:pos="850"/>
          <w:tab w:val="right" w:leader="dot" w:pos="7654"/>
          <w:tab w:val="right" w:pos="8929"/>
          <w:tab w:val="right" w:pos="9638"/>
        </w:tabs>
        <w:spacing w:after="120"/>
        <w:ind w:left="1134" w:hanging="1134"/>
      </w:pPr>
      <w:r>
        <w:tab/>
        <w:t>XVIII.</w:t>
      </w:r>
      <w:r>
        <w:tab/>
      </w:r>
      <w:r w:rsidR="007E0D05" w:rsidRPr="00C85593">
        <w:rPr>
          <w:lang w:val="fr-FR"/>
        </w:rPr>
        <w:t>Enregistreur de données de route (point 17 de l</w:t>
      </w:r>
      <w:r w:rsidR="007E0D05">
        <w:rPr>
          <w:lang w:val="fr-FR"/>
        </w:rPr>
        <w:t>’</w:t>
      </w:r>
      <w:r w:rsidR="007E0D05" w:rsidRPr="00C85593">
        <w:rPr>
          <w:lang w:val="fr-FR"/>
        </w:rPr>
        <w:t>ordre du jour)</w:t>
      </w:r>
      <w:r>
        <w:tab/>
      </w:r>
      <w:r>
        <w:tab/>
      </w:r>
      <w:r w:rsidR="004E20DE">
        <w:t>58−63</w:t>
      </w:r>
      <w:r>
        <w:tab/>
      </w:r>
      <w:r w:rsidR="0069515B">
        <w:t>13</w:t>
      </w:r>
    </w:p>
    <w:p w14:paraId="3C8C5658" w14:textId="77777777" w:rsidR="00677671" w:rsidRDefault="00677671" w:rsidP="00677671">
      <w:pPr>
        <w:tabs>
          <w:tab w:val="right" w:pos="850"/>
          <w:tab w:val="right" w:leader="dot" w:pos="7654"/>
          <w:tab w:val="right" w:pos="8929"/>
          <w:tab w:val="right" w:pos="9638"/>
        </w:tabs>
        <w:spacing w:after="120"/>
        <w:ind w:left="1134" w:hanging="1134"/>
      </w:pPr>
      <w:r>
        <w:tab/>
        <w:t>XIX.</w:t>
      </w:r>
      <w:r>
        <w:tab/>
      </w:r>
      <w:r w:rsidR="007E0D05" w:rsidRPr="004B274B">
        <w:rPr>
          <w:lang w:val="fr-FR"/>
        </w:rPr>
        <w:t>Échange de vues sur l</w:t>
      </w:r>
      <w:r w:rsidR="007E0D05">
        <w:rPr>
          <w:lang w:val="fr-FR"/>
        </w:rPr>
        <w:t>’</w:t>
      </w:r>
      <w:r w:rsidR="007E0D05" w:rsidRPr="004B274B">
        <w:rPr>
          <w:lang w:val="fr-FR"/>
        </w:rPr>
        <w:t>automatisation des véhicules</w:t>
      </w:r>
      <w:r w:rsidR="007E0D05">
        <w:rPr>
          <w:lang w:val="fr-FR"/>
        </w:rPr>
        <w:t xml:space="preserve"> </w:t>
      </w:r>
      <w:r w:rsidR="00B6194E">
        <w:rPr>
          <w:lang w:val="fr-FR"/>
        </w:rPr>
        <w:br/>
      </w:r>
      <w:r w:rsidR="007E0D05" w:rsidRPr="004B274B">
        <w:rPr>
          <w:lang w:val="fr-FR"/>
        </w:rPr>
        <w:t>(point 18 de l</w:t>
      </w:r>
      <w:r w:rsidR="007E0D05">
        <w:rPr>
          <w:lang w:val="fr-FR"/>
        </w:rPr>
        <w:t>’</w:t>
      </w:r>
      <w:r w:rsidR="007E0D05" w:rsidRPr="004B274B">
        <w:rPr>
          <w:lang w:val="fr-FR"/>
        </w:rPr>
        <w:t>ordre du jour)</w:t>
      </w:r>
      <w:r>
        <w:tab/>
      </w:r>
      <w:r>
        <w:tab/>
      </w:r>
      <w:r w:rsidR="004E20DE">
        <w:t>64−66</w:t>
      </w:r>
      <w:r>
        <w:tab/>
      </w:r>
      <w:r w:rsidR="0069515B">
        <w:t>14</w:t>
      </w:r>
    </w:p>
    <w:p w14:paraId="6ED949FA" w14:textId="77777777" w:rsidR="00677671" w:rsidRDefault="00677671" w:rsidP="00677671">
      <w:pPr>
        <w:tabs>
          <w:tab w:val="right" w:pos="850"/>
          <w:tab w:val="right" w:leader="dot" w:pos="7654"/>
          <w:tab w:val="right" w:pos="8929"/>
          <w:tab w:val="right" w:pos="9638"/>
        </w:tabs>
        <w:spacing w:after="120"/>
        <w:ind w:left="1134" w:hanging="1134"/>
      </w:pPr>
      <w:r>
        <w:tab/>
        <w:t>XX.</w:t>
      </w:r>
      <w:r>
        <w:tab/>
      </w:r>
      <w:r w:rsidR="007E0D05" w:rsidRPr="00A13875">
        <w:rPr>
          <w:lang w:val="fr-FR"/>
        </w:rPr>
        <w:t>Questions diverses (point 19 de l</w:t>
      </w:r>
      <w:r w:rsidR="007E0D05">
        <w:rPr>
          <w:lang w:val="fr-FR"/>
        </w:rPr>
        <w:t>’</w:t>
      </w:r>
      <w:r w:rsidR="007E0D05" w:rsidRPr="00A13875">
        <w:rPr>
          <w:lang w:val="fr-FR"/>
        </w:rPr>
        <w:t>ordre du jour)</w:t>
      </w:r>
      <w:r>
        <w:tab/>
      </w:r>
      <w:r>
        <w:tab/>
      </w:r>
      <w:r w:rsidR="004E20DE">
        <w:t>67−74</w:t>
      </w:r>
      <w:r>
        <w:tab/>
      </w:r>
      <w:r w:rsidR="0069515B">
        <w:t>14</w:t>
      </w:r>
    </w:p>
    <w:p w14:paraId="20F7FE1F" w14:textId="77777777" w:rsidR="00677671" w:rsidRDefault="00677671" w:rsidP="00677671">
      <w:pPr>
        <w:tabs>
          <w:tab w:val="right" w:leader="dot" w:pos="7654"/>
          <w:tab w:val="right" w:pos="8929"/>
          <w:tab w:val="right" w:pos="9638"/>
        </w:tabs>
        <w:spacing w:after="120"/>
        <w:ind w:left="1559" w:hanging="425"/>
      </w:pPr>
      <w:r>
        <w:t>A.</w:t>
      </w:r>
      <w:r>
        <w:tab/>
      </w:r>
      <w:r w:rsidR="007E0D05" w:rsidRPr="00A13875">
        <w:rPr>
          <w:lang w:val="fr-FR"/>
        </w:rPr>
        <w:t>Règlement ONU n</w:t>
      </w:r>
      <w:r w:rsidR="007E0D05" w:rsidRPr="00C22A23">
        <w:rPr>
          <w:vertAlign w:val="superscript"/>
          <w:lang w:val="fr-FR"/>
        </w:rPr>
        <w:t>o</w:t>
      </w:r>
      <w:r w:rsidR="007E0D05">
        <w:rPr>
          <w:lang w:val="fr-FR"/>
        </w:rPr>
        <w:t> </w:t>
      </w:r>
      <w:r w:rsidR="007E0D05" w:rsidRPr="00A13875">
        <w:rPr>
          <w:lang w:val="fr-FR"/>
        </w:rPr>
        <w:t>58 (Dispositifs contre l</w:t>
      </w:r>
      <w:r w:rsidR="007E0D05">
        <w:rPr>
          <w:lang w:val="fr-FR"/>
        </w:rPr>
        <w:t>’</w:t>
      </w:r>
      <w:r w:rsidR="007E0D05" w:rsidRPr="00A13875">
        <w:rPr>
          <w:lang w:val="fr-FR"/>
        </w:rPr>
        <w:t>encastrement à l</w:t>
      </w:r>
      <w:r w:rsidR="007E0D05">
        <w:rPr>
          <w:lang w:val="fr-FR"/>
        </w:rPr>
        <w:t>’</w:t>
      </w:r>
      <w:r w:rsidR="007E0D05" w:rsidRPr="00A13875">
        <w:rPr>
          <w:lang w:val="fr-FR"/>
        </w:rPr>
        <w:t>arrière)</w:t>
      </w:r>
      <w:r>
        <w:tab/>
      </w:r>
      <w:r>
        <w:tab/>
      </w:r>
      <w:r w:rsidR="004E20DE">
        <w:t>68−71</w:t>
      </w:r>
      <w:r>
        <w:tab/>
      </w:r>
      <w:r w:rsidR="0069515B">
        <w:t>14</w:t>
      </w:r>
    </w:p>
    <w:p w14:paraId="64DCC04E" w14:textId="77777777" w:rsidR="00677671" w:rsidRDefault="00677671" w:rsidP="00677671">
      <w:pPr>
        <w:tabs>
          <w:tab w:val="right" w:leader="dot" w:pos="7654"/>
          <w:tab w:val="right" w:pos="8929"/>
          <w:tab w:val="right" w:pos="9638"/>
        </w:tabs>
        <w:spacing w:after="120"/>
        <w:ind w:left="1559" w:hanging="425"/>
      </w:pPr>
      <w:r>
        <w:t>B.</w:t>
      </w:r>
      <w:r>
        <w:tab/>
      </w:r>
      <w:r w:rsidR="007E0D05" w:rsidRPr="00D76441">
        <w:rPr>
          <w:lang w:val="fr-FR"/>
        </w:rPr>
        <w:t xml:space="preserve">Règlement </w:t>
      </w:r>
      <w:r w:rsidR="007E0D05">
        <w:rPr>
          <w:lang w:val="fr-FR"/>
        </w:rPr>
        <w:t xml:space="preserve">ONU </w:t>
      </w:r>
      <w:r w:rsidR="007E0D05" w:rsidRPr="00D76441">
        <w:rPr>
          <w:lang w:val="fr-FR"/>
        </w:rPr>
        <w:t>n</w:t>
      </w:r>
      <w:r w:rsidR="007E0D05" w:rsidRPr="00A405B4">
        <w:rPr>
          <w:vertAlign w:val="superscript"/>
          <w:lang w:val="fr-FR"/>
        </w:rPr>
        <w:t>o</w:t>
      </w:r>
      <w:r w:rsidR="007E0D05">
        <w:rPr>
          <w:lang w:val="fr-FR"/>
        </w:rPr>
        <w:t> </w:t>
      </w:r>
      <w:r w:rsidR="007E0D05" w:rsidRPr="00D76441">
        <w:rPr>
          <w:lang w:val="fr-FR"/>
        </w:rPr>
        <w:t xml:space="preserve">62 (Dispositifs antivol des cyclomoteurs </w:t>
      </w:r>
      <w:r w:rsidR="004E20DE">
        <w:rPr>
          <w:lang w:val="fr-FR"/>
        </w:rPr>
        <w:br/>
      </w:r>
      <w:r w:rsidR="007E0D05" w:rsidRPr="00D76441">
        <w:rPr>
          <w:lang w:val="fr-FR"/>
        </w:rPr>
        <w:t>et motocycles)</w:t>
      </w:r>
      <w:r>
        <w:tab/>
      </w:r>
      <w:r>
        <w:tab/>
      </w:r>
      <w:r w:rsidR="004E20DE">
        <w:t>72−73</w:t>
      </w:r>
      <w:r>
        <w:tab/>
      </w:r>
      <w:r w:rsidR="0069515B">
        <w:t>15</w:t>
      </w:r>
    </w:p>
    <w:p w14:paraId="03CA5066" w14:textId="77777777" w:rsidR="00677671" w:rsidRDefault="00677671" w:rsidP="00677671">
      <w:pPr>
        <w:tabs>
          <w:tab w:val="right" w:leader="dot" w:pos="7654"/>
          <w:tab w:val="right" w:pos="8929"/>
          <w:tab w:val="right" w:pos="9638"/>
        </w:tabs>
        <w:spacing w:after="120"/>
        <w:ind w:left="1559" w:hanging="425"/>
      </w:pPr>
      <w:r>
        <w:t>C.</w:t>
      </w:r>
      <w:r>
        <w:tab/>
      </w:r>
      <w:r w:rsidR="007E0D05" w:rsidRPr="00D76441">
        <w:rPr>
          <w:lang w:val="fr-FR"/>
        </w:rPr>
        <w:t xml:space="preserve">Règlement </w:t>
      </w:r>
      <w:r w:rsidR="007E0D05">
        <w:rPr>
          <w:lang w:val="fr-FR"/>
        </w:rPr>
        <w:t>ONU n</w:t>
      </w:r>
      <w:r w:rsidR="007E0D05" w:rsidRPr="00A405B4">
        <w:rPr>
          <w:vertAlign w:val="superscript"/>
          <w:lang w:val="fr-FR"/>
        </w:rPr>
        <w:t>o</w:t>
      </w:r>
      <w:r w:rsidR="007E0D05">
        <w:rPr>
          <w:lang w:val="fr-FR"/>
        </w:rPr>
        <w:t> </w:t>
      </w:r>
      <w:r w:rsidR="007E0D05" w:rsidRPr="00D76441">
        <w:rPr>
          <w:lang w:val="fr-FR"/>
        </w:rPr>
        <w:t>122 (Systèmes de chauffage)</w:t>
      </w:r>
      <w:r>
        <w:tab/>
      </w:r>
      <w:r>
        <w:tab/>
      </w:r>
      <w:r w:rsidR="004E20DE">
        <w:t>74</w:t>
      </w:r>
      <w:r>
        <w:tab/>
      </w:r>
      <w:r w:rsidR="0069515B">
        <w:t>15</w:t>
      </w:r>
    </w:p>
    <w:p w14:paraId="037B074A" w14:textId="77777777" w:rsidR="00C55444" w:rsidRDefault="00C55444" w:rsidP="00C55444">
      <w:pPr>
        <w:tabs>
          <w:tab w:val="right" w:pos="850"/>
          <w:tab w:val="right" w:leader="dot" w:pos="7654"/>
          <w:tab w:val="right" w:pos="8929"/>
          <w:tab w:val="right" w:pos="9638"/>
        </w:tabs>
        <w:spacing w:after="120"/>
        <w:ind w:left="1134" w:hanging="1134"/>
      </w:pPr>
      <w:r>
        <w:tab/>
        <w:t>XXI.</w:t>
      </w:r>
      <w:r>
        <w:tab/>
      </w:r>
      <w:r w:rsidR="007E0D05">
        <w:rPr>
          <w:lang w:val="fr-FR"/>
        </w:rPr>
        <w:t>Ordre du jour provisoire de la 117</w:t>
      </w:r>
      <w:r w:rsidR="007E0D05" w:rsidRPr="00DF7A0C">
        <w:rPr>
          <w:vertAlign w:val="superscript"/>
          <w:lang w:val="fr-FR"/>
        </w:rPr>
        <w:t>e</w:t>
      </w:r>
      <w:r w:rsidR="007E0D05">
        <w:rPr>
          <w:lang w:val="fr-FR"/>
        </w:rPr>
        <w:t> session</w:t>
      </w:r>
      <w:r>
        <w:tab/>
      </w:r>
      <w:r>
        <w:tab/>
      </w:r>
      <w:r w:rsidR="004E20DE">
        <w:t>75</w:t>
      </w:r>
      <w:r>
        <w:tab/>
      </w:r>
      <w:r w:rsidR="0069515B">
        <w:t>16</w:t>
      </w:r>
    </w:p>
    <w:p w14:paraId="21D35822" w14:textId="77777777" w:rsidR="00442B26" w:rsidRPr="004A33C8" w:rsidRDefault="00442B26" w:rsidP="00442B26">
      <w:pPr>
        <w:tabs>
          <w:tab w:val="right" w:pos="850"/>
        </w:tabs>
        <w:spacing w:after="120"/>
        <w:rPr>
          <w:lang w:val="en-US"/>
        </w:rPr>
      </w:pPr>
      <w:r>
        <w:tab/>
      </w:r>
      <w:r w:rsidRPr="004A33C8">
        <w:rPr>
          <w:lang w:val="en-US"/>
        </w:rPr>
        <w:t>Annexes</w:t>
      </w:r>
    </w:p>
    <w:p w14:paraId="43E8D74F" w14:textId="77777777" w:rsidR="00442B26" w:rsidRPr="007E0D05" w:rsidRDefault="00442B26" w:rsidP="00442B26">
      <w:pPr>
        <w:tabs>
          <w:tab w:val="right" w:pos="850"/>
          <w:tab w:val="right" w:leader="dot" w:pos="8929"/>
          <w:tab w:val="right" w:pos="9638"/>
        </w:tabs>
        <w:spacing w:after="120"/>
        <w:ind w:left="1134" w:hanging="1134"/>
        <w:rPr>
          <w:lang w:val="en-US"/>
        </w:rPr>
      </w:pPr>
      <w:r w:rsidRPr="004A33C8">
        <w:rPr>
          <w:lang w:val="en-US"/>
        </w:rPr>
        <w:tab/>
      </w:r>
      <w:r w:rsidRPr="007E0D05">
        <w:rPr>
          <w:lang w:val="en-US"/>
        </w:rPr>
        <w:t>I.</w:t>
      </w:r>
      <w:r w:rsidRPr="007E0D05">
        <w:rPr>
          <w:lang w:val="en-US"/>
        </w:rPr>
        <w:tab/>
      </w:r>
      <w:r w:rsidR="007E0D05" w:rsidRPr="000C78BC">
        <w:rPr>
          <w:lang w:val="en-US"/>
        </w:rPr>
        <w:t>List of informal documents considered during the session</w:t>
      </w:r>
      <w:r w:rsidRPr="007E0D05">
        <w:rPr>
          <w:lang w:val="en-US"/>
        </w:rPr>
        <w:tab/>
      </w:r>
      <w:r w:rsidRPr="007E0D05">
        <w:rPr>
          <w:lang w:val="en-US"/>
        </w:rPr>
        <w:tab/>
      </w:r>
      <w:r w:rsidR="0069515B">
        <w:rPr>
          <w:lang w:val="en-US"/>
        </w:rPr>
        <w:t>17</w:t>
      </w:r>
    </w:p>
    <w:p w14:paraId="5698CC10" w14:textId="77777777" w:rsidR="006B7F6F" w:rsidRDefault="006B7F6F" w:rsidP="006B7F6F">
      <w:pPr>
        <w:tabs>
          <w:tab w:val="right" w:pos="850"/>
          <w:tab w:val="right" w:leader="dot" w:pos="8929"/>
          <w:tab w:val="right" w:pos="9638"/>
        </w:tabs>
        <w:spacing w:after="120"/>
        <w:ind w:left="1134" w:hanging="1134"/>
      </w:pPr>
      <w:r w:rsidRPr="007E0D05">
        <w:rPr>
          <w:lang w:val="en-US"/>
        </w:rPr>
        <w:tab/>
      </w:r>
      <w:r>
        <w:t>II.</w:t>
      </w:r>
      <w:r>
        <w:tab/>
      </w:r>
      <w:r w:rsidR="007E0D05" w:rsidRPr="001C6223">
        <w:rPr>
          <w:lang w:val="fr-FR"/>
        </w:rPr>
        <w:t>Projet de série 01 d</w:t>
      </w:r>
      <w:r w:rsidR="007E0D05">
        <w:rPr>
          <w:lang w:val="fr-FR"/>
        </w:rPr>
        <w:t>’</w:t>
      </w:r>
      <w:r w:rsidR="007E0D05" w:rsidRPr="001C6223">
        <w:rPr>
          <w:lang w:val="fr-FR"/>
        </w:rPr>
        <w:t>amendements au Règlement ONU n</w:t>
      </w:r>
      <w:r w:rsidR="007E0D05" w:rsidRPr="00D82D13">
        <w:rPr>
          <w:vertAlign w:val="superscript"/>
          <w:lang w:val="fr-FR"/>
        </w:rPr>
        <w:t>o</w:t>
      </w:r>
      <w:r w:rsidR="007E0D05">
        <w:rPr>
          <w:lang w:val="fr-FR"/>
        </w:rPr>
        <w:t> </w:t>
      </w:r>
      <w:r w:rsidR="007E0D05" w:rsidRPr="001C6223">
        <w:rPr>
          <w:lang w:val="fr-FR"/>
        </w:rPr>
        <w:t xml:space="preserve">35 </w:t>
      </w:r>
      <w:r w:rsidR="00C17BED">
        <w:rPr>
          <w:lang w:val="fr-FR"/>
        </w:rPr>
        <w:br/>
      </w:r>
      <w:r w:rsidR="007E0D05" w:rsidRPr="001C6223">
        <w:rPr>
          <w:lang w:val="fr-FR"/>
        </w:rPr>
        <w:t>(Pédales de commande) (par.</w:t>
      </w:r>
      <w:r w:rsidR="007E0D05">
        <w:rPr>
          <w:lang w:val="fr-FR"/>
        </w:rPr>
        <w:t> </w:t>
      </w:r>
      <w:r w:rsidR="007E0D05" w:rsidRPr="001C6223">
        <w:rPr>
          <w:lang w:val="fr-FR"/>
        </w:rPr>
        <w:t>18)</w:t>
      </w:r>
      <w:r>
        <w:tab/>
      </w:r>
      <w:r>
        <w:tab/>
      </w:r>
      <w:r w:rsidR="0069515B">
        <w:t>20</w:t>
      </w:r>
    </w:p>
    <w:p w14:paraId="3ED95DE6" w14:textId="77777777" w:rsidR="006B7F6F" w:rsidRDefault="006B7F6F" w:rsidP="006B7F6F">
      <w:pPr>
        <w:tabs>
          <w:tab w:val="right" w:pos="850"/>
          <w:tab w:val="right" w:leader="dot" w:pos="8929"/>
          <w:tab w:val="right" w:pos="9638"/>
        </w:tabs>
        <w:spacing w:after="120"/>
        <w:ind w:left="1134" w:hanging="1134"/>
      </w:pPr>
      <w:r>
        <w:tab/>
        <w:t>III.</w:t>
      </w:r>
      <w:r>
        <w:tab/>
      </w:r>
      <w:r w:rsidR="007E0D05" w:rsidRPr="00013C36">
        <w:rPr>
          <w:lang w:val="fr-FR"/>
        </w:rPr>
        <w:t>Projet de complément 2 à la série 02 d</w:t>
      </w:r>
      <w:r w:rsidR="007E0D05">
        <w:rPr>
          <w:lang w:val="fr-FR"/>
        </w:rPr>
        <w:t>’</w:t>
      </w:r>
      <w:r w:rsidR="007E0D05" w:rsidRPr="00013C36">
        <w:rPr>
          <w:lang w:val="fr-FR"/>
        </w:rPr>
        <w:t>amendements</w:t>
      </w:r>
      <w:r w:rsidR="003E672E">
        <w:rPr>
          <w:lang w:val="fr-FR"/>
        </w:rPr>
        <w:t xml:space="preserve"> </w:t>
      </w:r>
      <w:r w:rsidR="007E0D05" w:rsidRPr="00013C36">
        <w:rPr>
          <w:lang w:val="fr-FR"/>
        </w:rPr>
        <w:t>au Règlement ONU n</w:t>
      </w:r>
      <w:r w:rsidR="007E0D05" w:rsidRPr="005E3812">
        <w:rPr>
          <w:vertAlign w:val="superscript"/>
          <w:lang w:val="fr-FR"/>
        </w:rPr>
        <w:t>o</w:t>
      </w:r>
      <w:r w:rsidR="007E0D05">
        <w:rPr>
          <w:lang w:val="fr-FR"/>
        </w:rPr>
        <w:t> </w:t>
      </w:r>
      <w:r w:rsidR="007E0D05" w:rsidRPr="00013C36">
        <w:rPr>
          <w:lang w:val="fr-FR"/>
        </w:rPr>
        <w:t xml:space="preserve">67 </w:t>
      </w:r>
      <w:r w:rsidR="003E672E">
        <w:rPr>
          <w:lang w:val="fr-FR"/>
        </w:rPr>
        <w:br/>
      </w:r>
      <w:r w:rsidR="007E0D05" w:rsidRPr="00013C36">
        <w:rPr>
          <w:lang w:val="fr-FR"/>
        </w:rPr>
        <w:t>(Véhicules alimentés au GPL)</w:t>
      </w:r>
      <w:r w:rsidR="003E672E">
        <w:rPr>
          <w:lang w:val="fr-FR"/>
        </w:rPr>
        <w:t xml:space="preserve"> </w:t>
      </w:r>
      <w:r w:rsidR="007E0D05" w:rsidRPr="00013C36">
        <w:rPr>
          <w:lang w:val="fr-FR"/>
        </w:rPr>
        <w:t>(par</w:t>
      </w:r>
      <w:r w:rsidR="007E0D05">
        <w:rPr>
          <w:lang w:val="fr-FR"/>
        </w:rPr>
        <w:t> </w:t>
      </w:r>
      <w:r w:rsidR="007E0D05" w:rsidRPr="00013C36">
        <w:rPr>
          <w:lang w:val="fr-FR"/>
        </w:rPr>
        <w:t>38)</w:t>
      </w:r>
      <w:r>
        <w:tab/>
      </w:r>
      <w:r>
        <w:tab/>
      </w:r>
      <w:r w:rsidR="0069515B">
        <w:t>22</w:t>
      </w:r>
    </w:p>
    <w:p w14:paraId="33F42376" w14:textId="77777777" w:rsidR="006B7F6F" w:rsidRDefault="006B7F6F" w:rsidP="006B7F6F">
      <w:pPr>
        <w:tabs>
          <w:tab w:val="right" w:pos="850"/>
          <w:tab w:val="right" w:leader="dot" w:pos="8929"/>
          <w:tab w:val="right" w:pos="9638"/>
        </w:tabs>
        <w:spacing w:after="120"/>
        <w:ind w:left="1134" w:hanging="1134"/>
      </w:pPr>
      <w:r>
        <w:tab/>
        <w:t>IV.</w:t>
      </w:r>
      <w:r>
        <w:tab/>
      </w:r>
      <w:r w:rsidR="007E0D05" w:rsidRPr="007E0D05">
        <w:rPr>
          <w:lang w:val="fr-FR"/>
        </w:rPr>
        <w:t xml:space="preserve">Projet de série </w:t>
      </w:r>
      <w:r w:rsidR="00A44D5E">
        <w:rPr>
          <w:lang w:val="fr-FR"/>
        </w:rPr>
        <w:t>0</w:t>
      </w:r>
      <w:r w:rsidR="007E0D05" w:rsidRPr="007E0D05">
        <w:rPr>
          <w:lang w:val="fr-FR"/>
        </w:rPr>
        <w:t>3 d’amendements au Règlement ONU n</w:t>
      </w:r>
      <w:r w:rsidR="007E0D05" w:rsidRPr="007E0D05">
        <w:rPr>
          <w:vertAlign w:val="superscript"/>
          <w:lang w:val="fr-FR"/>
        </w:rPr>
        <w:t>o</w:t>
      </w:r>
      <w:r w:rsidR="007E0D05" w:rsidRPr="007E0D05">
        <w:rPr>
          <w:lang w:val="fr-FR"/>
        </w:rPr>
        <w:t xml:space="preserve"> 67 </w:t>
      </w:r>
      <w:r w:rsidR="003E672E">
        <w:rPr>
          <w:lang w:val="fr-FR"/>
        </w:rPr>
        <w:br/>
      </w:r>
      <w:r w:rsidR="007E0D05" w:rsidRPr="007E0D05">
        <w:rPr>
          <w:lang w:val="fr-FR"/>
        </w:rPr>
        <w:t>(Véhicules alimentés au GPL) (par. 39)</w:t>
      </w:r>
      <w:r w:rsidRPr="007E0D05">
        <w:tab/>
      </w:r>
      <w:r>
        <w:tab/>
      </w:r>
      <w:r w:rsidR="0069515B">
        <w:t>24</w:t>
      </w:r>
    </w:p>
    <w:p w14:paraId="380136B7" w14:textId="77777777" w:rsidR="006B7F6F" w:rsidRDefault="006B7F6F" w:rsidP="006B7F6F">
      <w:pPr>
        <w:tabs>
          <w:tab w:val="right" w:pos="850"/>
          <w:tab w:val="right" w:leader="dot" w:pos="8929"/>
          <w:tab w:val="right" w:pos="9638"/>
        </w:tabs>
        <w:spacing w:after="120"/>
        <w:ind w:left="1134" w:hanging="1134"/>
      </w:pPr>
      <w:r>
        <w:tab/>
        <w:t>V.</w:t>
      </w:r>
      <w:r>
        <w:tab/>
      </w:r>
      <w:r w:rsidR="007E0D05">
        <w:rPr>
          <w:lang w:val="fr-FR"/>
        </w:rPr>
        <w:t>Groupes de travail informels relevant du GRSG</w:t>
      </w:r>
      <w:r>
        <w:tab/>
      </w:r>
      <w:r>
        <w:tab/>
      </w:r>
      <w:r w:rsidR="0069515B">
        <w:t>25</w:t>
      </w:r>
    </w:p>
    <w:p w14:paraId="219CE3F2" w14:textId="77777777" w:rsidR="00A73F28" w:rsidRPr="00DD1D4D" w:rsidRDefault="00214558" w:rsidP="006409F0">
      <w:pPr>
        <w:pStyle w:val="HChG"/>
      </w:pPr>
      <w:r>
        <w:br w:type="page"/>
      </w:r>
      <w:r w:rsidR="006409F0">
        <w:lastRenderedPageBreak/>
        <w:tab/>
      </w:r>
      <w:r w:rsidR="00A73F28">
        <w:rPr>
          <w:lang w:val="fr-FR"/>
        </w:rPr>
        <w:t>I.</w:t>
      </w:r>
      <w:r w:rsidR="00A73F28">
        <w:rPr>
          <w:lang w:val="fr-FR"/>
        </w:rPr>
        <w:tab/>
        <w:t>Participation</w:t>
      </w:r>
    </w:p>
    <w:p w14:paraId="1AE1901C" w14:textId="77777777" w:rsidR="00A73F28" w:rsidRPr="00DD1D4D" w:rsidRDefault="00A73F28" w:rsidP="006409F0">
      <w:pPr>
        <w:pStyle w:val="SingleTxtG"/>
      </w:pPr>
      <w:r>
        <w:rPr>
          <w:lang w:val="fr-FR"/>
        </w:rPr>
        <w:t>1.</w:t>
      </w:r>
      <w:r>
        <w:rPr>
          <w:lang w:val="fr-FR"/>
        </w:rPr>
        <w:tab/>
        <w:t>Le Groupe de travail des dispositions générales de sécurité (GRSG), ci-après «</w:t>
      </w:r>
      <w:r w:rsidR="006409F0">
        <w:rPr>
          <w:lang w:val="fr-FR"/>
        </w:rPr>
        <w:t> </w:t>
      </w:r>
      <w:r>
        <w:rPr>
          <w:lang w:val="fr-FR"/>
        </w:rPr>
        <w:t>le</w:t>
      </w:r>
      <w:r w:rsidR="006409F0">
        <w:rPr>
          <w:lang w:val="fr-FR"/>
        </w:rPr>
        <w:t> </w:t>
      </w:r>
      <w:r>
        <w:rPr>
          <w:lang w:val="fr-FR"/>
        </w:rPr>
        <w:t>Groupe de travail</w:t>
      </w:r>
      <w:r w:rsidR="006409F0">
        <w:rPr>
          <w:lang w:val="fr-FR"/>
        </w:rPr>
        <w:t> </w:t>
      </w:r>
      <w:r>
        <w:rPr>
          <w:lang w:val="fr-FR"/>
        </w:rPr>
        <w:t>») a tenu sa 116</w:t>
      </w:r>
      <w:r w:rsidRPr="006409F0">
        <w:rPr>
          <w:vertAlign w:val="superscript"/>
          <w:lang w:val="fr-FR"/>
        </w:rPr>
        <w:t>e</w:t>
      </w:r>
      <w:r w:rsidR="006409F0">
        <w:rPr>
          <w:lang w:val="fr-FR"/>
        </w:rPr>
        <w:t> </w:t>
      </w:r>
      <w:r>
        <w:rPr>
          <w:lang w:val="fr-FR"/>
        </w:rPr>
        <w:t>session du 1</w:t>
      </w:r>
      <w:r w:rsidRPr="006409F0">
        <w:rPr>
          <w:vertAlign w:val="superscript"/>
          <w:lang w:val="fr-FR"/>
        </w:rPr>
        <w:t>er</w:t>
      </w:r>
      <w:r>
        <w:rPr>
          <w:lang w:val="fr-FR"/>
        </w:rPr>
        <w:t xml:space="preserve"> au 5</w:t>
      </w:r>
      <w:r w:rsidR="006409F0">
        <w:rPr>
          <w:lang w:val="fr-FR"/>
        </w:rPr>
        <w:t> </w:t>
      </w:r>
      <w:r>
        <w:rPr>
          <w:lang w:val="fr-FR"/>
        </w:rPr>
        <w:t>avril 2019, à Genève. La réunion était présidée par M.</w:t>
      </w:r>
      <w:r w:rsidR="006409F0">
        <w:rPr>
          <w:lang w:val="fr-FR"/>
        </w:rPr>
        <w:t> </w:t>
      </w:r>
      <w:r>
        <w:rPr>
          <w:lang w:val="fr-FR"/>
        </w:rPr>
        <w:t>A.</w:t>
      </w:r>
      <w:r w:rsidR="006409F0">
        <w:rPr>
          <w:lang w:val="fr-FR"/>
        </w:rPr>
        <w:t> </w:t>
      </w:r>
      <w:r>
        <w:rPr>
          <w:lang w:val="fr-FR"/>
        </w:rPr>
        <w:t>Erario (Italie). Conformément à l’article</w:t>
      </w:r>
      <w:r w:rsidR="006409F0">
        <w:rPr>
          <w:lang w:val="fr-FR"/>
        </w:rPr>
        <w:t> </w:t>
      </w:r>
      <w:r>
        <w:rPr>
          <w:lang w:val="fr-FR"/>
        </w:rPr>
        <w:t>1</w:t>
      </w:r>
      <w:r w:rsidR="006409F0">
        <w:rPr>
          <w:lang w:val="fr-FR"/>
        </w:rPr>
        <w:t> </w:t>
      </w:r>
      <w:r>
        <w:rPr>
          <w:lang w:val="fr-FR"/>
        </w:rPr>
        <w:t>a) du Règlement intérieur du Forum mondial de l’harmonisation des Règlements concernant les véhicules (WP.29) (document ECE/TRANS/WP.29/690/Rev.1), ont participé aux travaux des experts des pays suivants</w:t>
      </w:r>
      <w:r w:rsidR="006409F0">
        <w:rPr>
          <w:lang w:val="fr-FR"/>
        </w:rPr>
        <w:t> </w:t>
      </w:r>
      <w:r>
        <w:rPr>
          <w:lang w:val="fr-FR"/>
        </w:rPr>
        <w:t>: Afrique du Sud, Allemagne, Belgique, Canada, Chine, Espagne, Fédération de Russie, Finlande, France, Géorgie, Hongrie, Inde, Italie, Japon, Lettonie, Norvège, Pays-Bas, Pologne, République de Corée, République démocratique du Congo, Royaume-Uni de Grande-Bretagne et d’Irlande du Nord, Suède, Suisse et Turquie. Un</w:t>
      </w:r>
      <w:r w:rsidR="006409F0">
        <w:rPr>
          <w:lang w:val="fr-FR"/>
        </w:rPr>
        <w:t> </w:t>
      </w:r>
      <w:r>
        <w:rPr>
          <w:lang w:val="fr-FR"/>
        </w:rPr>
        <w:t>expert de la Commission européenne était aussi présent. Ont en outre pris part à la session des experts des organisations non gouvernementales ci-après</w:t>
      </w:r>
      <w:r w:rsidR="006409F0">
        <w:rPr>
          <w:lang w:val="fr-FR"/>
        </w:rPr>
        <w:t> </w:t>
      </w:r>
      <w:r>
        <w:rPr>
          <w:lang w:val="fr-FR"/>
        </w:rPr>
        <w:t>: Association européenne des fournisseurs de l’automobile (CLEPA), Association internationale des constructeurs de motocycles (IMMA), Comité international de l’inspection technique automobile (CITA), Association internationale des véhicules fonctionnant au gaz naturel (NGV Global), Organisation internationale des constructeurs d’automobiles (OICA), et Liquid Gas Europe (LG Europe). Sur invitation spéciale du Président, un expert du Comité de liaison de la construction de carrosseries et de remorques (CLCCR) a également participé à la session.</w:t>
      </w:r>
    </w:p>
    <w:p w14:paraId="5A6249CD" w14:textId="77777777" w:rsidR="00A73F28" w:rsidRPr="00DD1D4D" w:rsidRDefault="006409F0" w:rsidP="006409F0">
      <w:pPr>
        <w:pStyle w:val="HChG"/>
      </w:pPr>
      <w:r>
        <w:rPr>
          <w:lang w:val="fr-FR"/>
        </w:rPr>
        <w:tab/>
      </w:r>
      <w:r w:rsidR="00A73F28">
        <w:rPr>
          <w:lang w:val="fr-FR"/>
        </w:rPr>
        <w:t>II.</w:t>
      </w:r>
      <w:r w:rsidR="00A73F28">
        <w:rPr>
          <w:lang w:val="fr-FR"/>
        </w:rPr>
        <w:tab/>
        <w:t>Adoption de l’ordre du jour (point 1 de l’ordre du jour)</w:t>
      </w:r>
    </w:p>
    <w:p w14:paraId="07B63031" w14:textId="77777777" w:rsidR="00A73F28" w:rsidRPr="00DD1D4D" w:rsidRDefault="00A73F28" w:rsidP="00B74950">
      <w:pPr>
        <w:pStyle w:val="SingleTxtG"/>
        <w:ind w:left="2552" w:hanging="1418"/>
        <w:jc w:val="left"/>
      </w:pPr>
      <w:r w:rsidRPr="000D0A30">
        <w:rPr>
          <w:b/>
          <w:lang w:val="fr-FR"/>
        </w:rPr>
        <w:t>Document</w:t>
      </w:r>
      <w:r w:rsidR="000D0A30">
        <w:rPr>
          <w:b/>
          <w:lang w:val="fr-FR"/>
        </w:rPr>
        <w:t>(</w:t>
      </w:r>
      <w:r w:rsidRPr="000D0A30">
        <w:rPr>
          <w:b/>
          <w:lang w:val="fr-FR"/>
        </w:rPr>
        <w:t>s</w:t>
      </w:r>
      <w:r w:rsidR="000D0A30">
        <w:rPr>
          <w:b/>
          <w:lang w:val="fr-FR"/>
        </w:rPr>
        <w:t>)</w:t>
      </w:r>
      <w:r w:rsidR="006409F0">
        <w:rPr>
          <w:lang w:val="fr-FR"/>
        </w:rPr>
        <w:t> </w:t>
      </w:r>
      <w:r w:rsidRPr="000D0A30">
        <w:rPr>
          <w:b/>
          <w:lang w:val="fr-FR"/>
        </w:rPr>
        <w:t>:</w:t>
      </w:r>
      <w:r>
        <w:rPr>
          <w:lang w:val="fr-FR"/>
        </w:rPr>
        <w:tab/>
        <w:t xml:space="preserve">ECE/TRANS/WP.29/GRSG/2019/1 et Add.1 </w:t>
      </w:r>
      <w:r w:rsidR="006409F0">
        <w:rPr>
          <w:lang w:val="fr-FR"/>
        </w:rPr>
        <w:br/>
      </w:r>
      <w:r w:rsidR="00B74950">
        <w:rPr>
          <w:lang w:val="fr-FR"/>
        </w:rPr>
        <w:t xml:space="preserve">Documents </w:t>
      </w:r>
      <w:r>
        <w:rPr>
          <w:lang w:val="fr-FR"/>
        </w:rPr>
        <w:t>informels GRSG-116-01 et GRSG-116-19</w:t>
      </w:r>
      <w:r w:rsidR="00B74950">
        <w:rPr>
          <w:lang w:val="fr-FR"/>
        </w:rPr>
        <w:t>.</w:t>
      </w:r>
    </w:p>
    <w:p w14:paraId="73637ECC" w14:textId="77777777" w:rsidR="00A73F28" w:rsidRPr="00DD1D4D" w:rsidRDefault="00A73F28" w:rsidP="00B74950">
      <w:pPr>
        <w:pStyle w:val="SingleTxtG"/>
        <w:rPr>
          <w:rFonts w:eastAsia="MS Mincho"/>
        </w:rPr>
      </w:pPr>
      <w:r>
        <w:rPr>
          <w:lang w:val="fr-FR"/>
        </w:rPr>
        <w:t>2.</w:t>
      </w:r>
      <w:r>
        <w:rPr>
          <w:lang w:val="fr-FR"/>
        </w:rPr>
        <w:tab/>
        <w:t>Le Groupe de travail a examiné et adopté l’ordre du jour proposé pour sa 116</w:t>
      </w:r>
      <w:r w:rsidRPr="00B74950">
        <w:rPr>
          <w:vertAlign w:val="superscript"/>
          <w:lang w:val="fr-FR"/>
        </w:rPr>
        <w:t>e</w:t>
      </w:r>
      <w:r w:rsidR="00B74950">
        <w:rPr>
          <w:lang w:val="fr-FR"/>
        </w:rPr>
        <w:t> </w:t>
      </w:r>
      <w:r>
        <w:rPr>
          <w:lang w:val="fr-FR"/>
        </w:rPr>
        <w:t>session.</w:t>
      </w:r>
    </w:p>
    <w:p w14:paraId="4B043E63" w14:textId="77777777" w:rsidR="00A73F28" w:rsidRPr="00DD1D4D" w:rsidRDefault="00A73F28" w:rsidP="00B74950">
      <w:pPr>
        <w:pStyle w:val="SingleTxtG"/>
        <w:rPr>
          <w:b/>
        </w:rPr>
      </w:pPr>
      <w:r>
        <w:rPr>
          <w:lang w:val="fr-FR"/>
        </w:rPr>
        <w:t>3.</w:t>
      </w:r>
      <w:r>
        <w:rPr>
          <w:lang w:val="fr-FR"/>
        </w:rPr>
        <w:tab/>
        <w:t>Le Groupe de travail a en outre adopté l’ordre d’examen des points de l’ordre du jour proposé par le Président dans le document informel GRSG-116-01. Il a pris note du document GRSG-116-19 sur les principales décisions et recommandations adoptées par le WP.29 à ses sessions de novembre 2018 et mars 2019 (documents ECE/TRANS/WP.29/1142 et ECE/TRANS/WP.29/1145).</w:t>
      </w:r>
    </w:p>
    <w:p w14:paraId="7CDA338D" w14:textId="77777777" w:rsidR="00A73F28" w:rsidRPr="00DD1D4D" w:rsidRDefault="00A73F28" w:rsidP="00B74950">
      <w:pPr>
        <w:pStyle w:val="SingleTxtG"/>
      </w:pPr>
      <w:r>
        <w:rPr>
          <w:lang w:val="fr-FR"/>
        </w:rPr>
        <w:t>4.</w:t>
      </w:r>
      <w:r>
        <w:rPr>
          <w:lang w:val="fr-FR"/>
        </w:rPr>
        <w:tab/>
        <w:t>On trouvera à l’annexe</w:t>
      </w:r>
      <w:r w:rsidR="00B74950">
        <w:rPr>
          <w:lang w:val="fr-FR"/>
        </w:rPr>
        <w:t> </w:t>
      </w:r>
      <w:r>
        <w:rPr>
          <w:lang w:val="fr-FR"/>
        </w:rPr>
        <w:t>I du présent rapport la liste des documents informels distribués pendant la session. La liste des groupes de travail informels relevant du GRSG figure à l’annexe</w:t>
      </w:r>
      <w:r w:rsidR="00B74950">
        <w:rPr>
          <w:lang w:val="fr-FR"/>
        </w:rPr>
        <w:t> </w:t>
      </w:r>
      <w:r>
        <w:rPr>
          <w:lang w:val="fr-FR"/>
        </w:rPr>
        <w:t>V.</w:t>
      </w:r>
    </w:p>
    <w:p w14:paraId="59F8B563" w14:textId="77777777" w:rsidR="00A73F28" w:rsidRPr="00DD1D4D" w:rsidRDefault="00BD103A" w:rsidP="00B74950">
      <w:pPr>
        <w:pStyle w:val="HChG"/>
      </w:pPr>
      <w:r>
        <w:rPr>
          <w:lang w:val="fr-FR"/>
        </w:rPr>
        <w:tab/>
      </w:r>
      <w:r w:rsidR="00A73F28">
        <w:rPr>
          <w:lang w:val="fr-FR"/>
        </w:rPr>
        <w:t>III.</w:t>
      </w:r>
      <w:r w:rsidR="00A73F28">
        <w:rPr>
          <w:lang w:val="fr-FR"/>
        </w:rPr>
        <w:tab/>
        <w:t>Amendements aux Règlements sur les autobus et les autocars (point 2 de l’ordre du jour)</w:t>
      </w:r>
    </w:p>
    <w:p w14:paraId="355378E6" w14:textId="77777777" w:rsidR="00A73F28" w:rsidRPr="00061789" w:rsidRDefault="00BD103A" w:rsidP="00B74950">
      <w:pPr>
        <w:pStyle w:val="H1G"/>
      </w:pPr>
      <w:r>
        <w:tab/>
      </w:r>
      <w:r w:rsidR="00A73F28" w:rsidRPr="00061789">
        <w:rPr>
          <w:lang w:val="fr-FR"/>
        </w:rPr>
        <w:t>A.</w:t>
      </w:r>
      <w:r w:rsidR="00A73F28" w:rsidRPr="00061789">
        <w:rPr>
          <w:lang w:val="fr-FR"/>
        </w:rPr>
        <w:tab/>
        <w:t>Règlement ONU n</w:t>
      </w:r>
      <w:r w:rsidR="00A73F28" w:rsidRPr="00B74950">
        <w:rPr>
          <w:vertAlign w:val="superscript"/>
          <w:lang w:val="fr-FR"/>
        </w:rPr>
        <w:t>o</w:t>
      </w:r>
      <w:r w:rsidR="00B74950">
        <w:rPr>
          <w:lang w:val="fr-FR"/>
        </w:rPr>
        <w:t> </w:t>
      </w:r>
      <w:r w:rsidR="00A73F28" w:rsidRPr="00061789">
        <w:rPr>
          <w:lang w:val="fr-FR"/>
        </w:rPr>
        <w:t>107 (Véhicules des catégories M</w:t>
      </w:r>
      <w:r w:rsidR="00A73F28" w:rsidRPr="00061789">
        <w:rPr>
          <w:vertAlign w:val="subscript"/>
          <w:lang w:val="fr-FR"/>
        </w:rPr>
        <w:t>2</w:t>
      </w:r>
      <w:r w:rsidR="00A73F28" w:rsidRPr="00061789">
        <w:rPr>
          <w:lang w:val="fr-FR"/>
        </w:rPr>
        <w:t xml:space="preserve"> et M</w:t>
      </w:r>
      <w:r w:rsidR="00A73F28" w:rsidRPr="00061789">
        <w:rPr>
          <w:vertAlign w:val="subscript"/>
          <w:lang w:val="fr-FR"/>
        </w:rPr>
        <w:t>3</w:t>
      </w:r>
      <w:r w:rsidR="00A73F28" w:rsidRPr="00061789">
        <w:rPr>
          <w:lang w:val="fr-FR"/>
        </w:rPr>
        <w:t>)</w:t>
      </w:r>
    </w:p>
    <w:p w14:paraId="5E51D28A" w14:textId="77777777" w:rsidR="00A73F28" w:rsidRPr="00DD1D4D" w:rsidRDefault="000D0A30" w:rsidP="00B74950">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00A73F28" w:rsidRPr="00B74950">
        <w:tab/>
        <w:t>ECE/TRANS/WP.29/GRSG/2019/9</w:t>
      </w:r>
      <w:r w:rsidR="00B74950">
        <w:br/>
      </w:r>
      <w:r w:rsidR="00A73F28" w:rsidRPr="00B74950">
        <w:t>ECE/TRANS/WP.29/GRSG/2019/13</w:t>
      </w:r>
      <w:r w:rsidR="00B74950" w:rsidRPr="00B74950">
        <w:br/>
      </w:r>
      <w:r w:rsidR="00A73F28">
        <w:rPr>
          <w:lang w:val="fr-FR"/>
        </w:rPr>
        <w:t xml:space="preserve">Documents informels GRSG-115-04, GRSG-116-24, GRSG-116-25 </w:t>
      </w:r>
      <w:r w:rsidR="00B74950">
        <w:rPr>
          <w:lang w:val="fr-FR"/>
        </w:rPr>
        <w:br/>
      </w:r>
      <w:r w:rsidR="00A73F28">
        <w:rPr>
          <w:lang w:val="fr-FR"/>
        </w:rPr>
        <w:t>et GRSG-116-44</w:t>
      </w:r>
      <w:r w:rsidR="00B74950">
        <w:rPr>
          <w:lang w:val="fr-FR"/>
        </w:rPr>
        <w:t>.</w:t>
      </w:r>
    </w:p>
    <w:p w14:paraId="0406E0D0" w14:textId="77777777" w:rsidR="00A73F28" w:rsidRPr="00DD1D4D" w:rsidRDefault="00A73F28" w:rsidP="00BD103A">
      <w:pPr>
        <w:pStyle w:val="SingleTxtG"/>
        <w:rPr>
          <w:szCs w:val="24"/>
        </w:rPr>
      </w:pPr>
      <w:r>
        <w:rPr>
          <w:lang w:val="fr-FR"/>
        </w:rPr>
        <w:t>5.</w:t>
      </w:r>
      <w:r>
        <w:rPr>
          <w:lang w:val="fr-FR"/>
        </w:rPr>
        <w:tab/>
        <w:t>L’expert de la Belgique a présenté les documents ECE/TRANS/WP.29/GRSG/2019/9 et GRSG-116-44, dans lesquels il est proposé de modifier les prescriptions de l’annexe</w:t>
      </w:r>
      <w:r w:rsidR="00BD103A">
        <w:rPr>
          <w:lang w:val="fr-FR"/>
        </w:rPr>
        <w:t> </w:t>
      </w:r>
      <w:r>
        <w:rPr>
          <w:lang w:val="fr-FR"/>
        </w:rPr>
        <w:t>11 du Règlement n</w:t>
      </w:r>
      <w:r w:rsidRPr="00BD103A">
        <w:rPr>
          <w:vertAlign w:val="superscript"/>
          <w:lang w:val="fr-FR"/>
        </w:rPr>
        <w:t>o</w:t>
      </w:r>
      <w:r w:rsidR="00BD103A">
        <w:rPr>
          <w:lang w:val="fr-FR"/>
        </w:rPr>
        <w:t> </w:t>
      </w:r>
      <w:r>
        <w:rPr>
          <w:lang w:val="fr-FR"/>
        </w:rPr>
        <w:t>107 sur la masse minimale de l’essieu avant des véhicules articulés de la classe</w:t>
      </w:r>
      <w:r w:rsidR="00BD103A">
        <w:rPr>
          <w:lang w:val="fr-FR"/>
        </w:rPr>
        <w:t> </w:t>
      </w:r>
      <w:r>
        <w:rPr>
          <w:lang w:val="fr-FR"/>
        </w:rPr>
        <w:t xml:space="preserve">I. L’expert du Royaume-Uni a émis des réserves pour étude sur les caractéristiques de freinage et la stabilité au freinage. Le GRSG a noté que le Règlement ONU </w:t>
      </w:r>
      <w:r w:rsidR="00BD103A">
        <w:rPr>
          <w:lang w:val="fr-FR"/>
        </w:rPr>
        <w:t>n</w:t>
      </w:r>
      <w:r w:rsidR="00BD103A" w:rsidRPr="00BD103A">
        <w:rPr>
          <w:vertAlign w:val="superscript"/>
          <w:lang w:val="fr-FR"/>
        </w:rPr>
        <w:t>o</w:t>
      </w:r>
      <w:r w:rsidR="00BD103A">
        <w:rPr>
          <w:lang w:val="fr-FR"/>
        </w:rPr>
        <w:t> </w:t>
      </w:r>
      <w:r>
        <w:rPr>
          <w:lang w:val="fr-FR"/>
        </w:rPr>
        <w:t xml:space="preserve">13 s’appliquerait de toute façon et a appuyé la proposition dans son principe. L’expert de la Belgique s’est porté volontaire pour fournir des informations plus détaillées sur les performances de freinage pour la prochaine session. </w:t>
      </w:r>
      <w:r>
        <w:rPr>
          <w:lang w:val="fr-FR"/>
        </w:rPr>
        <w:lastRenderedPageBreak/>
        <w:t>Le</w:t>
      </w:r>
      <w:r w:rsidR="00BD103A">
        <w:rPr>
          <w:lang w:val="fr-FR"/>
        </w:rPr>
        <w:t> </w:t>
      </w:r>
      <w:r>
        <w:rPr>
          <w:lang w:val="fr-FR"/>
        </w:rPr>
        <w:t xml:space="preserve">GRSG a décidé d’adopter le document ECE/TRANS/WP.29/GRSG/2019/9 et a prié le secrétariat de le soumettre au WP.29 et au Comité d’administration AC.1 de l’Accord de 1958 en tant que projet de complément 8 à la série 06 d’amendements, projet de complément 3 à la série 07 d’amendements et projet de complément 2 à la série 08 d’amendements au Règlement </w:t>
      </w:r>
      <w:r w:rsidR="00564E88">
        <w:rPr>
          <w:lang w:val="fr-FR"/>
        </w:rPr>
        <w:t xml:space="preserve">ONU </w:t>
      </w:r>
      <w:r w:rsidR="00BD103A">
        <w:rPr>
          <w:lang w:val="fr-FR"/>
        </w:rPr>
        <w:t>n</w:t>
      </w:r>
      <w:r w:rsidR="00BD103A" w:rsidRPr="00BD103A">
        <w:rPr>
          <w:vertAlign w:val="superscript"/>
          <w:lang w:val="fr-FR"/>
        </w:rPr>
        <w:t>o</w:t>
      </w:r>
      <w:r w:rsidR="00BD103A">
        <w:rPr>
          <w:lang w:val="fr-FR"/>
        </w:rPr>
        <w:t> </w:t>
      </w:r>
      <w:r>
        <w:rPr>
          <w:lang w:val="fr-FR"/>
        </w:rPr>
        <w:t>107 pour examen à leurs sessions de novembre 2019, sous réserve de son examen final par le GRSG à sa session d’octobre 2019.</w:t>
      </w:r>
    </w:p>
    <w:p w14:paraId="16EB3586" w14:textId="77777777" w:rsidR="00A73F28" w:rsidRPr="00DD1D4D" w:rsidRDefault="00A73F28" w:rsidP="00BD103A">
      <w:pPr>
        <w:pStyle w:val="SingleTxtG"/>
        <w:rPr>
          <w:szCs w:val="24"/>
        </w:rPr>
      </w:pPr>
      <w:r>
        <w:rPr>
          <w:lang w:val="fr-FR"/>
        </w:rPr>
        <w:t>6.</w:t>
      </w:r>
      <w:r>
        <w:rPr>
          <w:lang w:val="fr-FR"/>
        </w:rPr>
        <w:tab/>
        <w:t>L’expert de l’Italie a présenté le document ECE/TRANS/WP.29/GRSG/2019/13 visant à modifier l’annexe</w:t>
      </w:r>
      <w:r w:rsidR="00BD103A">
        <w:rPr>
          <w:lang w:val="fr-FR"/>
        </w:rPr>
        <w:t> </w:t>
      </w:r>
      <w:r>
        <w:rPr>
          <w:lang w:val="fr-FR"/>
        </w:rPr>
        <w:t>3 du Règlement concernant les prescriptions d’essai applicables aux issues de secours de tous les autobus et autocars, et à préciser qu’ils ne devaient pas compter moins de quatre issues de secours. L’expert de la Pologne a rappelé que le nombre minimum actuel d’issues de secours avait été porté à cinq à la suite des modifications proposées par l’ancien groupe de travail informel sur les portes de service, fenêtres et issues de secours (SDWEE). À l’issue du débat, le GRSG a préféré le statu quo.</w:t>
      </w:r>
    </w:p>
    <w:p w14:paraId="587124BA" w14:textId="77777777" w:rsidR="00A73F28" w:rsidRPr="00DD1D4D" w:rsidRDefault="00A73F28" w:rsidP="00BD103A">
      <w:pPr>
        <w:pStyle w:val="SingleTxtG"/>
        <w:rPr>
          <w:szCs w:val="24"/>
        </w:rPr>
      </w:pPr>
      <w:r>
        <w:rPr>
          <w:lang w:val="fr-FR"/>
        </w:rPr>
        <w:t>7.</w:t>
      </w:r>
      <w:r>
        <w:rPr>
          <w:lang w:val="fr-FR"/>
        </w:rPr>
        <w:tab/>
        <w:t>L’expert de la Norvège a rappelé le document GRSG-115-04, établi lors de la précédente session du GRSG, sur la nécessité de renforcer la protection et l’intégrité du compartiment du conducteur ou des membres d’équipage des autobus et autocars en cas de collision frontale. Il a déclaré qu’il n’avait pas reçu de réponse à sa demande de données statistiques ou accidentologiques sur de telles collisions ayant entraîné des risques pour le conducteur et/ou l’équipage.</w:t>
      </w:r>
    </w:p>
    <w:p w14:paraId="079AE59D" w14:textId="77777777" w:rsidR="00A73F28" w:rsidRPr="00DD1D4D" w:rsidRDefault="00A73F28" w:rsidP="00DF5C45">
      <w:pPr>
        <w:pStyle w:val="SingleTxtG"/>
      </w:pPr>
      <w:r>
        <w:rPr>
          <w:lang w:val="fr-FR"/>
        </w:rPr>
        <w:t>8.</w:t>
      </w:r>
      <w:r>
        <w:rPr>
          <w:lang w:val="fr-FR"/>
        </w:rPr>
        <w:tab/>
        <w:t>L’experte de l’OICA a présenté le document GRSG-116-25 sur les préoccupations particulières que soulève la position des trappes de sauvetage sur les autobus M</w:t>
      </w:r>
      <w:r w:rsidRPr="00061789">
        <w:rPr>
          <w:vertAlign w:val="subscript"/>
          <w:lang w:val="fr-FR"/>
        </w:rPr>
        <w:t>2</w:t>
      </w:r>
      <w:r>
        <w:rPr>
          <w:lang w:val="fr-FR"/>
        </w:rPr>
        <w:t xml:space="preserve"> de la classe B à l’occasion du passage de la série 05 à la série 06 d’amendements au Règlement </w:t>
      </w:r>
      <w:r w:rsidR="00564E88">
        <w:rPr>
          <w:lang w:val="fr-FR"/>
        </w:rPr>
        <w:t xml:space="preserve">ONU </w:t>
      </w:r>
      <w:r w:rsidR="00DF5C45">
        <w:rPr>
          <w:lang w:val="fr-FR"/>
        </w:rPr>
        <w:t>n</w:t>
      </w:r>
      <w:r w:rsidR="00DF5C45" w:rsidRPr="00BD103A">
        <w:rPr>
          <w:vertAlign w:val="superscript"/>
          <w:lang w:val="fr-FR"/>
        </w:rPr>
        <w:t>o</w:t>
      </w:r>
      <w:r w:rsidR="00DF5C45">
        <w:rPr>
          <w:lang w:val="fr-FR"/>
        </w:rPr>
        <w:t> </w:t>
      </w:r>
      <w:r>
        <w:rPr>
          <w:lang w:val="fr-FR"/>
        </w:rPr>
        <w:t>107. Elle a ajouté que l’emplacement de ces trappes n’était pas pertinent, en particulier pour les véhicules courts dont l’habitacle mesure environ 2,5</w:t>
      </w:r>
      <w:r w:rsidR="00DF5C45">
        <w:rPr>
          <w:lang w:val="fr-FR"/>
        </w:rPr>
        <w:t> </w:t>
      </w:r>
      <w:r>
        <w:rPr>
          <w:lang w:val="fr-FR"/>
        </w:rPr>
        <w:t>m de long. Elle a donc proposé de modifier les dispositions de l’annexe 3 sur le nombre et la position des issues de secours des véhicules des classes</w:t>
      </w:r>
      <w:r w:rsidR="00DF5C45">
        <w:rPr>
          <w:lang w:val="fr-FR"/>
        </w:rPr>
        <w:t> </w:t>
      </w:r>
      <w:r>
        <w:rPr>
          <w:lang w:val="fr-FR"/>
        </w:rPr>
        <w:t>A et B (GRSG-116-24). Le GRSG a pris note du soutien général en faveur de cette proposition et de certaines demandes d’éclaircissements. L’experte de l’OICA a invité tous les experts intéressés à lui faire part de leurs observations. Elle s’est dite prête à soumettre, en tant que document officiel, une proposition révisée pour examen par le GRSG à sa prochaine session.</w:t>
      </w:r>
    </w:p>
    <w:p w14:paraId="5C677D0B" w14:textId="77777777" w:rsidR="00A73F28" w:rsidRPr="00DD1D4D" w:rsidRDefault="00A73F28" w:rsidP="00DF5C45">
      <w:pPr>
        <w:pStyle w:val="SingleTxtG"/>
      </w:pPr>
      <w:r>
        <w:rPr>
          <w:lang w:val="fr-FR"/>
        </w:rPr>
        <w:t>9.</w:t>
      </w:r>
      <w:r>
        <w:rPr>
          <w:lang w:val="fr-FR"/>
        </w:rPr>
        <w:tab/>
        <w:t>Comme suite aux débats du Forum mondial de la sécurité routière (WP.1) et du Forum mondial de l’harmonisation des Règlements concernant les véhicules (WP.29) portant sur les véhicules automatisés, le GRSG a décidé de donner la priorité à l’examen des spécifications des navettes autonomes. Le Président s’est interrogé sur la nécessité d’examiner l’applicabilité des prescriptions existantes ou la catégorisation de ces véhicules. L’expert de la France a proposé de donner à la prochaine session du GRSG des précisions sur l’état de la législation française en la matière.</w:t>
      </w:r>
    </w:p>
    <w:p w14:paraId="0934F401" w14:textId="77777777" w:rsidR="00A73F28" w:rsidRPr="00061789" w:rsidRDefault="00DF5C45" w:rsidP="00DF5C45">
      <w:pPr>
        <w:pStyle w:val="H1G"/>
      </w:pPr>
      <w:r>
        <w:rPr>
          <w:lang w:val="fr-FR"/>
        </w:rPr>
        <w:tab/>
      </w:r>
      <w:r w:rsidR="00A73F28" w:rsidRPr="00061789">
        <w:rPr>
          <w:lang w:val="fr-FR"/>
        </w:rPr>
        <w:t>B.</w:t>
      </w:r>
      <w:r w:rsidR="00A73F28" w:rsidRPr="00061789">
        <w:rPr>
          <w:lang w:val="fr-FR"/>
        </w:rPr>
        <w:tab/>
        <w:t xml:space="preserve">Règlement ONU </w:t>
      </w:r>
      <w:r>
        <w:rPr>
          <w:lang w:val="fr-FR"/>
        </w:rPr>
        <w:t>n</w:t>
      </w:r>
      <w:r w:rsidRPr="00BD103A">
        <w:rPr>
          <w:vertAlign w:val="superscript"/>
          <w:lang w:val="fr-FR"/>
        </w:rPr>
        <w:t>o</w:t>
      </w:r>
      <w:r>
        <w:rPr>
          <w:lang w:val="fr-FR"/>
        </w:rPr>
        <w:t> </w:t>
      </w:r>
      <w:r w:rsidR="00A73F28" w:rsidRPr="00061789">
        <w:rPr>
          <w:lang w:val="fr-FR"/>
        </w:rPr>
        <w:t>118 (Comportement au feu des matériaux)</w:t>
      </w:r>
    </w:p>
    <w:p w14:paraId="4F817825" w14:textId="77777777" w:rsidR="00A73F28" w:rsidRPr="00DF5C45" w:rsidRDefault="000D0A30" w:rsidP="00DF5C45">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00A73F28" w:rsidRPr="000D0A30">
        <w:rPr>
          <w:b/>
        </w:rPr>
        <w:t>:</w:t>
      </w:r>
      <w:r w:rsidR="00A73F28" w:rsidRPr="00DF5C45">
        <w:rPr>
          <w:i/>
        </w:rPr>
        <w:tab/>
      </w:r>
      <w:r w:rsidR="00A73F28" w:rsidRPr="00DF5C45">
        <w:t>Documents informels GRSG-116-11 et GRSG-116-12.</w:t>
      </w:r>
    </w:p>
    <w:p w14:paraId="34EAFC9B" w14:textId="77777777" w:rsidR="00A73F28" w:rsidRPr="00DD1D4D" w:rsidRDefault="00A73F28" w:rsidP="00DF5C45">
      <w:pPr>
        <w:pStyle w:val="SingleTxtG"/>
        <w:rPr>
          <w:szCs w:val="24"/>
        </w:rPr>
      </w:pPr>
      <w:r>
        <w:rPr>
          <w:lang w:val="fr-FR"/>
        </w:rPr>
        <w:t>10.</w:t>
      </w:r>
      <w:r>
        <w:rPr>
          <w:lang w:val="fr-FR"/>
        </w:rPr>
        <w:tab/>
        <w:t>L’expert de la France, qui préside le groupe de travail informel du comportement de la structure générale des véhicules des catégories M</w:t>
      </w:r>
      <w:r w:rsidRPr="001604DA">
        <w:rPr>
          <w:vertAlign w:val="subscript"/>
          <w:lang w:val="fr-FR"/>
        </w:rPr>
        <w:t>2</w:t>
      </w:r>
      <w:r>
        <w:rPr>
          <w:lang w:val="fr-FR"/>
        </w:rPr>
        <w:t xml:space="preserve"> et M</w:t>
      </w:r>
      <w:r w:rsidRPr="001604DA">
        <w:rPr>
          <w:vertAlign w:val="subscript"/>
          <w:lang w:val="fr-FR"/>
        </w:rPr>
        <w:t>3</w:t>
      </w:r>
      <w:r>
        <w:rPr>
          <w:lang w:val="fr-FR"/>
        </w:rPr>
        <w:t xml:space="preserve"> en cas d’incendie (BMFE), a présenté le document informel GRSG-116-11 sur les résultats des récentes réunions tenues à Madrid les 27 et 28</w:t>
      </w:r>
      <w:r w:rsidR="00DF5C45">
        <w:rPr>
          <w:lang w:val="fr-FR"/>
        </w:rPr>
        <w:t> </w:t>
      </w:r>
      <w:r>
        <w:rPr>
          <w:lang w:val="fr-FR"/>
        </w:rPr>
        <w:t>novembre 2018 et à Oslo les 27 et 28</w:t>
      </w:r>
      <w:r w:rsidR="00DF5C45">
        <w:rPr>
          <w:lang w:val="fr-FR"/>
        </w:rPr>
        <w:t> </w:t>
      </w:r>
      <w:r>
        <w:rPr>
          <w:lang w:val="fr-FR"/>
        </w:rPr>
        <w:t xml:space="preserve">février 2019. Il a indiqué que le groupe de travail informel avait bien progressé dans l’élaboration d’un tableau d’accidentologie, d’un essai grandeur nature et de nouvelles dispositions du Règlement </w:t>
      </w:r>
      <w:r w:rsidR="005721B8">
        <w:rPr>
          <w:lang w:val="fr-FR"/>
        </w:rPr>
        <w:t xml:space="preserve">ONU </w:t>
      </w:r>
      <w:r w:rsidR="00DF5C45">
        <w:rPr>
          <w:lang w:val="fr-FR"/>
        </w:rPr>
        <w:t>n</w:t>
      </w:r>
      <w:r w:rsidR="00DF5C45" w:rsidRPr="00BD103A">
        <w:rPr>
          <w:vertAlign w:val="superscript"/>
          <w:lang w:val="fr-FR"/>
        </w:rPr>
        <w:t>o</w:t>
      </w:r>
      <w:r w:rsidR="00DF5C45">
        <w:rPr>
          <w:lang w:val="fr-FR"/>
        </w:rPr>
        <w:t> </w:t>
      </w:r>
      <w:r>
        <w:rPr>
          <w:lang w:val="fr-FR"/>
        </w:rPr>
        <w:t>107 concernant l’ouverture automatique des issues de secours et les instructions de sécurité pour les passagers. Il a ajouté que le groupe ferait suite à une étude de recherche en cours en Allemagne sur la toxicité et l’opacité de la fumée afin de définir une méthode d’essai simplifiée pour déterminer la toxicité des matériaux. Le GRSG s’est félicité de ces informations et a noté que la prochaine réunion du groupe de travail informel était prévue à Bergisch Gladbach (Allemagne) les 25 et 26</w:t>
      </w:r>
      <w:r w:rsidR="00DF5C45">
        <w:rPr>
          <w:lang w:val="fr-FR"/>
        </w:rPr>
        <w:t> </w:t>
      </w:r>
      <w:r>
        <w:rPr>
          <w:lang w:val="fr-FR"/>
        </w:rPr>
        <w:t>juin 2019.</w:t>
      </w:r>
    </w:p>
    <w:p w14:paraId="35E9A5FE" w14:textId="77777777" w:rsidR="00A73F28" w:rsidRPr="00DD1D4D" w:rsidRDefault="00A73F28" w:rsidP="00DF5C45">
      <w:pPr>
        <w:pStyle w:val="SingleTxtG"/>
        <w:keepNext/>
      </w:pPr>
      <w:r>
        <w:rPr>
          <w:lang w:val="fr-FR"/>
        </w:rPr>
        <w:lastRenderedPageBreak/>
        <w:t>11.</w:t>
      </w:r>
      <w:r>
        <w:rPr>
          <w:lang w:val="fr-FR"/>
        </w:rPr>
        <w:tab/>
        <w:t>Le GRSG a pris note du document GRSG-116-12 présenté par le groupe de travail informel, qui propose une correction au paragraphe</w:t>
      </w:r>
      <w:r w:rsidR="00DF5C45">
        <w:rPr>
          <w:lang w:val="fr-FR"/>
        </w:rPr>
        <w:t> </w:t>
      </w:r>
      <w:r>
        <w:rPr>
          <w:lang w:val="fr-FR"/>
        </w:rPr>
        <w:t>4 du mandat de ce groupe. Il a approuvé la proposition ci-après</w:t>
      </w:r>
      <w:r w:rsidR="00DF5C45">
        <w:rPr>
          <w:lang w:val="fr-FR"/>
        </w:rPr>
        <w:t> </w:t>
      </w:r>
      <w:r>
        <w:rPr>
          <w:lang w:val="fr-FR"/>
        </w:rPr>
        <w:t>:</w:t>
      </w:r>
    </w:p>
    <w:p w14:paraId="5F91D963" w14:textId="77777777" w:rsidR="00A73F28" w:rsidRPr="00DD1D4D" w:rsidRDefault="00A73F28" w:rsidP="00033CC9">
      <w:pPr>
        <w:pStyle w:val="SingleTxtG"/>
      </w:pPr>
      <w:r w:rsidRPr="00033CC9">
        <w:rPr>
          <w:i/>
          <w:lang w:val="fr-FR"/>
        </w:rPr>
        <w:t>Rapport ECE/TRANS/WP.29/GRSG/93, annexe</w:t>
      </w:r>
      <w:r w:rsidR="00033CC9">
        <w:rPr>
          <w:i/>
          <w:lang w:val="fr-FR"/>
        </w:rPr>
        <w:t> </w:t>
      </w:r>
      <w:r w:rsidRPr="00033CC9">
        <w:rPr>
          <w:i/>
          <w:lang w:val="fr-FR"/>
        </w:rPr>
        <w:t>II, paragraphe</w:t>
      </w:r>
      <w:r w:rsidR="00033CC9">
        <w:rPr>
          <w:i/>
          <w:lang w:val="fr-FR"/>
        </w:rPr>
        <w:t> </w:t>
      </w:r>
      <w:r w:rsidRPr="00033CC9">
        <w:rPr>
          <w:i/>
          <w:lang w:val="fr-FR"/>
        </w:rPr>
        <w:t>4</w:t>
      </w:r>
      <w:r>
        <w:rPr>
          <w:lang w:val="fr-FR"/>
        </w:rPr>
        <w:t>, modifier comme suit</w:t>
      </w:r>
      <w:r w:rsidR="00033CC9">
        <w:rPr>
          <w:lang w:val="fr-FR"/>
        </w:rPr>
        <w:t> </w:t>
      </w:r>
      <w:r>
        <w:rPr>
          <w:lang w:val="fr-FR"/>
        </w:rPr>
        <w:t>:</w:t>
      </w:r>
    </w:p>
    <w:p w14:paraId="794D9C2E" w14:textId="77777777" w:rsidR="00A73F28" w:rsidRPr="00DD1D4D" w:rsidRDefault="00033CC9" w:rsidP="00033CC9">
      <w:pPr>
        <w:pStyle w:val="SingleTxtG"/>
        <w:ind w:left="1701" w:hanging="567"/>
      </w:pPr>
      <w:r>
        <w:rPr>
          <w:lang w:val="fr-FR"/>
        </w:rPr>
        <w:t>« </w:t>
      </w:r>
      <w:r w:rsidR="00A73F28">
        <w:rPr>
          <w:lang w:val="fr-FR"/>
        </w:rPr>
        <w:t>4.</w:t>
      </w:r>
      <w:r w:rsidR="00A73F28">
        <w:rPr>
          <w:lang w:val="fr-FR"/>
        </w:rPr>
        <w:tab/>
        <w:t>Les travaux du groupe, consistant à établir un projet d’amendement aux Règlements ONU n</w:t>
      </w:r>
      <w:r w:rsidR="00A73F28" w:rsidRPr="00033CC9">
        <w:rPr>
          <w:vertAlign w:val="superscript"/>
          <w:lang w:val="fr-FR"/>
        </w:rPr>
        <w:t>os</w:t>
      </w:r>
      <w:r>
        <w:rPr>
          <w:lang w:val="fr-FR"/>
        </w:rPr>
        <w:t> </w:t>
      </w:r>
      <w:r w:rsidR="00A73F28">
        <w:rPr>
          <w:lang w:val="fr-FR"/>
        </w:rPr>
        <w:t xml:space="preserve">107 et 118, devront être achevés d’ici à la </w:t>
      </w:r>
      <w:r w:rsidR="00A73F28" w:rsidRPr="00CD5CB2">
        <w:rPr>
          <w:b/>
          <w:lang w:val="fr-FR"/>
        </w:rPr>
        <w:t>119</w:t>
      </w:r>
      <w:r w:rsidR="00A73F28" w:rsidRPr="00033CC9">
        <w:rPr>
          <w:b/>
          <w:vertAlign w:val="superscript"/>
          <w:lang w:val="fr-FR"/>
        </w:rPr>
        <w:t>e</w:t>
      </w:r>
      <w:r>
        <w:rPr>
          <w:lang w:val="fr-FR"/>
        </w:rPr>
        <w:t> </w:t>
      </w:r>
      <w:r w:rsidR="00A73F28">
        <w:rPr>
          <w:lang w:val="fr-FR"/>
        </w:rPr>
        <w:t>session (octobre 2020) du Groupe de travail des dispositions générales de sécurité (GRSG)</w:t>
      </w:r>
      <w:r>
        <w:rPr>
          <w:lang w:val="fr-FR"/>
        </w:rPr>
        <w:t>. »</w:t>
      </w:r>
      <w:r w:rsidR="00A73F28">
        <w:rPr>
          <w:lang w:val="fr-FR"/>
        </w:rPr>
        <w:t>.</w:t>
      </w:r>
    </w:p>
    <w:p w14:paraId="316D7C29" w14:textId="77777777" w:rsidR="00A73F28" w:rsidRPr="00DD1D4D" w:rsidRDefault="00A73F28" w:rsidP="00033CC9">
      <w:pPr>
        <w:pStyle w:val="SingleTxtG"/>
      </w:pPr>
      <w:r>
        <w:rPr>
          <w:lang w:val="fr-FR"/>
        </w:rPr>
        <w:t>12.</w:t>
      </w:r>
      <w:r>
        <w:rPr>
          <w:lang w:val="fr-FR"/>
        </w:rPr>
        <w:tab/>
        <w:t>Le GRSG a décidé de reprendre l’examen de la question à sa prochaine session.</w:t>
      </w:r>
    </w:p>
    <w:p w14:paraId="5040F6A7" w14:textId="77777777" w:rsidR="00A73F28" w:rsidRPr="00CD5CB2" w:rsidRDefault="00033CC9" w:rsidP="00033CC9">
      <w:pPr>
        <w:pStyle w:val="HChG"/>
      </w:pPr>
      <w:r>
        <w:rPr>
          <w:lang w:val="fr-FR"/>
        </w:rPr>
        <w:tab/>
      </w:r>
      <w:r w:rsidR="00A73F28" w:rsidRPr="00CD5CB2">
        <w:rPr>
          <w:lang w:val="fr-FR"/>
        </w:rPr>
        <w:t>IV.</w:t>
      </w:r>
      <w:r w:rsidR="00A73F28" w:rsidRPr="00CD5CB2">
        <w:rPr>
          <w:lang w:val="fr-FR"/>
        </w:rPr>
        <w:tab/>
        <w:t xml:space="preserve">Règlement ONU </w:t>
      </w:r>
      <w:r>
        <w:rPr>
          <w:lang w:val="fr-FR"/>
        </w:rPr>
        <w:t>n</w:t>
      </w:r>
      <w:r w:rsidRPr="00BD103A">
        <w:rPr>
          <w:vertAlign w:val="superscript"/>
          <w:lang w:val="fr-FR"/>
        </w:rPr>
        <w:t>o</w:t>
      </w:r>
      <w:r>
        <w:rPr>
          <w:lang w:val="fr-FR"/>
        </w:rPr>
        <w:t> </w:t>
      </w:r>
      <w:r w:rsidR="00A73F28" w:rsidRPr="00CD5CB2">
        <w:rPr>
          <w:lang w:val="fr-FR"/>
        </w:rPr>
        <w:t>26 (Saillies extérieures des voitures particulières) (point 3 de l</w:t>
      </w:r>
      <w:r w:rsidR="00A73F28">
        <w:rPr>
          <w:lang w:val="fr-FR"/>
        </w:rPr>
        <w:t>’</w:t>
      </w:r>
      <w:r w:rsidR="00A73F28" w:rsidRPr="00CD5CB2">
        <w:rPr>
          <w:lang w:val="fr-FR"/>
        </w:rPr>
        <w:t>ordre du jour)</w:t>
      </w:r>
    </w:p>
    <w:p w14:paraId="674342A0" w14:textId="77777777" w:rsidR="00A73F28" w:rsidRPr="00DD1D4D" w:rsidRDefault="000D0A30" w:rsidP="00033CC9">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sidRPr="00033CC9">
        <w:tab/>
        <w:t>ECE/TRANS/WP.29/GRSG/2019/2</w:t>
      </w:r>
      <w:r w:rsidR="00033CC9" w:rsidRPr="00033CC9">
        <w:br/>
      </w:r>
      <w:r w:rsidR="00A73F28" w:rsidRPr="00033CC9">
        <w:t>ECE/TRANS/WP.29/GRSG/2019/11</w:t>
      </w:r>
      <w:r w:rsidR="00033CC9" w:rsidRPr="00033CC9">
        <w:br/>
      </w:r>
      <w:r w:rsidR="00A73F28">
        <w:rPr>
          <w:lang w:val="fr-FR"/>
        </w:rPr>
        <w:t>Document informel GRSG-116-34</w:t>
      </w:r>
      <w:r w:rsidR="00033CC9">
        <w:rPr>
          <w:lang w:val="fr-FR"/>
        </w:rPr>
        <w:t>.</w:t>
      </w:r>
    </w:p>
    <w:p w14:paraId="1A5FEBCA" w14:textId="77777777" w:rsidR="00A73F28" w:rsidRPr="00DD1D4D" w:rsidRDefault="00A73F28" w:rsidP="00033CC9">
      <w:pPr>
        <w:pStyle w:val="SingleTxtG"/>
      </w:pPr>
      <w:r>
        <w:rPr>
          <w:lang w:val="fr-FR"/>
        </w:rPr>
        <w:t>13.</w:t>
      </w:r>
      <w:r>
        <w:rPr>
          <w:lang w:val="fr-FR"/>
        </w:rPr>
        <w:tab/>
        <w:t>Le GRSG a fait sienne la demande de l’OICA de renvoyer le document ECE/TRANS/WP.29/GRSG/2019/2 à la prochaine session du GRSG.</w:t>
      </w:r>
    </w:p>
    <w:p w14:paraId="6CE55AEE" w14:textId="77777777" w:rsidR="00A73F28" w:rsidRPr="00DD1D4D" w:rsidRDefault="00A73F28" w:rsidP="00033CC9">
      <w:pPr>
        <w:pStyle w:val="SingleTxtG"/>
      </w:pPr>
      <w:r>
        <w:rPr>
          <w:lang w:val="fr-FR"/>
        </w:rPr>
        <w:t>14.</w:t>
      </w:r>
      <w:r>
        <w:rPr>
          <w:lang w:val="fr-FR"/>
        </w:rPr>
        <w:tab/>
        <w:t xml:space="preserve">L’expert de la France a présenté le document ECE/TRANS/WP.29/GRSG/2019/11, qui précise les prescriptions applicables aux </w:t>
      </w:r>
      <w:r w:rsidR="00033CC9">
        <w:rPr>
          <w:lang w:val="fr-FR"/>
        </w:rPr>
        <w:t>essuie-glaces</w:t>
      </w:r>
      <w:r>
        <w:rPr>
          <w:lang w:val="fr-FR"/>
        </w:rPr>
        <w:t xml:space="preserve"> au moyen d’un simple dessin générique des zones concernées. L’expert du Royaume-Uni a dit ne pas appuyer cette proposition en raison de l’ajout d’exigences supplémentaires. L’expert de la CLEPA a présenté le document GRSG-116-34, qui montrait que plus de cinquante pour cent des types de véhicules seraient concernés par les amendements proposés par la France. Il a suggéré de faire de cette proposition une nouvelle série d’amendements assortie de dispositions transitoires. L’experte de l’OICA s’est interrogée sur la nécessité de cet amendement et a demandé des éléments de preuve supplémentaires, tels que des données accidentologiques.</w:t>
      </w:r>
    </w:p>
    <w:p w14:paraId="35DE3F4B" w14:textId="77777777" w:rsidR="00A73F28" w:rsidRPr="00DD1D4D" w:rsidRDefault="00A73F28" w:rsidP="00033CC9">
      <w:pPr>
        <w:pStyle w:val="SingleTxtG"/>
      </w:pPr>
      <w:r>
        <w:rPr>
          <w:lang w:val="fr-FR"/>
        </w:rPr>
        <w:t>15.</w:t>
      </w:r>
      <w:r>
        <w:rPr>
          <w:lang w:val="fr-FR"/>
        </w:rPr>
        <w:tab/>
        <w:t xml:space="preserve">Le GRSG a décidé de reprendre les débats à sa prochaine session sur la base d’un document officiel révisé. Le Président a invité les experts de la France, de la CLEPA et de l’OICA à soumettre en temps voulu une proposition conjointe portant sur une nouvelle série d’amendements au Règlement ONU </w:t>
      </w:r>
      <w:r w:rsidR="00033CC9">
        <w:rPr>
          <w:lang w:val="fr-FR"/>
        </w:rPr>
        <w:t>n</w:t>
      </w:r>
      <w:r w:rsidR="00033CC9" w:rsidRPr="00BD103A">
        <w:rPr>
          <w:vertAlign w:val="superscript"/>
          <w:lang w:val="fr-FR"/>
        </w:rPr>
        <w:t>o</w:t>
      </w:r>
      <w:r w:rsidR="00033CC9">
        <w:rPr>
          <w:lang w:val="fr-FR"/>
        </w:rPr>
        <w:t> </w:t>
      </w:r>
      <w:r>
        <w:rPr>
          <w:lang w:val="fr-FR"/>
        </w:rPr>
        <w:t>26, y compris des dispositions transitoires et des exemptions si nécessaire.</w:t>
      </w:r>
    </w:p>
    <w:p w14:paraId="2A2EEA34" w14:textId="77777777" w:rsidR="00A73F28" w:rsidRPr="00DD1D4D" w:rsidRDefault="00033CC9" w:rsidP="00033CC9">
      <w:pPr>
        <w:pStyle w:val="HChG"/>
      </w:pPr>
      <w:r>
        <w:rPr>
          <w:lang w:val="fr-FR"/>
        </w:rPr>
        <w:tab/>
      </w:r>
      <w:r w:rsidR="00A73F28">
        <w:rPr>
          <w:lang w:val="fr-FR"/>
        </w:rPr>
        <w:t>V.</w:t>
      </w:r>
      <w:r w:rsidR="00A73F28">
        <w:rPr>
          <w:lang w:val="fr-FR"/>
        </w:rPr>
        <w:tab/>
        <w:t xml:space="preserve">Règlement ONU </w:t>
      </w:r>
      <w:r>
        <w:rPr>
          <w:lang w:val="fr-FR"/>
        </w:rPr>
        <w:t>n</w:t>
      </w:r>
      <w:r w:rsidRPr="00BD103A">
        <w:rPr>
          <w:vertAlign w:val="superscript"/>
          <w:lang w:val="fr-FR"/>
        </w:rPr>
        <w:t>o</w:t>
      </w:r>
      <w:r>
        <w:rPr>
          <w:lang w:val="fr-FR"/>
        </w:rPr>
        <w:t> </w:t>
      </w:r>
      <w:r w:rsidR="00A73F28">
        <w:rPr>
          <w:lang w:val="fr-FR"/>
        </w:rPr>
        <w:t>34 (Prévention des incendies)</w:t>
      </w:r>
      <w:r>
        <w:rPr>
          <w:lang w:val="fr-FR"/>
        </w:rPr>
        <w:br/>
      </w:r>
      <w:r w:rsidR="00A73F28">
        <w:rPr>
          <w:lang w:val="fr-FR"/>
        </w:rPr>
        <w:t>(point 4 de l’ordre du jour)</w:t>
      </w:r>
    </w:p>
    <w:p w14:paraId="64DB8B14" w14:textId="77777777" w:rsidR="00A73F28" w:rsidRPr="00DD1D4D" w:rsidRDefault="00A73F28" w:rsidP="00033CC9">
      <w:pPr>
        <w:pStyle w:val="SingleTxtG"/>
      </w:pPr>
      <w:r>
        <w:rPr>
          <w:lang w:val="fr-FR"/>
        </w:rPr>
        <w:t>16.</w:t>
      </w:r>
      <w:r>
        <w:rPr>
          <w:lang w:val="fr-FR"/>
        </w:rPr>
        <w:tab/>
        <w:t xml:space="preserve">L’expert de la CE a informé le GRSG qu’il préparerait des amendements au Règlement ONU </w:t>
      </w:r>
      <w:r w:rsidR="00033CC9">
        <w:rPr>
          <w:lang w:val="fr-FR"/>
        </w:rPr>
        <w:t>n</w:t>
      </w:r>
      <w:r w:rsidR="00033CC9" w:rsidRPr="00BD103A">
        <w:rPr>
          <w:vertAlign w:val="superscript"/>
          <w:lang w:val="fr-FR"/>
        </w:rPr>
        <w:t>o</w:t>
      </w:r>
      <w:r w:rsidR="00033CC9">
        <w:rPr>
          <w:lang w:val="fr-FR"/>
        </w:rPr>
        <w:t> </w:t>
      </w:r>
      <w:r>
        <w:rPr>
          <w:lang w:val="fr-FR"/>
        </w:rPr>
        <w:t>34 sur les essais de choc arrière, à la suite de la révision du Règlement général de sécurité (GSR) de l’Union européenne visant à protéger les conducteurs/passagers/piétons et les cyclistes, en deux étapes</w:t>
      </w:r>
      <w:r w:rsidR="00033CC9">
        <w:rPr>
          <w:lang w:val="fr-FR"/>
        </w:rPr>
        <w:t> </w:t>
      </w:r>
      <w:r>
        <w:rPr>
          <w:lang w:val="fr-FR"/>
        </w:rPr>
        <w:t>: a)</w:t>
      </w:r>
      <w:r w:rsidR="00033CC9">
        <w:rPr>
          <w:lang w:val="fr-FR"/>
        </w:rPr>
        <w:t> </w:t>
      </w:r>
      <w:r>
        <w:rPr>
          <w:lang w:val="fr-FR"/>
        </w:rPr>
        <w:t>élargir le champ d’application à d’autres catégories de véhicules et b)</w:t>
      </w:r>
      <w:r w:rsidR="00033CC9">
        <w:rPr>
          <w:lang w:val="fr-FR"/>
        </w:rPr>
        <w:t> </w:t>
      </w:r>
      <w:r>
        <w:rPr>
          <w:lang w:val="fr-FR"/>
        </w:rPr>
        <w:t>inclure de nouvelles dispositions concernant les performances après impact des véhicules électriques. Il s’est demandé si la deuxième partie du Règlement ONU sur l’homologation des véhicules, consacrée à la prévention des risques d’incendie en cas de collision, relevait de la responsabilité du GRSG ou du Groupe de travail de la sécurité passive (GRSP).</w:t>
      </w:r>
    </w:p>
    <w:p w14:paraId="55737553" w14:textId="77777777" w:rsidR="00A73F28" w:rsidRPr="00DD1D4D" w:rsidRDefault="00A73F28" w:rsidP="00033CC9">
      <w:pPr>
        <w:pStyle w:val="SingleTxtG"/>
      </w:pPr>
      <w:r>
        <w:rPr>
          <w:lang w:val="fr-FR"/>
        </w:rPr>
        <w:t>17.</w:t>
      </w:r>
      <w:r>
        <w:rPr>
          <w:lang w:val="fr-FR"/>
        </w:rPr>
        <w:tab/>
        <w:t>Le GRSG s’est félicité de l’approche en deux étapes adoptée par l’expert de la CE. Dans la deuxième étape, le GRSG a décidé d’insérer de nouvelles dispositions relatives à la sécurité des véhicules électriques sur la base des prescriptions existantes figurant dans les Règlements ONU n</w:t>
      </w:r>
      <w:r w:rsidRPr="00033CC9">
        <w:rPr>
          <w:vertAlign w:val="superscript"/>
          <w:lang w:val="fr-FR"/>
        </w:rPr>
        <w:t>o</w:t>
      </w:r>
      <w:r w:rsidR="00033CC9" w:rsidRPr="00033CC9">
        <w:rPr>
          <w:vertAlign w:val="superscript"/>
          <w:lang w:val="fr-FR"/>
        </w:rPr>
        <w:t>s</w:t>
      </w:r>
      <w:r w:rsidR="00033CC9">
        <w:rPr>
          <w:lang w:val="fr-FR"/>
        </w:rPr>
        <w:t> </w:t>
      </w:r>
      <w:r>
        <w:rPr>
          <w:lang w:val="fr-FR"/>
        </w:rPr>
        <w:t>94 et 95 et d’inclure des dispositions transitoires appropriées.</w:t>
      </w:r>
    </w:p>
    <w:p w14:paraId="4968E30B" w14:textId="77777777" w:rsidR="00A73F28" w:rsidRPr="00DD1D4D" w:rsidRDefault="00033CC9" w:rsidP="00033CC9">
      <w:pPr>
        <w:pStyle w:val="HChG"/>
      </w:pPr>
      <w:r>
        <w:rPr>
          <w:lang w:val="fr-FR"/>
        </w:rPr>
        <w:lastRenderedPageBreak/>
        <w:tab/>
      </w:r>
      <w:r w:rsidR="00A73F28">
        <w:rPr>
          <w:lang w:val="fr-FR"/>
        </w:rPr>
        <w:t>VI.</w:t>
      </w:r>
      <w:r w:rsidR="00A73F28">
        <w:rPr>
          <w:lang w:val="fr-FR"/>
        </w:rPr>
        <w:tab/>
        <w:t xml:space="preserve">Règlement ONU </w:t>
      </w:r>
      <w:r>
        <w:rPr>
          <w:lang w:val="fr-FR"/>
        </w:rPr>
        <w:t>n</w:t>
      </w:r>
      <w:r w:rsidRPr="00BD103A">
        <w:rPr>
          <w:vertAlign w:val="superscript"/>
          <w:lang w:val="fr-FR"/>
        </w:rPr>
        <w:t>o</w:t>
      </w:r>
      <w:r>
        <w:rPr>
          <w:lang w:val="fr-FR"/>
        </w:rPr>
        <w:t> </w:t>
      </w:r>
      <w:r w:rsidR="00A73F28">
        <w:rPr>
          <w:lang w:val="fr-FR"/>
        </w:rPr>
        <w:t>35 (Disposition des pédales de commande) (point 5 de l’ordre du jour)</w:t>
      </w:r>
    </w:p>
    <w:p w14:paraId="57DAFA6E" w14:textId="77777777" w:rsidR="00A73F28" w:rsidRPr="00DD1D4D" w:rsidRDefault="000D0A30" w:rsidP="00033CC9">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ECE/TRANS/WP.29/GRSG/2019/3</w:t>
      </w:r>
      <w:r w:rsidR="00033CC9">
        <w:rPr>
          <w:lang w:val="fr-FR"/>
        </w:rPr>
        <w:br/>
        <w:t xml:space="preserve">Document </w:t>
      </w:r>
      <w:r w:rsidR="00A73F28">
        <w:rPr>
          <w:lang w:val="fr-FR"/>
        </w:rPr>
        <w:t>informel GRSG-116-26-Rev.1</w:t>
      </w:r>
      <w:r w:rsidR="00033CC9">
        <w:rPr>
          <w:lang w:val="fr-FR"/>
        </w:rPr>
        <w:t>.</w:t>
      </w:r>
    </w:p>
    <w:p w14:paraId="06C63B36" w14:textId="77777777" w:rsidR="00A73F28" w:rsidRPr="00DD1D4D" w:rsidRDefault="00A73F28" w:rsidP="00033CC9">
      <w:pPr>
        <w:pStyle w:val="SingleTxtG"/>
      </w:pPr>
      <w:r>
        <w:rPr>
          <w:lang w:val="fr-FR"/>
        </w:rPr>
        <w:t>18.</w:t>
      </w:r>
      <w:r>
        <w:rPr>
          <w:lang w:val="fr-FR"/>
        </w:rPr>
        <w:tab/>
        <w:t>L’experte de l’OICA a présenté le document informel GRSG-116-26-Rev.1 remplaçant le document ECE/TRANS/WP.29/GRSG/2019/3, aux fins de préciser la méthode de mesure des distances latérales des pédales par rapport à la paroi la plus proche à gauche. Le GRSG a adopté le document ECE/TRANS/WP.29/GRSG/2019/3, tel que reproduit à l’annexe</w:t>
      </w:r>
      <w:r w:rsidR="00033CC9">
        <w:rPr>
          <w:lang w:val="fr-FR"/>
        </w:rPr>
        <w:t> </w:t>
      </w:r>
      <w:r>
        <w:rPr>
          <w:lang w:val="fr-FR"/>
        </w:rPr>
        <w:t>II du présent rapport. Le secrétariat a été chargé de soumettre la proposition au WP.29 et à l’AC.1, pour examen à leurs sessions de novembre 2019, en tant que projet de série 01 d’amendements au Règlement ONU n</w:t>
      </w:r>
      <w:r w:rsidRPr="00033CC9">
        <w:rPr>
          <w:vertAlign w:val="superscript"/>
          <w:lang w:val="fr-FR"/>
        </w:rPr>
        <w:t>o</w:t>
      </w:r>
      <w:r w:rsidR="00033CC9">
        <w:rPr>
          <w:lang w:val="fr-FR"/>
        </w:rPr>
        <w:t> </w:t>
      </w:r>
      <w:r>
        <w:rPr>
          <w:lang w:val="fr-FR"/>
        </w:rPr>
        <w:t>35.</w:t>
      </w:r>
    </w:p>
    <w:p w14:paraId="7DDA33A5" w14:textId="77777777" w:rsidR="00A73F28" w:rsidRPr="00DD1D4D" w:rsidRDefault="00033CC9" w:rsidP="00033CC9">
      <w:pPr>
        <w:pStyle w:val="HChG"/>
      </w:pPr>
      <w:r>
        <w:rPr>
          <w:lang w:val="fr-FR"/>
        </w:rPr>
        <w:tab/>
      </w:r>
      <w:r w:rsidR="00A73F28">
        <w:rPr>
          <w:lang w:val="fr-FR"/>
        </w:rPr>
        <w:t>VII.</w:t>
      </w:r>
      <w:r w:rsidR="00A73F28">
        <w:rPr>
          <w:lang w:val="fr-FR"/>
        </w:rPr>
        <w:tab/>
        <w:t xml:space="preserve">Amendements aux règlements relatifs aux vitrages </w:t>
      </w:r>
      <w:r>
        <w:rPr>
          <w:lang w:val="fr-FR"/>
        </w:rPr>
        <w:br/>
      </w:r>
      <w:r w:rsidR="00A73F28">
        <w:rPr>
          <w:lang w:val="fr-FR"/>
        </w:rPr>
        <w:t>de sécurité (point 6 de l’ordre du jour)</w:t>
      </w:r>
    </w:p>
    <w:p w14:paraId="36FC4783" w14:textId="77777777" w:rsidR="00A73F28" w:rsidRPr="00DD1D4D" w:rsidRDefault="000D0A30" w:rsidP="00033CC9">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Document informel GRSG-116-32.</w:t>
      </w:r>
    </w:p>
    <w:p w14:paraId="07504F20" w14:textId="77777777" w:rsidR="00A73F28" w:rsidRPr="00DD1D4D" w:rsidRDefault="00A73F28" w:rsidP="00033CC9">
      <w:pPr>
        <w:pStyle w:val="SingleTxtG"/>
      </w:pPr>
      <w:r>
        <w:rPr>
          <w:lang w:val="fr-FR"/>
        </w:rPr>
        <w:t>19.</w:t>
      </w:r>
      <w:r>
        <w:rPr>
          <w:lang w:val="fr-FR"/>
        </w:rPr>
        <w:tab/>
        <w:t>L’expert de la République de Corée et Président du groupe de travail informel des vitrages de toit panoramique a présenté le document GRSG-116-32, contenant les résultats de la onzième réunion du groupe qui s’est tenue le 1</w:t>
      </w:r>
      <w:r w:rsidRPr="00033CC9">
        <w:rPr>
          <w:vertAlign w:val="superscript"/>
          <w:lang w:val="fr-FR"/>
        </w:rPr>
        <w:t>er</w:t>
      </w:r>
      <w:r w:rsidR="00033CC9">
        <w:rPr>
          <w:lang w:val="fr-FR"/>
        </w:rPr>
        <w:t> </w:t>
      </w:r>
      <w:r>
        <w:rPr>
          <w:lang w:val="fr-FR"/>
        </w:rPr>
        <w:t>avril 2019. Le secrétaire du groupe de travail informel a déclaré que de nouvelles recherches avaient montré que les dimensions des zones de vitrage à impression céramique étaient très variables. Il a ajouté que le groupe de travail informel continuerait de travailler à un document de recommandation sur les zones de vitrage à impression céramique afin qu’il puisse être examiné à la prochaine session du GRSG en octobre 2019.</w:t>
      </w:r>
    </w:p>
    <w:p w14:paraId="2EF82CA2" w14:textId="77777777" w:rsidR="00A73F28" w:rsidRPr="00DD1D4D" w:rsidRDefault="00A73F28" w:rsidP="00033CC9">
      <w:pPr>
        <w:pStyle w:val="SingleTxtG"/>
        <w:rPr>
          <w:b/>
          <w:sz w:val="24"/>
        </w:rPr>
      </w:pPr>
      <w:r>
        <w:rPr>
          <w:lang w:val="fr-FR"/>
        </w:rPr>
        <w:t>20.</w:t>
      </w:r>
      <w:r>
        <w:rPr>
          <w:lang w:val="fr-FR"/>
        </w:rPr>
        <w:tab/>
        <w:t>Le GRSG s’est félicité des progrès accomplis par le groupe de travail informel des vitrages de toit panoramique et a décidé de reprendre les débats à sa prochaine session sur la base du projet de recommandation.</w:t>
      </w:r>
    </w:p>
    <w:p w14:paraId="01D50A90" w14:textId="77777777" w:rsidR="00A73F28" w:rsidRPr="00BB6B65" w:rsidRDefault="00033CC9" w:rsidP="00033CC9">
      <w:pPr>
        <w:pStyle w:val="H1G"/>
      </w:pPr>
      <w:r>
        <w:rPr>
          <w:lang w:val="fr-FR"/>
        </w:rPr>
        <w:tab/>
      </w:r>
      <w:r w:rsidR="00A73F28" w:rsidRPr="00BB6B65">
        <w:rPr>
          <w:lang w:val="fr-FR"/>
        </w:rPr>
        <w:t>A.</w:t>
      </w:r>
      <w:r w:rsidR="00A73F28" w:rsidRPr="00BB6B65">
        <w:rPr>
          <w:lang w:val="fr-FR"/>
        </w:rPr>
        <w:tab/>
        <w:t xml:space="preserve">Règlement technique mondial ONU </w:t>
      </w:r>
      <w:r>
        <w:rPr>
          <w:lang w:val="fr-FR"/>
        </w:rPr>
        <w:t>n</w:t>
      </w:r>
      <w:r w:rsidRPr="00BD103A">
        <w:rPr>
          <w:vertAlign w:val="superscript"/>
          <w:lang w:val="fr-FR"/>
        </w:rPr>
        <w:t>o</w:t>
      </w:r>
      <w:r>
        <w:rPr>
          <w:lang w:val="fr-FR"/>
        </w:rPr>
        <w:t> </w:t>
      </w:r>
      <w:r w:rsidR="00A73F28" w:rsidRPr="00BB6B65">
        <w:rPr>
          <w:lang w:val="fr-FR"/>
        </w:rPr>
        <w:t>6 (Vitrages de sécurité)</w:t>
      </w:r>
    </w:p>
    <w:p w14:paraId="6502E344" w14:textId="77777777" w:rsidR="00A73F28" w:rsidRPr="00DD1D4D" w:rsidRDefault="000D0A30" w:rsidP="00033CC9">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sidRPr="00BB6B65">
        <w:rPr>
          <w:i/>
          <w:lang w:val="fr-FR"/>
        </w:rPr>
        <w:tab/>
      </w:r>
      <w:r w:rsidR="00A73F28">
        <w:rPr>
          <w:lang w:val="fr-FR"/>
        </w:rPr>
        <w:t xml:space="preserve">ECE/TRANS/WP.29/GRSG/2019/4 </w:t>
      </w:r>
      <w:r w:rsidR="00033CC9">
        <w:rPr>
          <w:lang w:val="fr-FR"/>
        </w:rPr>
        <w:br/>
      </w:r>
      <w:r w:rsidR="00A73F28">
        <w:rPr>
          <w:lang w:val="fr-FR"/>
        </w:rPr>
        <w:t>Documents informels GRSG-116-30 et GRSG-116-31</w:t>
      </w:r>
      <w:r w:rsidR="00033CC9">
        <w:rPr>
          <w:lang w:val="fr-FR"/>
        </w:rPr>
        <w:t>.</w:t>
      </w:r>
    </w:p>
    <w:p w14:paraId="3AD5A74F" w14:textId="77777777" w:rsidR="00A73F28" w:rsidRPr="00DD1D4D" w:rsidRDefault="00A73F28" w:rsidP="00791B5A">
      <w:pPr>
        <w:pStyle w:val="SingleTxtG"/>
      </w:pPr>
      <w:r>
        <w:rPr>
          <w:lang w:val="fr-FR"/>
        </w:rPr>
        <w:t>21.</w:t>
      </w:r>
      <w:r>
        <w:rPr>
          <w:lang w:val="fr-FR"/>
        </w:rPr>
        <w:tab/>
        <w:t xml:space="preserve">L’expert de l’Inde a présenté le document ECE/TRANS/WP.29/GRSG/2019/4 visant à aligner le Règlement technique mondial (RTM) </w:t>
      </w:r>
      <w:r w:rsidR="005E77CE">
        <w:rPr>
          <w:lang w:val="fr-FR"/>
        </w:rPr>
        <w:t>de l’</w:t>
      </w:r>
      <w:r w:rsidR="00915B7D">
        <w:rPr>
          <w:lang w:val="fr-FR"/>
        </w:rPr>
        <w:t xml:space="preserve">ONU </w:t>
      </w:r>
      <w:r w:rsidR="0000258A">
        <w:rPr>
          <w:lang w:val="fr-FR"/>
        </w:rPr>
        <w:t>n</w:t>
      </w:r>
      <w:r w:rsidR="0000258A" w:rsidRPr="00BD103A">
        <w:rPr>
          <w:vertAlign w:val="superscript"/>
          <w:lang w:val="fr-FR"/>
        </w:rPr>
        <w:t>o</w:t>
      </w:r>
      <w:r w:rsidR="0000258A">
        <w:rPr>
          <w:lang w:val="fr-FR"/>
        </w:rPr>
        <w:t> </w:t>
      </w:r>
      <w:r>
        <w:rPr>
          <w:lang w:val="fr-FR"/>
        </w:rPr>
        <w:t xml:space="preserve">6 sur le Règlement ONU </w:t>
      </w:r>
      <w:r w:rsidR="0000258A">
        <w:rPr>
          <w:lang w:val="fr-FR"/>
        </w:rPr>
        <w:t>n</w:t>
      </w:r>
      <w:r w:rsidR="0000258A" w:rsidRPr="00BD103A">
        <w:rPr>
          <w:vertAlign w:val="superscript"/>
          <w:lang w:val="fr-FR"/>
        </w:rPr>
        <w:t>o</w:t>
      </w:r>
      <w:r w:rsidR="0000258A">
        <w:rPr>
          <w:lang w:val="fr-FR"/>
        </w:rPr>
        <w:t> </w:t>
      </w:r>
      <w:r>
        <w:rPr>
          <w:lang w:val="fr-FR"/>
        </w:rPr>
        <w:t xml:space="preserve">43 en ce qui concerne l’utilisation facultative de vitres en verre feuilleté ayant des propriétés mécaniques améliorées, en particulier pour </w:t>
      </w:r>
      <w:r w:rsidRPr="00107E98">
        <w:t>le vitrage extérieur orienté vers l</w:t>
      </w:r>
      <w:r>
        <w:t>’</w:t>
      </w:r>
      <w:r w:rsidRPr="00107E98">
        <w:t xml:space="preserve">avant </w:t>
      </w:r>
      <w:r>
        <w:rPr>
          <w:lang w:val="fr-FR"/>
        </w:rPr>
        <w:t>du niveau supérieur des véhicules à deux étages. L’expert de l’Allemagne a émis des réserves quant à la justification donnée dans le document.</w:t>
      </w:r>
    </w:p>
    <w:p w14:paraId="318058FE" w14:textId="77777777" w:rsidR="00A73F28" w:rsidRPr="00DD1D4D" w:rsidRDefault="00A73F28" w:rsidP="0000258A">
      <w:pPr>
        <w:pStyle w:val="SingleTxtG"/>
        <w:rPr>
          <w:spacing w:val="1"/>
        </w:rPr>
      </w:pPr>
      <w:r>
        <w:rPr>
          <w:lang w:val="fr-FR"/>
        </w:rPr>
        <w:t>22.</w:t>
      </w:r>
      <w:r>
        <w:rPr>
          <w:lang w:val="fr-FR"/>
        </w:rPr>
        <w:tab/>
        <w:t>L’expert de la République de Corée a présenté les documents GRSG-116-30 et GRSG-116-31 exposant la nécessité d’exempter dans la zone I le masque opaque éventuel défini au paragraphe</w:t>
      </w:r>
      <w:r w:rsidR="0000258A">
        <w:rPr>
          <w:lang w:val="fr-FR"/>
        </w:rPr>
        <w:t> </w:t>
      </w:r>
      <w:r>
        <w:rPr>
          <w:lang w:val="fr-FR"/>
        </w:rPr>
        <w:t xml:space="preserve">7.1.3.2.4 des annexes sur l’installation de vitres en verre feuilleté. L’expert de l’Allemagne a approuvé les amendements proposés, ajoutant que la zone devait être clairement définie. L’expert de la Finlande a affirmé qu’il était nécessaire d’apporter des amendements similaires au Règlement ONU </w:t>
      </w:r>
      <w:r w:rsidR="0000258A">
        <w:rPr>
          <w:lang w:val="fr-FR"/>
        </w:rPr>
        <w:t>n</w:t>
      </w:r>
      <w:r w:rsidR="0000258A" w:rsidRPr="00BD103A">
        <w:rPr>
          <w:vertAlign w:val="superscript"/>
          <w:lang w:val="fr-FR"/>
        </w:rPr>
        <w:t>o</w:t>
      </w:r>
      <w:r w:rsidR="0000258A">
        <w:rPr>
          <w:lang w:val="fr-FR"/>
        </w:rPr>
        <w:t> </w:t>
      </w:r>
      <w:r>
        <w:rPr>
          <w:lang w:val="fr-FR"/>
        </w:rPr>
        <w:t>43.</w:t>
      </w:r>
    </w:p>
    <w:p w14:paraId="23E2D334" w14:textId="77777777" w:rsidR="00A73F28" w:rsidRPr="00DD1D4D" w:rsidRDefault="00A73F28" w:rsidP="0000258A">
      <w:pPr>
        <w:pStyle w:val="SingleTxtG"/>
      </w:pPr>
      <w:r>
        <w:rPr>
          <w:lang w:val="fr-FR"/>
        </w:rPr>
        <w:t>23.</w:t>
      </w:r>
      <w:r>
        <w:rPr>
          <w:lang w:val="fr-FR"/>
        </w:rPr>
        <w:tab/>
        <w:t xml:space="preserve">Le GRSG a décidé de reprendre l’examen de cette question à sa session d’octobre 2019. Les experts de l’Allemagne et de l’Inde se sont portés volontaires pour établir des documents officiels révisés à cette fin. L’expert de l’Inde a également proposé d’examiner l’autorisation d’élaborer l’amendement 2 au RTM </w:t>
      </w:r>
      <w:r w:rsidR="00915B7D">
        <w:rPr>
          <w:lang w:val="fr-FR"/>
        </w:rPr>
        <w:t xml:space="preserve">ONU </w:t>
      </w:r>
      <w:r w:rsidR="0000258A">
        <w:rPr>
          <w:lang w:val="fr-FR"/>
        </w:rPr>
        <w:t>n</w:t>
      </w:r>
      <w:r w:rsidR="0000258A" w:rsidRPr="00BD103A">
        <w:rPr>
          <w:vertAlign w:val="superscript"/>
          <w:lang w:val="fr-FR"/>
        </w:rPr>
        <w:t>o</w:t>
      </w:r>
      <w:r w:rsidR="0000258A">
        <w:rPr>
          <w:lang w:val="fr-FR"/>
        </w:rPr>
        <w:t> </w:t>
      </w:r>
      <w:r>
        <w:rPr>
          <w:lang w:val="fr-FR"/>
        </w:rPr>
        <w:t>6 et d’assurer le suivi de la procédure nécessaire lors des prochaines sessions du Comité exécutif AC.3 de l’Accord de 1998.</w:t>
      </w:r>
    </w:p>
    <w:p w14:paraId="4FCD3DF1" w14:textId="77777777" w:rsidR="00A73F28" w:rsidRPr="00107E98" w:rsidRDefault="0000258A" w:rsidP="0000258A">
      <w:pPr>
        <w:pStyle w:val="H1G"/>
      </w:pPr>
      <w:r>
        <w:rPr>
          <w:lang w:val="fr-FR"/>
        </w:rPr>
        <w:lastRenderedPageBreak/>
        <w:tab/>
      </w:r>
      <w:r w:rsidR="00A73F28" w:rsidRPr="00107E98">
        <w:rPr>
          <w:lang w:val="fr-FR"/>
        </w:rPr>
        <w:t>B.</w:t>
      </w:r>
      <w:r w:rsidR="00A73F28" w:rsidRPr="00107E98">
        <w:rPr>
          <w:lang w:val="fr-FR"/>
        </w:rPr>
        <w:tab/>
        <w:t xml:space="preserve">Règlement ONU </w:t>
      </w:r>
      <w:r>
        <w:rPr>
          <w:lang w:val="fr-FR"/>
        </w:rPr>
        <w:t>n</w:t>
      </w:r>
      <w:r w:rsidRPr="00BD103A">
        <w:rPr>
          <w:vertAlign w:val="superscript"/>
          <w:lang w:val="fr-FR"/>
        </w:rPr>
        <w:t>o</w:t>
      </w:r>
      <w:r>
        <w:rPr>
          <w:lang w:val="fr-FR"/>
        </w:rPr>
        <w:t> </w:t>
      </w:r>
      <w:r w:rsidR="00A73F28" w:rsidRPr="00107E98">
        <w:rPr>
          <w:lang w:val="fr-FR"/>
        </w:rPr>
        <w:t>43 (Vitrages de sécurité)</w:t>
      </w:r>
    </w:p>
    <w:p w14:paraId="0FCE2E68" w14:textId="77777777" w:rsidR="00A73F28" w:rsidRPr="00DD1D4D" w:rsidRDefault="000D0A30" w:rsidP="00033CC9">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ECE/TRANS/WP.29/GRSG/2019/5</w:t>
      </w:r>
      <w:r w:rsidR="0000258A">
        <w:rPr>
          <w:lang w:val="fr-FR"/>
        </w:rPr>
        <w:t>.</w:t>
      </w:r>
    </w:p>
    <w:p w14:paraId="73D6F5D0" w14:textId="77777777" w:rsidR="00A73F28" w:rsidRPr="00DD1D4D" w:rsidRDefault="00A73F28" w:rsidP="00B706E7">
      <w:pPr>
        <w:pStyle w:val="SingleTxtG"/>
        <w:rPr>
          <w:spacing w:val="1"/>
        </w:rPr>
      </w:pPr>
      <w:r>
        <w:rPr>
          <w:lang w:val="fr-FR"/>
        </w:rPr>
        <w:t>24.</w:t>
      </w:r>
      <w:r>
        <w:rPr>
          <w:lang w:val="fr-FR"/>
        </w:rPr>
        <w:tab/>
        <w:t>L’expert de la France a présenté le document ECE/TRANS/WP.29/GRSG/2019/5, qui vise à préciser les prescriptions d’essai relatives à la résistance à l’abrasion et à la simulation de vieillissement dans l’annexe</w:t>
      </w:r>
      <w:r w:rsidR="00B706E7">
        <w:rPr>
          <w:lang w:val="fr-FR"/>
        </w:rPr>
        <w:t> </w:t>
      </w:r>
      <w:r>
        <w:rPr>
          <w:lang w:val="fr-FR"/>
        </w:rPr>
        <w:t>3.</w:t>
      </w:r>
    </w:p>
    <w:p w14:paraId="18A128F2" w14:textId="77777777" w:rsidR="00A73F28" w:rsidRPr="00DD1D4D" w:rsidRDefault="00A73F28" w:rsidP="00B706E7">
      <w:pPr>
        <w:pStyle w:val="SingleTxtG"/>
        <w:rPr>
          <w:spacing w:val="1"/>
        </w:rPr>
      </w:pPr>
      <w:r>
        <w:rPr>
          <w:lang w:val="fr-FR"/>
        </w:rPr>
        <w:t>25.</w:t>
      </w:r>
      <w:r>
        <w:rPr>
          <w:lang w:val="fr-FR"/>
        </w:rPr>
        <w:tab/>
        <w:t>Le Groupe de travail a adopté le document ECE/TRANS/WP.29/GRSG/2019/5 et a demandé au secrétariat de le soumettre au Forum mondial et à l’AC.1 en tant que projet de complément 9 à la série 01 d’amendements au Règlement</w:t>
      </w:r>
      <w:r w:rsidR="00186651">
        <w:rPr>
          <w:lang w:val="fr-FR"/>
        </w:rPr>
        <w:t xml:space="preserve"> ONU</w:t>
      </w:r>
      <w:r>
        <w:rPr>
          <w:lang w:val="fr-FR"/>
        </w:rPr>
        <w:t xml:space="preserve"> </w:t>
      </w:r>
      <w:r w:rsidR="00B706E7">
        <w:rPr>
          <w:lang w:val="fr-FR"/>
        </w:rPr>
        <w:t>n</w:t>
      </w:r>
      <w:r w:rsidR="00B706E7" w:rsidRPr="00BD103A">
        <w:rPr>
          <w:vertAlign w:val="superscript"/>
          <w:lang w:val="fr-FR"/>
        </w:rPr>
        <w:t>o</w:t>
      </w:r>
      <w:r w:rsidR="00B706E7">
        <w:rPr>
          <w:lang w:val="fr-FR"/>
        </w:rPr>
        <w:t> </w:t>
      </w:r>
      <w:r>
        <w:rPr>
          <w:lang w:val="fr-FR"/>
        </w:rPr>
        <w:t>43 pour examen à leurs sessions de novembre 2019.</w:t>
      </w:r>
    </w:p>
    <w:p w14:paraId="79AC9378" w14:textId="77777777" w:rsidR="00A73F28" w:rsidRPr="00DD1D4D" w:rsidRDefault="00B706E7" w:rsidP="00B706E7">
      <w:pPr>
        <w:pStyle w:val="HChG"/>
      </w:pPr>
      <w:r>
        <w:rPr>
          <w:lang w:val="fr-FR"/>
        </w:rPr>
        <w:tab/>
      </w:r>
      <w:r w:rsidR="00A73F28">
        <w:rPr>
          <w:lang w:val="fr-FR"/>
        </w:rPr>
        <w:t>VIII.</w:t>
      </w:r>
      <w:r w:rsidR="00A73F28">
        <w:rPr>
          <w:lang w:val="fr-FR"/>
        </w:rPr>
        <w:tab/>
        <w:t>Détection de la présence d’usagers de la route vulnérables (point 7 de l’ordre du jour)</w:t>
      </w:r>
    </w:p>
    <w:p w14:paraId="6CA24E57" w14:textId="77777777" w:rsidR="00A73F28" w:rsidRPr="00DD1D4D" w:rsidRDefault="000D0A30" w:rsidP="00033CC9">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Documents informels GRSG-116-14 et GRSG-116-38.</w:t>
      </w:r>
    </w:p>
    <w:p w14:paraId="29A4413D" w14:textId="77777777" w:rsidR="00A73F28" w:rsidRPr="00DD1D4D" w:rsidRDefault="00A73F28" w:rsidP="00B706E7">
      <w:pPr>
        <w:pStyle w:val="SingleTxtG"/>
      </w:pPr>
      <w:r>
        <w:rPr>
          <w:lang w:val="fr-FR"/>
        </w:rPr>
        <w:t>26.</w:t>
      </w:r>
      <w:r>
        <w:rPr>
          <w:lang w:val="fr-FR"/>
        </w:rPr>
        <w:tab/>
        <w:t xml:space="preserve">L’expert de la Suisse a rendu compte de la récente réunion de l’Équipe spéciale des avertisseurs de marche arrière dans le cadre du Groupe de travail du bruit et des pneumatiques (GRBP) (GRSG-116-14). Il a ajouté que l’Équipe spéciale avait proposé des amendements concernant une </w:t>
      </w:r>
      <w:r w:rsidR="00B706E7">
        <w:rPr>
          <w:lang w:val="fr-FR"/>
        </w:rPr>
        <w:t>« </w:t>
      </w:r>
      <w:r>
        <w:rPr>
          <w:lang w:val="fr-FR"/>
        </w:rPr>
        <w:t>commande de pause</w:t>
      </w:r>
      <w:r w:rsidR="00B706E7">
        <w:rPr>
          <w:lang w:val="fr-FR"/>
        </w:rPr>
        <w:t> »</w:t>
      </w:r>
      <w:r>
        <w:rPr>
          <w:lang w:val="fr-FR"/>
        </w:rPr>
        <w:t xml:space="preserve"> pour les dispositifs sonores d’avertissement de marche arrière qui serait autorisée si d’autres dispositifs de sécurité (par exemple, les systèmes de surveillance par caméra) étaient activés. Le GRSG s’est félicité de ces informations et est convenu de la nécessité de coordonner cette question entre le GRBP et le GRSG pour éviter une réglementation excessive de ces dispositifs. Le Président a invité le groupe de travail informel de la détection de la présence d’usagers de la route vulnérables lors des manœuvres à faible vitesse (VRU-Proxi) à examiner plus avant cette question et à faire rapport au GRSG à sa prochaine session en octobre 2019.</w:t>
      </w:r>
    </w:p>
    <w:p w14:paraId="1D678EB7" w14:textId="77777777" w:rsidR="00A73F28" w:rsidRPr="00DD1D4D" w:rsidRDefault="00A73F28" w:rsidP="00B706E7">
      <w:pPr>
        <w:pStyle w:val="SingleTxtG"/>
        <w:keepNext/>
      </w:pPr>
      <w:r>
        <w:rPr>
          <w:lang w:val="fr-FR"/>
        </w:rPr>
        <w:t>27.</w:t>
      </w:r>
      <w:r>
        <w:rPr>
          <w:lang w:val="fr-FR"/>
        </w:rPr>
        <w:tab/>
        <w:t>Le GRSG a pris note du document GRSG-116-38 présenté par le groupe de travail informel, qui propose de corriger le paragraphe</w:t>
      </w:r>
      <w:r w:rsidR="00B706E7">
        <w:rPr>
          <w:lang w:val="fr-FR"/>
        </w:rPr>
        <w:t> </w:t>
      </w:r>
      <w:r>
        <w:rPr>
          <w:lang w:val="fr-FR"/>
        </w:rPr>
        <w:t>4</w:t>
      </w:r>
      <w:r w:rsidR="00B706E7">
        <w:rPr>
          <w:lang w:val="fr-FR"/>
        </w:rPr>
        <w:t> </w:t>
      </w:r>
      <w:r>
        <w:rPr>
          <w:lang w:val="fr-FR"/>
        </w:rPr>
        <w:t>b) de son mandat. L’experte de l’OICA a souligné que cette modification obligerait le groupe de travail informel à développer deux réglementations en parallèle</w:t>
      </w:r>
      <w:r w:rsidR="00B706E7">
        <w:rPr>
          <w:lang w:val="fr-FR"/>
        </w:rPr>
        <w:t> </w:t>
      </w:r>
      <w:r>
        <w:rPr>
          <w:lang w:val="fr-FR"/>
        </w:rPr>
        <w:t>: a)</w:t>
      </w:r>
      <w:r w:rsidR="00B706E7">
        <w:rPr>
          <w:lang w:val="fr-FR"/>
        </w:rPr>
        <w:t> </w:t>
      </w:r>
      <w:r>
        <w:rPr>
          <w:lang w:val="fr-FR"/>
        </w:rPr>
        <w:t>en cas de déplacement vers l’avant et b)</w:t>
      </w:r>
      <w:r w:rsidR="00B706E7">
        <w:rPr>
          <w:lang w:val="fr-FR"/>
        </w:rPr>
        <w:t> </w:t>
      </w:r>
      <w:r>
        <w:rPr>
          <w:lang w:val="fr-FR"/>
        </w:rPr>
        <w:t>en cas de déplacement en marche arrière. Le GRSG a approuvé la proposition suivante</w:t>
      </w:r>
      <w:r w:rsidR="00B706E7">
        <w:rPr>
          <w:lang w:val="fr-FR"/>
        </w:rPr>
        <w:t> </w:t>
      </w:r>
      <w:r>
        <w:rPr>
          <w:lang w:val="fr-FR"/>
        </w:rPr>
        <w:t>:</w:t>
      </w:r>
    </w:p>
    <w:p w14:paraId="28DAB5E2" w14:textId="77777777" w:rsidR="00A73F28" w:rsidRPr="00DD1D4D" w:rsidRDefault="00A73F28" w:rsidP="00A136CC">
      <w:pPr>
        <w:pStyle w:val="SingleTxtG"/>
      </w:pPr>
      <w:r w:rsidRPr="00FE2BBF">
        <w:rPr>
          <w:i/>
          <w:lang w:val="fr-FR"/>
        </w:rPr>
        <w:t>Rapport ECE/TRANS/WP.29/GRSG/92, annexe</w:t>
      </w:r>
      <w:r w:rsidR="00A136CC">
        <w:rPr>
          <w:i/>
          <w:lang w:val="fr-FR"/>
        </w:rPr>
        <w:t> </w:t>
      </w:r>
      <w:r w:rsidRPr="00FE2BBF">
        <w:rPr>
          <w:i/>
          <w:lang w:val="fr-FR"/>
        </w:rPr>
        <w:t>III, paragraphe</w:t>
      </w:r>
      <w:r w:rsidR="00A136CC">
        <w:rPr>
          <w:i/>
          <w:lang w:val="fr-FR"/>
        </w:rPr>
        <w:t> </w:t>
      </w:r>
      <w:r w:rsidRPr="00FE2BBF">
        <w:rPr>
          <w:i/>
          <w:lang w:val="fr-FR"/>
        </w:rPr>
        <w:t>4</w:t>
      </w:r>
      <w:r w:rsidR="00A136CC">
        <w:rPr>
          <w:i/>
          <w:lang w:val="fr-FR"/>
        </w:rPr>
        <w:t> </w:t>
      </w:r>
      <w:r w:rsidRPr="00FE2BBF">
        <w:rPr>
          <w:i/>
          <w:lang w:val="fr-FR"/>
        </w:rPr>
        <w:t>b)</w:t>
      </w:r>
      <w:r>
        <w:rPr>
          <w:lang w:val="fr-FR"/>
        </w:rPr>
        <w:t>, modifier comme suit</w:t>
      </w:r>
      <w:r w:rsidR="00A136CC">
        <w:rPr>
          <w:lang w:val="fr-FR"/>
        </w:rPr>
        <w:t> </w:t>
      </w:r>
      <w:r>
        <w:rPr>
          <w:lang w:val="fr-FR"/>
        </w:rPr>
        <w:t>:</w:t>
      </w:r>
    </w:p>
    <w:p w14:paraId="698069CE" w14:textId="77777777" w:rsidR="00A73F28" w:rsidRPr="00DD1D4D" w:rsidRDefault="00A136CC" w:rsidP="00A136CC">
      <w:pPr>
        <w:pStyle w:val="SingleTxtG"/>
      </w:pPr>
      <w:r>
        <w:rPr>
          <w:lang w:val="fr-FR"/>
        </w:rPr>
        <w:t>« </w:t>
      </w:r>
      <w:r w:rsidR="00A73F28">
        <w:rPr>
          <w:lang w:val="fr-FR"/>
        </w:rPr>
        <w:t>4.</w:t>
      </w:r>
      <w:r w:rsidR="00A73F28">
        <w:rPr>
          <w:lang w:val="fr-FR"/>
        </w:rPr>
        <w:tab/>
        <w:t>Date prévue d’achèvement des tâches</w:t>
      </w:r>
      <w:r>
        <w:rPr>
          <w:lang w:val="fr-FR"/>
        </w:rPr>
        <w:t> </w:t>
      </w:r>
      <w:r w:rsidR="00A73F28">
        <w:rPr>
          <w:lang w:val="fr-FR"/>
        </w:rPr>
        <w:t>: ...</w:t>
      </w:r>
    </w:p>
    <w:p w14:paraId="7E67E158" w14:textId="77777777" w:rsidR="00A73F28" w:rsidRPr="00DD1D4D" w:rsidRDefault="00A73F28" w:rsidP="00953D0B">
      <w:pPr>
        <w:pStyle w:val="SingleTxtG"/>
        <w:ind w:left="2268" w:hanging="567"/>
        <w:rPr>
          <w:lang w:eastAsia="ar-SA"/>
        </w:rPr>
      </w:pPr>
      <w:r w:rsidRPr="00DD1D4D">
        <w:rPr>
          <w:lang w:eastAsia="ar-SA"/>
        </w:rPr>
        <w:t>……</w:t>
      </w:r>
    </w:p>
    <w:p w14:paraId="723CE12E" w14:textId="77777777" w:rsidR="00A73F28" w:rsidRPr="00DD1D4D" w:rsidRDefault="00A73F28" w:rsidP="00A136CC">
      <w:pPr>
        <w:pStyle w:val="SingleTxtG"/>
        <w:ind w:left="2268" w:hanging="567"/>
      </w:pPr>
      <w:r>
        <w:rPr>
          <w:lang w:val="fr-FR"/>
        </w:rPr>
        <w:t>b)</w:t>
      </w:r>
      <w:r>
        <w:rPr>
          <w:lang w:val="fr-FR"/>
        </w:rPr>
        <w:tab/>
        <w:t xml:space="preserve">Marche arrière </w:t>
      </w:r>
      <w:r w:rsidRPr="00FE2BBF">
        <w:rPr>
          <w:lang w:val="fr-FR"/>
        </w:rPr>
        <w:t>(</w:t>
      </w:r>
      <w:r w:rsidRPr="00FE2BBF">
        <w:t>notamment systèmes de vision ou de détection indirecte</w:t>
      </w:r>
      <w:r w:rsidRPr="00FE2BBF">
        <w:rPr>
          <w:lang w:val="fr-FR"/>
        </w:rPr>
        <w:t>)</w:t>
      </w:r>
      <w:r w:rsidR="00A136CC">
        <w:rPr>
          <w:lang w:val="fr-FR"/>
        </w:rPr>
        <w:t> </w:t>
      </w:r>
      <w:r w:rsidRPr="00FE2BBF">
        <w:rPr>
          <w:lang w:val="fr-FR"/>
        </w:rPr>
        <w:t xml:space="preserve">: </w:t>
      </w:r>
      <w:r w:rsidRPr="00FE2BBF">
        <w:rPr>
          <w:b/>
          <w:lang w:val="fr-FR"/>
        </w:rPr>
        <w:t>118</w:t>
      </w:r>
      <w:r w:rsidRPr="00A136CC">
        <w:rPr>
          <w:b/>
          <w:vertAlign w:val="superscript"/>
          <w:lang w:val="fr-FR"/>
        </w:rPr>
        <w:t>e</w:t>
      </w:r>
      <w:r w:rsidR="00A136CC">
        <w:rPr>
          <w:lang w:val="fr-FR"/>
        </w:rPr>
        <w:t> </w:t>
      </w:r>
      <w:r>
        <w:rPr>
          <w:lang w:val="fr-FR"/>
        </w:rPr>
        <w:t xml:space="preserve">session du GRSG (avril </w:t>
      </w:r>
      <w:r w:rsidRPr="00FE2BBF">
        <w:rPr>
          <w:b/>
          <w:lang w:val="fr-FR"/>
        </w:rPr>
        <w:t>2020</w:t>
      </w:r>
      <w:r>
        <w:rPr>
          <w:lang w:val="fr-FR"/>
        </w:rPr>
        <w:t>)</w:t>
      </w:r>
      <w:r w:rsidR="00A136CC">
        <w:rPr>
          <w:lang w:val="fr-FR"/>
        </w:rPr>
        <w:t> </w:t>
      </w:r>
      <w:r>
        <w:rPr>
          <w:lang w:val="fr-FR"/>
        </w:rPr>
        <w:t>;</w:t>
      </w:r>
      <w:r w:rsidR="00A136CC">
        <w:rPr>
          <w:lang w:val="fr-FR"/>
        </w:rPr>
        <w:t> ».</w:t>
      </w:r>
    </w:p>
    <w:p w14:paraId="2497976D" w14:textId="77777777" w:rsidR="00A73F28" w:rsidRPr="00FE2BBF" w:rsidRDefault="005E57B4" w:rsidP="005E57B4">
      <w:pPr>
        <w:pStyle w:val="H1G"/>
      </w:pPr>
      <w:r>
        <w:rPr>
          <w:lang w:val="fr-FR"/>
        </w:rPr>
        <w:tab/>
      </w:r>
      <w:r w:rsidR="00A73F28" w:rsidRPr="00FE2BBF">
        <w:rPr>
          <w:lang w:val="fr-FR"/>
        </w:rPr>
        <w:t>A.</w:t>
      </w:r>
      <w:r w:rsidR="00A73F28" w:rsidRPr="00FE2BBF">
        <w:rPr>
          <w:lang w:val="fr-FR"/>
        </w:rPr>
        <w:tab/>
        <w:t xml:space="preserve">Règlement ONU </w:t>
      </w:r>
      <w:r>
        <w:rPr>
          <w:lang w:val="fr-FR"/>
        </w:rPr>
        <w:t>n</w:t>
      </w:r>
      <w:r w:rsidRPr="00BD103A">
        <w:rPr>
          <w:vertAlign w:val="superscript"/>
          <w:lang w:val="fr-FR"/>
        </w:rPr>
        <w:t>o</w:t>
      </w:r>
      <w:r>
        <w:rPr>
          <w:lang w:val="fr-FR"/>
        </w:rPr>
        <w:t> </w:t>
      </w:r>
      <w:r w:rsidR="00A73F28" w:rsidRPr="00FE2BBF">
        <w:rPr>
          <w:lang w:val="fr-FR"/>
        </w:rPr>
        <w:t>46 (Systèmes de vision indirecte)</w:t>
      </w:r>
    </w:p>
    <w:p w14:paraId="6698F1DC" w14:textId="77777777" w:rsidR="00A73F28" w:rsidRPr="00DD1D4D" w:rsidRDefault="000D0A30" w:rsidP="005E57B4">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sidRPr="00FE2BBF">
        <w:rPr>
          <w:i/>
          <w:lang w:val="fr-FR"/>
        </w:rPr>
        <w:tab/>
      </w:r>
      <w:r w:rsidR="00A73F28">
        <w:rPr>
          <w:lang w:val="fr-FR"/>
        </w:rPr>
        <w:t>ECE/TRANS/WP.29/GRSG/2019/10</w:t>
      </w:r>
      <w:r w:rsidR="005E57B4">
        <w:rPr>
          <w:lang w:val="fr-FR"/>
        </w:rPr>
        <w:br/>
        <w:t>D</w:t>
      </w:r>
      <w:r w:rsidR="00A73F28">
        <w:rPr>
          <w:lang w:val="fr-FR"/>
        </w:rPr>
        <w:t>ocuments informels GRSG-116-03, GRSG-116-04, GRSG-116-20, GRSG-116-27-Rev.1, GRSG-116-36 et GRSG-116-37</w:t>
      </w:r>
      <w:r w:rsidR="005E57B4">
        <w:rPr>
          <w:lang w:val="fr-FR"/>
        </w:rPr>
        <w:t>.</w:t>
      </w:r>
    </w:p>
    <w:p w14:paraId="148366C8" w14:textId="77777777" w:rsidR="00A73F28" w:rsidRPr="00DD1D4D" w:rsidRDefault="00A73F28" w:rsidP="005E57B4">
      <w:pPr>
        <w:pStyle w:val="SingleTxtG"/>
      </w:pPr>
      <w:r>
        <w:rPr>
          <w:lang w:val="fr-FR"/>
        </w:rPr>
        <w:t>28.</w:t>
      </w:r>
      <w:r>
        <w:rPr>
          <w:lang w:val="fr-FR"/>
        </w:rPr>
        <w:tab/>
        <w:t xml:space="preserve">L’expert de la Commission européenne, Président du groupe de travail informel sur la détection de la présence d’usagers de la route vulnérables, a rendu compte de la décision du groupe de retirer le document ECE/TRANS/WP.29/GRSG/2019/10, qui traitait d’une nouvelle série 05 d’amendements au Règlement </w:t>
      </w:r>
      <w:r w:rsidR="005E57B4">
        <w:rPr>
          <w:lang w:val="fr-FR"/>
        </w:rPr>
        <w:t>ONU n</w:t>
      </w:r>
      <w:r w:rsidR="005E57B4" w:rsidRPr="00BD103A">
        <w:rPr>
          <w:vertAlign w:val="superscript"/>
          <w:lang w:val="fr-FR"/>
        </w:rPr>
        <w:t>o</w:t>
      </w:r>
      <w:r w:rsidR="005E57B4">
        <w:rPr>
          <w:lang w:val="fr-FR"/>
        </w:rPr>
        <w:t> </w:t>
      </w:r>
      <w:r>
        <w:rPr>
          <w:lang w:val="fr-FR"/>
        </w:rPr>
        <w:t xml:space="preserve">46, et de soumettre à la place un nouveau projet de </w:t>
      </w:r>
      <w:r w:rsidR="005E57B4">
        <w:rPr>
          <w:lang w:val="fr-FR"/>
        </w:rPr>
        <w:t xml:space="preserve">règlement </w:t>
      </w:r>
      <w:r>
        <w:rPr>
          <w:lang w:val="fr-FR"/>
        </w:rPr>
        <w:t xml:space="preserve">ONU sur les dispositifs utilisables en marche arrière et sur la sensibilisation des conducteurs à la présence possible d’usagers vulnérables derrière le véhicule (GRSG-116-36). Il a ajouté que le nouveau </w:t>
      </w:r>
      <w:r w:rsidR="005E57B4">
        <w:rPr>
          <w:lang w:val="fr-FR"/>
        </w:rPr>
        <w:t xml:space="preserve">Règlement </w:t>
      </w:r>
      <w:r>
        <w:rPr>
          <w:lang w:val="fr-FR"/>
        </w:rPr>
        <w:t xml:space="preserve">ONU couvrirait un champ d’application plus large, incluant les dispositifs de vision directe et indirecte et autres dispositifs de détection. Il a demandé l’avis du GRSG sur cette nouvelle approche du groupe de travail informel. Le GRSG a pris note des demandes de l’Italie et de la Suède tendant à ce que ces dispositifs soient également appliqués aux véhicules incomplets et, si </w:t>
      </w:r>
      <w:r>
        <w:rPr>
          <w:lang w:val="fr-FR"/>
        </w:rPr>
        <w:lastRenderedPageBreak/>
        <w:t>possible, à ce qu’ils soient déjà pris en compte dans le système de l’homologation de type internationale de l’ensemble du véhicule (IWVTA). Le GRSG a approuvé cette nouvelle proposition.</w:t>
      </w:r>
    </w:p>
    <w:p w14:paraId="100AC2AD" w14:textId="77777777" w:rsidR="00A73F28" w:rsidRPr="00DD1D4D" w:rsidRDefault="00A73F28" w:rsidP="005E57B4">
      <w:pPr>
        <w:pStyle w:val="SingleTxtG"/>
      </w:pPr>
      <w:r>
        <w:rPr>
          <w:lang w:val="fr-FR"/>
        </w:rPr>
        <w:t>29.</w:t>
      </w:r>
      <w:r>
        <w:rPr>
          <w:lang w:val="fr-FR"/>
        </w:rPr>
        <w:tab/>
        <w:t>Le Président du groupe de travail informel a annoncé que celui-ci réexaminerait son mandat dans l’optique de proroger d’une année supplémentaire sa mission axée sur l’élaboration d’un système de sécurité en marche arrière et de faire distribuer, si possible, le nouveau projet de règlement ONU comme document officiel, pour examen par le GRSG à sa prochaine session.</w:t>
      </w:r>
    </w:p>
    <w:p w14:paraId="07DB2D49" w14:textId="77777777" w:rsidR="00A73F28" w:rsidRPr="00DD1D4D" w:rsidRDefault="00A73F28" w:rsidP="005E57B4">
      <w:pPr>
        <w:pStyle w:val="SingleTxtG"/>
        <w:rPr>
          <w:szCs w:val="24"/>
        </w:rPr>
      </w:pPr>
      <w:r>
        <w:rPr>
          <w:lang w:val="fr-FR"/>
        </w:rPr>
        <w:t>30.</w:t>
      </w:r>
      <w:r>
        <w:rPr>
          <w:lang w:val="fr-FR"/>
        </w:rPr>
        <w:tab/>
        <w:t>Le GRSG a salué le travail accompli et a noté que la prochaine réunion du groupe de travail informel se tiendrait à Berlin (Allemagne) du 17 au 19</w:t>
      </w:r>
      <w:r w:rsidR="005E57B4">
        <w:rPr>
          <w:lang w:val="fr-FR"/>
        </w:rPr>
        <w:t> </w:t>
      </w:r>
      <w:r>
        <w:rPr>
          <w:lang w:val="fr-FR"/>
        </w:rPr>
        <w:t>juin 2019.</w:t>
      </w:r>
    </w:p>
    <w:p w14:paraId="7E64F31A" w14:textId="77777777" w:rsidR="00A73F28" w:rsidRPr="00DD1D4D" w:rsidRDefault="00A73F28" w:rsidP="005E57B4">
      <w:pPr>
        <w:pStyle w:val="SingleTxtG"/>
        <w:rPr>
          <w:szCs w:val="24"/>
        </w:rPr>
      </w:pPr>
      <w:r>
        <w:rPr>
          <w:lang w:val="fr-FR"/>
        </w:rPr>
        <w:t>31.</w:t>
      </w:r>
      <w:r>
        <w:rPr>
          <w:lang w:val="fr-FR"/>
        </w:rPr>
        <w:tab/>
        <w:t xml:space="preserve">L’expert de l’Allemagne a présenté le document GRSG-116-04 sur les différentes interprétations, par les autorités d’homologation de type, des dispositions du Règlement ONU </w:t>
      </w:r>
      <w:r w:rsidR="005E57B4">
        <w:rPr>
          <w:lang w:val="fr-FR"/>
        </w:rPr>
        <w:t>n</w:t>
      </w:r>
      <w:r w:rsidR="005E57B4" w:rsidRPr="00BD103A">
        <w:rPr>
          <w:vertAlign w:val="superscript"/>
          <w:lang w:val="fr-FR"/>
        </w:rPr>
        <w:t>o</w:t>
      </w:r>
      <w:r w:rsidR="005E57B4">
        <w:rPr>
          <w:lang w:val="fr-FR"/>
        </w:rPr>
        <w:t> </w:t>
      </w:r>
      <w:r>
        <w:rPr>
          <w:lang w:val="fr-FR"/>
        </w:rPr>
        <w:t>46 concernant une éventuelle modification automatique du champ de vision du conducteur pendant la conduite (à la demande du conducteur). Il a demandé l’avis du GRSG sur la nécessité de modifier le Règlement</w:t>
      </w:r>
      <w:r w:rsidR="005E57B4">
        <w:rPr>
          <w:lang w:val="fr-FR"/>
        </w:rPr>
        <w:t xml:space="preserve"> ONU</w:t>
      </w:r>
      <w:r>
        <w:rPr>
          <w:lang w:val="fr-FR"/>
        </w:rPr>
        <w:t xml:space="preserve"> </w:t>
      </w:r>
      <w:r w:rsidR="005E57B4">
        <w:rPr>
          <w:lang w:val="fr-FR"/>
        </w:rPr>
        <w:t>n</w:t>
      </w:r>
      <w:r w:rsidR="005E57B4" w:rsidRPr="00BD103A">
        <w:rPr>
          <w:vertAlign w:val="superscript"/>
          <w:lang w:val="fr-FR"/>
        </w:rPr>
        <w:t>o</w:t>
      </w:r>
      <w:r w:rsidR="005E57B4">
        <w:rPr>
          <w:lang w:val="fr-FR"/>
        </w:rPr>
        <w:t> </w:t>
      </w:r>
      <w:r>
        <w:rPr>
          <w:lang w:val="fr-FR"/>
        </w:rPr>
        <w:t>46 en conséquence. L’expert de la France a appuyé un amendement visant à autoriser les dispositifs qui permettent de modifier le champ de vision du conducteur.</w:t>
      </w:r>
    </w:p>
    <w:p w14:paraId="01CF2562" w14:textId="77777777" w:rsidR="00A73F28" w:rsidRPr="00DD1D4D" w:rsidRDefault="00A73F28" w:rsidP="005E57B4">
      <w:pPr>
        <w:pStyle w:val="SingleTxtG"/>
        <w:rPr>
          <w:szCs w:val="24"/>
        </w:rPr>
      </w:pPr>
      <w:r>
        <w:rPr>
          <w:lang w:val="fr-FR"/>
        </w:rPr>
        <w:t>32.</w:t>
      </w:r>
      <w:r>
        <w:rPr>
          <w:lang w:val="fr-FR"/>
        </w:rPr>
        <w:tab/>
        <w:t xml:space="preserve">L’expert de l’Allemagne a présenté le document GRSG-116-20 visant à modifier les dispositions relatives à l’homologation et à l’installation de dispositifs de vision indirecte permettant une modification temporaire du champ de vision à bord des véhicules automobiles. Un exposé (GRSG-116-37) a également justifié la nécessité de modifier le Règlement </w:t>
      </w:r>
      <w:r w:rsidR="00DB127F">
        <w:rPr>
          <w:lang w:val="fr-FR"/>
        </w:rPr>
        <w:t xml:space="preserve">ONU </w:t>
      </w:r>
      <w:r>
        <w:rPr>
          <w:lang w:val="fr-FR"/>
        </w:rPr>
        <w:t>concerné et a montré le gain de sécurité obtenu grâce à des dispositifs de traitement de l’image utilisant le grossissement ou jouant sur la résolution. Le GRSG a salué le document GRSG-116-20 et a pris note de plusieurs observations faites par les experts du Canada, de la France, de la Suède et de la CE sur la nécessité de clarifier cette proposition. L’expert du Japon a émis une réserve pour complément d’étude, estimant que les dispositions actuelles du règlement couvraient déjà ces dispositifs et qu’un amendement était superflu. Le GRSG a finalement décidé de reprendre l’examen du document GRSG</w:t>
      </w:r>
      <w:r w:rsidR="00DB127F">
        <w:rPr>
          <w:lang w:val="fr-FR"/>
        </w:rPr>
        <w:noBreakHyphen/>
      </w:r>
      <w:r>
        <w:rPr>
          <w:lang w:val="fr-FR"/>
        </w:rPr>
        <w:t>116-20 à sa prochaine session, sur la base d’un document officiel. À cette fin, le Président a invité l’expert de l’Allemagne à soumettre en temps opportun une version actualisée de la proposition tenant compte des observations reçues.</w:t>
      </w:r>
    </w:p>
    <w:p w14:paraId="02D9DAAD" w14:textId="77777777" w:rsidR="00A73F28" w:rsidRPr="00DD1D4D" w:rsidRDefault="00A73F28" w:rsidP="005E57B4">
      <w:pPr>
        <w:pStyle w:val="SingleTxtG"/>
        <w:rPr>
          <w:szCs w:val="24"/>
        </w:rPr>
      </w:pPr>
      <w:r>
        <w:rPr>
          <w:lang w:val="fr-FR"/>
        </w:rPr>
        <w:t>33.</w:t>
      </w:r>
      <w:r>
        <w:rPr>
          <w:lang w:val="fr-FR"/>
        </w:rPr>
        <w:tab/>
        <w:t>L’experte de l’OICA a présenté le document GRSG-116-27 dont l’objet est de préciser les dispositions relatives au champ de vision indirecte qui sont requises pour les différentes classes de dispositifs, en particulier en ce qui concerne la nécessité de séparer les différents champs de vision et d’indiquer au conducteur les variations de grossissement. Tout en se disant favorable à la proposition, l’expert de l’Allemagne a demandé que soit ajoutée une phrase indiquant que les lignes d’indication ne devaient pas cacher des informations. Notant l’adhésion générale en faveur de la proposition ainsi révisée, le GRSG a décidé de reprendre l’examen de cette question à sa session suivante et a demandé au secrétariat de distribuer le document GRSG-116-</w:t>
      </w:r>
      <w:r w:rsidR="00DB127F">
        <w:rPr>
          <w:lang w:val="fr-FR"/>
        </w:rPr>
        <w:t>27-</w:t>
      </w:r>
      <w:r>
        <w:rPr>
          <w:lang w:val="fr-FR"/>
        </w:rPr>
        <w:t>Rev.1 sous une cote officielle. Le GRSG a pris note du document GRSG-116-03, qui renvoie à la norme ISO</w:t>
      </w:r>
      <w:r w:rsidR="005E57B4">
        <w:rPr>
          <w:lang w:val="fr-FR"/>
        </w:rPr>
        <w:t> </w:t>
      </w:r>
      <w:r>
        <w:rPr>
          <w:lang w:val="fr-FR"/>
        </w:rPr>
        <w:t>17386.</w:t>
      </w:r>
    </w:p>
    <w:p w14:paraId="7AA6C98E" w14:textId="77777777" w:rsidR="00A73F28" w:rsidRPr="00447EB4" w:rsidRDefault="005E57B4" w:rsidP="005E57B4">
      <w:pPr>
        <w:pStyle w:val="H1G"/>
      </w:pPr>
      <w:r>
        <w:rPr>
          <w:lang w:val="fr-FR"/>
        </w:rPr>
        <w:tab/>
      </w:r>
      <w:r w:rsidR="00A73F28" w:rsidRPr="00447EB4">
        <w:rPr>
          <w:lang w:val="fr-FR"/>
        </w:rPr>
        <w:t>B.</w:t>
      </w:r>
      <w:r w:rsidR="00A73F28" w:rsidRPr="00447EB4">
        <w:rPr>
          <w:lang w:val="fr-FR"/>
        </w:rPr>
        <w:tab/>
        <w:t>Nouveau règlement ONU sur les systèmes de surveillance</w:t>
      </w:r>
      <w:r w:rsidR="00A73F28">
        <w:rPr>
          <w:lang w:val="fr-FR"/>
        </w:rPr>
        <w:t xml:space="preserve"> </w:t>
      </w:r>
      <w:r>
        <w:rPr>
          <w:lang w:val="fr-FR"/>
        </w:rPr>
        <w:br/>
      </w:r>
      <w:r w:rsidR="00A73F28" w:rsidRPr="00447EB4">
        <w:rPr>
          <w:lang w:val="fr-FR"/>
        </w:rPr>
        <w:t>de l</w:t>
      </w:r>
      <w:r w:rsidR="00A73F28">
        <w:rPr>
          <w:lang w:val="fr-FR"/>
        </w:rPr>
        <w:t>’</w:t>
      </w:r>
      <w:r w:rsidR="00A73F28" w:rsidRPr="00447EB4">
        <w:rPr>
          <w:lang w:val="fr-FR"/>
        </w:rPr>
        <w:t>angle mort (BSIS)</w:t>
      </w:r>
    </w:p>
    <w:p w14:paraId="6B8F51F4" w14:textId="77777777" w:rsidR="00A73F28" w:rsidRPr="00DD1D4D" w:rsidRDefault="00A73F28" w:rsidP="005E57B4">
      <w:pPr>
        <w:pStyle w:val="SingleTxtG"/>
      </w:pPr>
      <w:r>
        <w:rPr>
          <w:lang w:val="fr-FR"/>
        </w:rPr>
        <w:t>34.</w:t>
      </w:r>
      <w:r>
        <w:rPr>
          <w:lang w:val="fr-FR"/>
        </w:rPr>
        <w:tab/>
        <w:t>Le GRSG a noté que le nouveau projet de règlement ONU sur le BSIS avait été adopté par le WP.29 à sa session de mars 2019 et qu’il devrait entrer en vigueur en octobre 2019. Le GRSG a décidé de reprendre à sa prochaine session l’examen d’un champ d’application élargi et de nouvelles dispositions.</w:t>
      </w:r>
    </w:p>
    <w:p w14:paraId="7447DC46" w14:textId="77777777" w:rsidR="00A73F28" w:rsidRPr="00447EB4" w:rsidRDefault="005E57B4" w:rsidP="005E57B4">
      <w:pPr>
        <w:pStyle w:val="HChG"/>
      </w:pPr>
      <w:r>
        <w:rPr>
          <w:lang w:val="fr-FR"/>
        </w:rPr>
        <w:lastRenderedPageBreak/>
        <w:tab/>
      </w:r>
      <w:r w:rsidR="00A73F28" w:rsidRPr="00447EB4">
        <w:rPr>
          <w:lang w:val="fr-FR"/>
        </w:rPr>
        <w:t>IX.</w:t>
      </w:r>
      <w:r w:rsidR="00A73F28" w:rsidRPr="00447EB4">
        <w:rPr>
          <w:lang w:val="fr-FR"/>
        </w:rPr>
        <w:tab/>
        <w:t xml:space="preserve">Règlement ONU </w:t>
      </w:r>
      <w:r>
        <w:rPr>
          <w:lang w:val="fr-FR"/>
        </w:rPr>
        <w:t>n</w:t>
      </w:r>
      <w:r w:rsidRPr="00BD103A">
        <w:rPr>
          <w:vertAlign w:val="superscript"/>
          <w:lang w:val="fr-FR"/>
        </w:rPr>
        <w:t>o</w:t>
      </w:r>
      <w:r>
        <w:rPr>
          <w:lang w:val="fr-FR"/>
        </w:rPr>
        <w:t> </w:t>
      </w:r>
      <w:r w:rsidR="00A73F28" w:rsidRPr="00447EB4">
        <w:rPr>
          <w:lang w:val="fr-FR"/>
        </w:rPr>
        <w:t>55 (Pièces mécaniques d</w:t>
      </w:r>
      <w:r w:rsidR="00A73F28">
        <w:rPr>
          <w:lang w:val="fr-FR"/>
        </w:rPr>
        <w:t>’</w:t>
      </w:r>
      <w:r w:rsidR="00A73F28" w:rsidRPr="00447EB4">
        <w:rPr>
          <w:lang w:val="fr-FR"/>
        </w:rPr>
        <w:t>attelage)</w:t>
      </w:r>
      <w:r>
        <w:rPr>
          <w:lang w:val="fr-FR"/>
        </w:rPr>
        <w:br/>
      </w:r>
      <w:r w:rsidR="00A73F28" w:rsidRPr="00447EB4">
        <w:rPr>
          <w:lang w:val="fr-FR"/>
        </w:rPr>
        <w:t>(point 8 de l</w:t>
      </w:r>
      <w:r w:rsidR="00A73F28">
        <w:rPr>
          <w:lang w:val="fr-FR"/>
        </w:rPr>
        <w:t>’</w:t>
      </w:r>
      <w:r w:rsidR="00A73F28" w:rsidRPr="00447EB4">
        <w:rPr>
          <w:lang w:val="fr-FR"/>
        </w:rPr>
        <w:t>ordre du jour)</w:t>
      </w:r>
    </w:p>
    <w:p w14:paraId="03DA5328" w14:textId="77777777" w:rsidR="00A73F28" w:rsidRPr="00DD1D4D" w:rsidRDefault="000D0A30" w:rsidP="005E57B4">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sidRPr="005E57B4">
        <w:tab/>
        <w:t>ECE/TRANS/WP.29/GRSG/2019/6</w:t>
      </w:r>
      <w:r w:rsidR="005E57B4" w:rsidRPr="005E57B4">
        <w:br/>
      </w:r>
      <w:r w:rsidR="00A73F28" w:rsidRPr="005E57B4">
        <w:t>ECE/TRANS/WP.29/GRSG/2019/12</w:t>
      </w:r>
      <w:r w:rsidR="005E57B4">
        <w:br/>
      </w:r>
      <w:r w:rsidR="00A73F28">
        <w:rPr>
          <w:lang w:val="fr-FR"/>
        </w:rPr>
        <w:t>Document informel GRSG-116-33.</w:t>
      </w:r>
    </w:p>
    <w:p w14:paraId="69B4E465" w14:textId="77777777" w:rsidR="00A73F28" w:rsidRPr="00DD1D4D" w:rsidRDefault="00A73F28" w:rsidP="005E57B4">
      <w:pPr>
        <w:pStyle w:val="SingleTxtG"/>
      </w:pPr>
      <w:r>
        <w:rPr>
          <w:lang w:val="fr-FR"/>
        </w:rPr>
        <w:t>35.</w:t>
      </w:r>
      <w:r>
        <w:rPr>
          <w:lang w:val="fr-FR"/>
        </w:rPr>
        <w:tab/>
        <w:t>L’expert de la CE a présenté le document ECE/TRANS/WP.29/GRSG/2019/6, ayant pour objet d’actualiser les dispositions relatives aux attelages mécaniques amovibles montés sur les véhicules automobiles, s’agissant en particulier de fournir des informations claires au conducteur. Il a ajouté qu’il ne s’agissait pas, avec cette proposition, de rendre les prescriptions techniques plus sévères, mais plutôt de fournir au conducteur des informations appropriées dans le manuel du constructeur à l’usage des utilisateurs, concernant l’utilisation des dispositifs d’attelage mécaniques amovibles ou repositionnables. L’experte de l’OICA a fait observer qu’en vertu de l’Accord de 1958, le manuel de l’utilisateur n’était pas encore une obligation. Certains experts se sont ralliés à cette position. L’experte de la Fédération de Russie a fait savoir qu’elle préférerait que cette proposition débouche sur une nouvelle série d’amendements. L’expert de la CE s’est porté volontaire pour établir un document officiel révisé à soumettre à l’examen du GRSG à sa prochaine session.</w:t>
      </w:r>
    </w:p>
    <w:p w14:paraId="5BAADFBD" w14:textId="77777777" w:rsidR="00A73F28" w:rsidRPr="00DD1D4D" w:rsidRDefault="00A73F28" w:rsidP="005E57B4">
      <w:pPr>
        <w:pStyle w:val="SingleTxtG"/>
      </w:pPr>
      <w:r>
        <w:rPr>
          <w:lang w:val="fr-FR"/>
        </w:rPr>
        <w:t>36.</w:t>
      </w:r>
      <w:r>
        <w:rPr>
          <w:lang w:val="fr-FR"/>
        </w:rPr>
        <w:tab/>
        <w:t>L’expert de la France a présenté le document ECE/TRANS/WP.29/GRSG/2019/12 visant à modifier le libellé du document de communication relatif à l’homologation d’un dispositif ou d’un composant. Le GRSG a adopté cette proposition et a demandé au secrétariat de la soumettre au Forum mondial et à l’AC.1 en tant que projet de complément</w:t>
      </w:r>
      <w:r w:rsidR="005E57B4">
        <w:rPr>
          <w:lang w:val="fr-FR"/>
        </w:rPr>
        <w:t> </w:t>
      </w:r>
      <w:r>
        <w:rPr>
          <w:lang w:val="fr-FR"/>
        </w:rPr>
        <w:t xml:space="preserve">8 à la série 01 d’amendements au Règlement ONU </w:t>
      </w:r>
      <w:r w:rsidR="005E57B4">
        <w:rPr>
          <w:lang w:val="fr-FR"/>
        </w:rPr>
        <w:t>n</w:t>
      </w:r>
      <w:r w:rsidR="005E57B4" w:rsidRPr="00BD103A">
        <w:rPr>
          <w:vertAlign w:val="superscript"/>
          <w:lang w:val="fr-FR"/>
        </w:rPr>
        <w:t>o</w:t>
      </w:r>
      <w:r w:rsidR="005E57B4">
        <w:rPr>
          <w:lang w:val="fr-FR"/>
        </w:rPr>
        <w:t> </w:t>
      </w:r>
      <w:r>
        <w:rPr>
          <w:lang w:val="fr-FR"/>
        </w:rPr>
        <w:t xml:space="preserve">55, pour examen à leurs sessions de </w:t>
      </w:r>
      <w:r w:rsidR="0059385E">
        <w:rPr>
          <w:lang w:val="fr-FR"/>
        </w:rPr>
        <w:t>novembre</w:t>
      </w:r>
      <w:r>
        <w:rPr>
          <w:lang w:val="fr-FR"/>
        </w:rPr>
        <w:t xml:space="preserve"> 2019.</w:t>
      </w:r>
    </w:p>
    <w:p w14:paraId="455648D3" w14:textId="77777777" w:rsidR="00A73F28" w:rsidRPr="00DD1D4D" w:rsidRDefault="00A73F28" w:rsidP="005E57B4">
      <w:pPr>
        <w:pStyle w:val="SingleTxtG"/>
        <w:rPr>
          <w:szCs w:val="24"/>
        </w:rPr>
      </w:pPr>
      <w:r>
        <w:rPr>
          <w:lang w:val="fr-FR"/>
        </w:rPr>
        <w:t>37.</w:t>
      </w:r>
      <w:r>
        <w:rPr>
          <w:lang w:val="fr-FR"/>
        </w:rPr>
        <w:tab/>
        <w:t>L’expert de la Pologne a présenté le document GRSG-116-33, qui vise à éclaircir un point concernant l’application des dispositions de l’annexe</w:t>
      </w:r>
      <w:r w:rsidR="005E57B4">
        <w:rPr>
          <w:lang w:val="fr-FR"/>
        </w:rPr>
        <w:t> </w:t>
      </w:r>
      <w:r>
        <w:rPr>
          <w:lang w:val="fr-FR"/>
        </w:rPr>
        <w:t>1 au Règlement ONU. Le</w:t>
      </w:r>
      <w:r w:rsidR="005E57B4">
        <w:rPr>
          <w:lang w:val="fr-FR"/>
        </w:rPr>
        <w:t> </w:t>
      </w:r>
      <w:r>
        <w:rPr>
          <w:lang w:val="fr-FR"/>
        </w:rPr>
        <w:t>Groupe de travail a pris note des préoccupations diverses suscitées par cette proposition. L’expert de la CE a proposé d’examiner le texte proposé en tenant compte des observations reçues et d’inclure un libellé révisé dans un document officiel (voir par.</w:t>
      </w:r>
      <w:r w:rsidR="005E57B4">
        <w:rPr>
          <w:lang w:val="fr-FR"/>
        </w:rPr>
        <w:t> </w:t>
      </w:r>
      <w:r>
        <w:rPr>
          <w:lang w:val="fr-FR"/>
        </w:rPr>
        <w:t>35 ci-dessus). Le</w:t>
      </w:r>
      <w:r w:rsidR="005E57B4">
        <w:rPr>
          <w:lang w:val="fr-FR"/>
        </w:rPr>
        <w:t> </w:t>
      </w:r>
      <w:r>
        <w:rPr>
          <w:lang w:val="fr-FR"/>
        </w:rPr>
        <w:t>GRSG a accueilli favorablement cette proposition et a décidé de reprendre l’examen de cette question à sa prochaine session.</w:t>
      </w:r>
    </w:p>
    <w:p w14:paraId="1A34A776" w14:textId="77777777" w:rsidR="00A73F28" w:rsidRPr="00DD1D4D" w:rsidRDefault="005E57B4" w:rsidP="005E57B4">
      <w:pPr>
        <w:pStyle w:val="HChG"/>
      </w:pPr>
      <w:r>
        <w:rPr>
          <w:lang w:val="fr-FR"/>
        </w:rPr>
        <w:tab/>
      </w:r>
      <w:r w:rsidR="00A73F28">
        <w:rPr>
          <w:lang w:val="fr-FR"/>
        </w:rPr>
        <w:t>X.</w:t>
      </w:r>
      <w:r w:rsidR="00A73F28">
        <w:rPr>
          <w:lang w:val="fr-FR"/>
        </w:rPr>
        <w:tab/>
        <w:t>Amendements aux règlements concernant les véhicules fonctionnant au gaz (point 9 de l’ordre du jour)</w:t>
      </w:r>
    </w:p>
    <w:p w14:paraId="7109276A" w14:textId="77777777" w:rsidR="00A73F28" w:rsidRPr="002B751F" w:rsidRDefault="005E57B4" w:rsidP="005E57B4">
      <w:pPr>
        <w:pStyle w:val="H1G"/>
      </w:pPr>
      <w:r>
        <w:rPr>
          <w:lang w:val="fr-FR"/>
        </w:rPr>
        <w:tab/>
      </w:r>
      <w:r w:rsidR="00A73F28" w:rsidRPr="002B751F">
        <w:rPr>
          <w:lang w:val="fr-FR"/>
        </w:rPr>
        <w:t>A.</w:t>
      </w:r>
      <w:r w:rsidR="00A73F28" w:rsidRPr="002B751F">
        <w:rPr>
          <w:lang w:val="fr-FR"/>
        </w:rPr>
        <w:tab/>
        <w:t xml:space="preserve">Règlement ONU </w:t>
      </w:r>
      <w:r>
        <w:rPr>
          <w:lang w:val="fr-FR"/>
        </w:rPr>
        <w:t>n</w:t>
      </w:r>
      <w:r w:rsidRPr="00BD103A">
        <w:rPr>
          <w:vertAlign w:val="superscript"/>
          <w:lang w:val="fr-FR"/>
        </w:rPr>
        <w:t>o</w:t>
      </w:r>
      <w:r>
        <w:rPr>
          <w:lang w:val="fr-FR"/>
        </w:rPr>
        <w:t> </w:t>
      </w:r>
      <w:r w:rsidR="00A73F28" w:rsidRPr="002B751F">
        <w:rPr>
          <w:lang w:val="fr-FR"/>
        </w:rPr>
        <w:t>67 (Véhicules alimentés au GPL)</w:t>
      </w:r>
    </w:p>
    <w:p w14:paraId="073A0DA4" w14:textId="77777777" w:rsidR="00A73F28" w:rsidRPr="00DD1D4D" w:rsidRDefault="000D0A30" w:rsidP="005E57B4">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sidRPr="005E57B4">
        <w:tab/>
        <w:t>ECE/TRANS/WP.29/GRSG/2017/22</w:t>
      </w:r>
      <w:r w:rsidR="005E57B4">
        <w:br/>
      </w:r>
      <w:r w:rsidR="00A73F28" w:rsidRPr="005E57B4">
        <w:t>ECE/TRANS/WP.29/GRSG/2018/2</w:t>
      </w:r>
      <w:r w:rsidR="005E57B4">
        <w:br/>
        <w:t>D</w:t>
      </w:r>
      <w:r w:rsidR="00A73F28">
        <w:rPr>
          <w:lang w:val="fr-FR"/>
        </w:rPr>
        <w:t>ocuments informels GRSG-116-05-Rev.1, GRSG-116-35-Rev.1</w:t>
      </w:r>
      <w:r w:rsidR="005E57B4">
        <w:rPr>
          <w:lang w:val="fr-FR"/>
        </w:rPr>
        <w:br/>
      </w:r>
      <w:r w:rsidR="00A73F28">
        <w:rPr>
          <w:lang w:val="fr-FR"/>
        </w:rPr>
        <w:t>et GRSG-116-39.</w:t>
      </w:r>
    </w:p>
    <w:p w14:paraId="5929F111" w14:textId="77777777" w:rsidR="00A73F28" w:rsidRPr="00DD1D4D" w:rsidRDefault="00A73F28" w:rsidP="00992D8F">
      <w:pPr>
        <w:pStyle w:val="SingleTxtG"/>
      </w:pPr>
      <w:r>
        <w:rPr>
          <w:lang w:val="fr-FR"/>
        </w:rPr>
        <w:t>38.</w:t>
      </w:r>
      <w:r>
        <w:rPr>
          <w:lang w:val="fr-FR"/>
        </w:rPr>
        <w:tab/>
        <w:t xml:space="preserve">Après avoir rappelé l’objet du document ECE/TRANS/WP.29/GRSG/2018/2, l’experte de l’OICA a informé le GRSG que certaines parties de la proposition avaient été adoptées et que les autres parties avaient récemment été examinées par l’équipe spéciale sur les règlements concernant les véhicules fonctionnant au gaz. L’expert de l’Allemagne a rendu compte des progrès réalisés par l’équipe spéciale dans ce domaine. Il a présenté le document GRSG-116-05 rendant compte du résultat des discussions de l’équipe spéciale à propos du Règlement ONU </w:t>
      </w:r>
      <w:r w:rsidR="00992D8F">
        <w:rPr>
          <w:lang w:val="fr-FR"/>
        </w:rPr>
        <w:t>n</w:t>
      </w:r>
      <w:r w:rsidR="00992D8F" w:rsidRPr="00BD103A">
        <w:rPr>
          <w:vertAlign w:val="superscript"/>
          <w:lang w:val="fr-FR"/>
        </w:rPr>
        <w:t>o</w:t>
      </w:r>
      <w:r w:rsidR="00992D8F">
        <w:rPr>
          <w:lang w:val="fr-FR"/>
        </w:rPr>
        <w:t> </w:t>
      </w:r>
      <w:r>
        <w:rPr>
          <w:lang w:val="fr-FR"/>
        </w:rPr>
        <w:t>67. L’expert de LG Europe a proposé de supprimer les prescriptions relatives à l’utilisation d’un odorant dans le n-pentane, arguant que ces prescriptions n’étaient ni nécessaires ni requises lors des essais au titre des règlements ONU ou des normes internationales (GRSG-116-39). Après en avoir débattu, le GRSG s’est mis d’accord sur une proposition révisée (GRSG-116-05-Rev.1) et a adopté le document ECE/TRANS/WP.29/GRSG/2018/2, tel que reproduit à l’annexe</w:t>
      </w:r>
      <w:r w:rsidR="00992D8F">
        <w:rPr>
          <w:lang w:val="fr-FR"/>
        </w:rPr>
        <w:t> </w:t>
      </w:r>
      <w:r>
        <w:rPr>
          <w:lang w:val="fr-FR"/>
        </w:rPr>
        <w:t xml:space="preserve">III du présent rapport. Le secrétariat a été chargé de soumettre la proposition révisée au WP.29 et à </w:t>
      </w:r>
      <w:r>
        <w:rPr>
          <w:lang w:val="fr-FR"/>
        </w:rPr>
        <w:lastRenderedPageBreak/>
        <w:t>l’AC.1 pour examen à leurs sessions de novembre 201</w:t>
      </w:r>
      <w:r w:rsidR="00D92B5D">
        <w:rPr>
          <w:lang w:val="fr-FR"/>
        </w:rPr>
        <w:t>9</w:t>
      </w:r>
      <w:r>
        <w:rPr>
          <w:lang w:val="fr-FR"/>
        </w:rPr>
        <w:t>, en tant que projet de complément</w:t>
      </w:r>
      <w:r w:rsidR="00992D8F">
        <w:rPr>
          <w:lang w:val="fr-FR"/>
        </w:rPr>
        <w:t> </w:t>
      </w:r>
      <w:r>
        <w:rPr>
          <w:lang w:val="fr-FR"/>
        </w:rPr>
        <w:t xml:space="preserve">2 à la série 02 d’amendements au Règlement ONU </w:t>
      </w:r>
      <w:r w:rsidR="00992D8F">
        <w:rPr>
          <w:lang w:val="fr-FR"/>
        </w:rPr>
        <w:t>n</w:t>
      </w:r>
      <w:r w:rsidR="00992D8F" w:rsidRPr="00BD103A">
        <w:rPr>
          <w:vertAlign w:val="superscript"/>
          <w:lang w:val="fr-FR"/>
        </w:rPr>
        <w:t>o</w:t>
      </w:r>
      <w:r w:rsidR="00992D8F">
        <w:rPr>
          <w:lang w:val="fr-FR"/>
        </w:rPr>
        <w:t> </w:t>
      </w:r>
      <w:r>
        <w:rPr>
          <w:lang w:val="fr-FR"/>
        </w:rPr>
        <w:t>67.</w:t>
      </w:r>
    </w:p>
    <w:p w14:paraId="391204A0" w14:textId="77777777" w:rsidR="00A73F28" w:rsidRPr="00DD1D4D" w:rsidRDefault="00A73F28" w:rsidP="00992D8F">
      <w:pPr>
        <w:pStyle w:val="SingleTxtG"/>
        <w:rPr>
          <w:szCs w:val="24"/>
        </w:rPr>
      </w:pPr>
      <w:r>
        <w:rPr>
          <w:lang w:val="fr-FR"/>
        </w:rPr>
        <w:t>39.</w:t>
      </w:r>
      <w:r>
        <w:rPr>
          <w:lang w:val="fr-FR"/>
        </w:rPr>
        <w:tab/>
        <w:t>Comme suite au document ECE/TRANS/WP.29/GRSG/2017/22 présenté à une précédente session du GRSG, l’expert de la Turquie a présenté une proposition révisée d’amendements (GRSG-116-35) visant à insérer de nouvelles dispositions concernant l’emplacement de l’embout de remplissage dans le véhicule. Certains experts ont accueilli favorablement la proposition dans son principe, mais ont préféré clarifier les amendements. Pour finir, le GRSG a examiné une proposition révisée (GRSG-116-35-Rev.1) et adopté le document ECE/TRANS/WP.29/GRSG/2017/22, tel que reproduit à l’annexe</w:t>
      </w:r>
      <w:r w:rsidR="00992D8F">
        <w:rPr>
          <w:lang w:val="fr-FR"/>
        </w:rPr>
        <w:t> </w:t>
      </w:r>
      <w:r>
        <w:rPr>
          <w:lang w:val="fr-FR"/>
        </w:rPr>
        <w:t xml:space="preserve">IV du présent rapport. Le secrétariat a été chargé de soumettre la proposition au WP.29 et à l’AC.1, pour examen à leurs sessions de novembre 2019, en tant que nouveau projet de série 03 d’amendements au Règlement ONU </w:t>
      </w:r>
      <w:r w:rsidR="00992D8F">
        <w:rPr>
          <w:lang w:val="fr-FR"/>
        </w:rPr>
        <w:t>n</w:t>
      </w:r>
      <w:r w:rsidR="00992D8F" w:rsidRPr="00BD103A">
        <w:rPr>
          <w:vertAlign w:val="superscript"/>
          <w:lang w:val="fr-FR"/>
        </w:rPr>
        <w:t>o</w:t>
      </w:r>
      <w:r w:rsidR="00992D8F">
        <w:rPr>
          <w:lang w:val="fr-FR"/>
        </w:rPr>
        <w:t> </w:t>
      </w:r>
      <w:r>
        <w:rPr>
          <w:lang w:val="fr-FR"/>
        </w:rPr>
        <w:t>67.</w:t>
      </w:r>
    </w:p>
    <w:p w14:paraId="034833BD" w14:textId="77777777" w:rsidR="00A73F28" w:rsidRPr="00E67CC9" w:rsidRDefault="00992D8F" w:rsidP="00992D8F">
      <w:pPr>
        <w:pStyle w:val="H1G"/>
      </w:pPr>
      <w:r>
        <w:rPr>
          <w:lang w:val="fr-FR"/>
        </w:rPr>
        <w:tab/>
      </w:r>
      <w:r w:rsidR="00A73F28" w:rsidRPr="00E67CC9">
        <w:rPr>
          <w:lang w:val="fr-FR"/>
        </w:rPr>
        <w:t>B.</w:t>
      </w:r>
      <w:r w:rsidR="00A73F28" w:rsidRPr="00E67CC9">
        <w:rPr>
          <w:lang w:val="fr-FR"/>
        </w:rPr>
        <w:tab/>
        <w:t xml:space="preserve">Règlement ONU </w:t>
      </w:r>
      <w:r>
        <w:rPr>
          <w:lang w:val="fr-FR"/>
        </w:rPr>
        <w:t>n</w:t>
      </w:r>
      <w:r w:rsidRPr="00BD103A">
        <w:rPr>
          <w:vertAlign w:val="superscript"/>
          <w:lang w:val="fr-FR"/>
        </w:rPr>
        <w:t>o</w:t>
      </w:r>
      <w:r>
        <w:rPr>
          <w:lang w:val="fr-FR"/>
        </w:rPr>
        <w:t> </w:t>
      </w:r>
      <w:r w:rsidR="00A73F28" w:rsidRPr="00E67CC9">
        <w:rPr>
          <w:lang w:val="fr-FR"/>
        </w:rPr>
        <w:t>110 (Véhicules alimentés au GNC/GNL)</w:t>
      </w:r>
    </w:p>
    <w:p w14:paraId="03F58353" w14:textId="77777777" w:rsidR="00A73F28" w:rsidRPr="00DD1D4D" w:rsidRDefault="000D0A30" w:rsidP="00992D8F">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 xml:space="preserve">Documents informels GRSG-116-16, GRSG-116-17, GRSG-116-18 </w:t>
      </w:r>
      <w:r w:rsidR="00992D8F">
        <w:rPr>
          <w:lang w:val="fr-FR"/>
        </w:rPr>
        <w:br/>
      </w:r>
      <w:r w:rsidR="00A73F28">
        <w:rPr>
          <w:lang w:val="fr-FR"/>
        </w:rPr>
        <w:t>et GRSG-116-21.</w:t>
      </w:r>
    </w:p>
    <w:p w14:paraId="7CBBBA54" w14:textId="77777777" w:rsidR="00A73F28" w:rsidRPr="00DD1D4D" w:rsidRDefault="00A73F28" w:rsidP="00992D8F">
      <w:pPr>
        <w:pStyle w:val="SingleTxtG"/>
      </w:pPr>
      <w:r>
        <w:rPr>
          <w:lang w:val="fr-FR"/>
        </w:rPr>
        <w:t>40.</w:t>
      </w:r>
      <w:r>
        <w:rPr>
          <w:lang w:val="fr-FR"/>
        </w:rPr>
        <w:tab/>
        <w:t>L’expert de NGV Global a présenté le document GRSG-116-21 visant à modifier l’annexe</w:t>
      </w:r>
      <w:r w:rsidR="00992D8F">
        <w:rPr>
          <w:lang w:val="fr-FR"/>
        </w:rPr>
        <w:t> </w:t>
      </w:r>
      <w:r>
        <w:rPr>
          <w:lang w:val="fr-FR"/>
        </w:rPr>
        <w:t>3A du Règlement concernant les critères et spécifications de conception des bouteilles de gaz naturel comprimé (GNC) en matériaux composites conformes à la norme</w:t>
      </w:r>
      <w:r w:rsidR="00992D8F">
        <w:rPr>
          <w:lang w:val="fr-FR"/>
        </w:rPr>
        <w:t> </w:t>
      </w:r>
      <w:r>
        <w:rPr>
          <w:lang w:val="fr-FR"/>
        </w:rPr>
        <w:t>ISO 11439. La proposition formulée a recueilli une large adhésion. Le Groupe de travail a décidé de reprendre l’examen de cette question à sa session suivante et a demandé au secrétariat de distribuer le document informel GRSG-116-21 sous une cote officielle.</w:t>
      </w:r>
    </w:p>
    <w:p w14:paraId="48E81BAC" w14:textId="77777777" w:rsidR="00A73F28" w:rsidRPr="00DD1D4D" w:rsidRDefault="00A73F28" w:rsidP="00992D8F">
      <w:pPr>
        <w:pStyle w:val="SingleTxtG"/>
      </w:pPr>
      <w:r>
        <w:rPr>
          <w:lang w:val="fr-FR"/>
        </w:rPr>
        <w:t>41.</w:t>
      </w:r>
      <w:r>
        <w:rPr>
          <w:lang w:val="fr-FR"/>
        </w:rPr>
        <w:tab/>
        <w:t xml:space="preserve">L’expert de NGV Global a présenté le document GRSG-116-16 sur les questions liées au contrôle technique périodique (CTP) et à la requalification périodique des bouteilles de GNC. Les experts de l’Allemagne et du Royaume-Uni ont exprimé des réserves, estimant que les spécifications CTP ne devraient pas faire partie du Règlement ONU </w:t>
      </w:r>
      <w:r w:rsidR="00992D8F">
        <w:rPr>
          <w:lang w:val="fr-FR"/>
        </w:rPr>
        <w:t>n</w:t>
      </w:r>
      <w:r w:rsidR="00992D8F" w:rsidRPr="00BD103A">
        <w:rPr>
          <w:vertAlign w:val="superscript"/>
          <w:lang w:val="fr-FR"/>
        </w:rPr>
        <w:t>o</w:t>
      </w:r>
      <w:r w:rsidR="00992D8F">
        <w:rPr>
          <w:lang w:val="fr-FR"/>
        </w:rPr>
        <w:t> </w:t>
      </w:r>
      <w:r>
        <w:rPr>
          <w:lang w:val="fr-FR"/>
        </w:rPr>
        <w:t>110 mais plutôt être couvertes par les dispositions de l’Accord de 1997. Le</w:t>
      </w:r>
      <w:r w:rsidR="00992D8F">
        <w:rPr>
          <w:lang w:val="fr-FR"/>
        </w:rPr>
        <w:t> </w:t>
      </w:r>
      <w:r>
        <w:rPr>
          <w:lang w:val="fr-FR"/>
        </w:rPr>
        <w:t xml:space="preserve">Président a fait observer que seul un petit nombre de parties contractantes à l’Accord de 1958 adhéraient également à l’Accord de 1997 (au total, </w:t>
      </w:r>
      <w:r w:rsidR="00D7407D">
        <w:rPr>
          <w:lang w:val="fr-FR"/>
        </w:rPr>
        <w:t>13 </w:t>
      </w:r>
      <w:r w:rsidR="00C03976">
        <w:rPr>
          <w:lang w:val="fr-FR"/>
        </w:rPr>
        <w:t xml:space="preserve">Parties </w:t>
      </w:r>
      <w:r>
        <w:rPr>
          <w:lang w:val="fr-FR"/>
        </w:rPr>
        <w:t>contractantes). Il a ajouté que les nouvelles exigences proposées par NGV Global portaient principalement sur l’insertion d’exigences de conception destinées à faciliter le contrôle technique périodique des véhicules au GNC en service. Le Groupe de travail a décidé de reporter l’examen de cette question à sa session suivante. Le Président a invité tous les experts intéressés à envoyer leurs observations en temps voulu à l’expert de NGV Global pour lui permettre d’établir une proposition révisée qui sera soumise pour examen à la prochaine session en tant que document officiel.</w:t>
      </w:r>
    </w:p>
    <w:p w14:paraId="0B7A6716" w14:textId="77777777" w:rsidR="00A73F28" w:rsidRPr="00DD1D4D" w:rsidRDefault="00A73F28" w:rsidP="008426C5">
      <w:pPr>
        <w:pStyle w:val="SingleTxtG"/>
      </w:pPr>
      <w:r>
        <w:rPr>
          <w:lang w:val="fr-FR"/>
        </w:rPr>
        <w:t>42.</w:t>
      </w:r>
      <w:r>
        <w:rPr>
          <w:lang w:val="fr-FR"/>
        </w:rPr>
        <w:tab/>
        <w:t xml:space="preserve">L’expert de l’Italie a présenté le document GRSG-116-18, qui montre les avantages et les principes de construction des concepts de stockage conformes pour les futurs véhicules au GNC. Il a présenté le document GRSG-116-17, dans lequel il est proposé de modifier le Règlement ONU </w:t>
      </w:r>
      <w:r w:rsidR="008426C5">
        <w:rPr>
          <w:lang w:val="fr-FR"/>
        </w:rPr>
        <w:t>n</w:t>
      </w:r>
      <w:r w:rsidR="008426C5" w:rsidRPr="00BD103A">
        <w:rPr>
          <w:vertAlign w:val="superscript"/>
          <w:lang w:val="fr-FR"/>
        </w:rPr>
        <w:t>o</w:t>
      </w:r>
      <w:r w:rsidR="008426C5">
        <w:rPr>
          <w:lang w:val="fr-FR"/>
        </w:rPr>
        <w:t> </w:t>
      </w:r>
      <w:r>
        <w:rPr>
          <w:lang w:val="fr-FR"/>
        </w:rPr>
        <w:t>110 afin d’autoriser ce type de stockage pour les véhicules agricoles et commerciaux. Les experts du GRSG se sont félicités de l’initiative de l’Italie. Le Président a invité toutes les parties prenantes intéressées à faire part de leurs observations par écrit et en temps opportun à l’expert de l’Italie. Le GRSG a décidé de reprendre l’examen de cette question à sa prochaine session en se fondant sur une proposition révisée de l’Italie, à paraître sous une cote officielle.</w:t>
      </w:r>
    </w:p>
    <w:p w14:paraId="71D1630C" w14:textId="77777777" w:rsidR="00A73F28" w:rsidRPr="00407480" w:rsidRDefault="00635B94" w:rsidP="00635B94">
      <w:pPr>
        <w:pStyle w:val="HChG"/>
      </w:pPr>
      <w:r>
        <w:rPr>
          <w:lang w:val="fr-FR"/>
        </w:rPr>
        <w:tab/>
      </w:r>
      <w:r w:rsidR="00A73F28" w:rsidRPr="00407480">
        <w:rPr>
          <w:lang w:val="fr-FR"/>
        </w:rPr>
        <w:t>XI.</w:t>
      </w:r>
      <w:r w:rsidR="00A73F28" w:rsidRPr="00407480">
        <w:rPr>
          <w:lang w:val="fr-FR"/>
        </w:rPr>
        <w:tab/>
        <w:t xml:space="preserve">Règlement ONU </w:t>
      </w:r>
      <w:r>
        <w:rPr>
          <w:lang w:val="fr-FR"/>
        </w:rPr>
        <w:t>n</w:t>
      </w:r>
      <w:r w:rsidRPr="00BD103A">
        <w:rPr>
          <w:vertAlign w:val="superscript"/>
          <w:lang w:val="fr-FR"/>
        </w:rPr>
        <w:t>o</w:t>
      </w:r>
      <w:r>
        <w:rPr>
          <w:lang w:val="fr-FR"/>
        </w:rPr>
        <w:t> </w:t>
      </w:r>
      <w:r w:rsidR="00A73F28" w:rsidRPr="00407480">
        <w:rPr>
          <w:lang w:val="fr-FR"/>
        </w:rPr>
        <w:t>73 (Dispositifs de protection latérale) (point 10 de l</w:t>
      </w:r>
      <w:r w:rsidR="00A73F28">
        <w:rPr>
          <w:lang w:val="fr-FR"/>
        </w:rPr>
        <w:t>’</w:t>
      </w:r>
      <w:r w:rsidR="00A73F28" w:rsidRPr="00407480">
        <w:rPr>
          <w:lang w:val="fr-FR"/>
        </w:rPr>
        <w:t>ordre du jour)</w:t>
      </w:r>
    </w:p>
    <w:p w14:paraId="08D1BC13" w14:textId="77777777" w:rsidR="00A73F28" w:rsidRPr="00DD1D4D" w:rsidRDefault="00A73F28" w:rsidP="00635B94">
      <w:pPr>
        <w:pStyle w:val="SingleTxtG"/>
      </w:pPr>
      <w:r>
        <w:rPr>
          <w:lang w:val="fr-FR"/>
        </w:rPr>
        <w:t>43.</w:t>
      </w:r>
      <w:r>
        <w:rPr>
          <w:lang w:val="fr-FR"/>
        </w:rPr>
        <w:tab/>
        <w:t>L’expert de la France a informé le GRSG que la proposition visant à améliorer le niveau de performance des dispositifs de protection latérale pour une meilleure protection des usagers vulnérables de la route était en cours d’examen et qu’il fallait plus de temps pour les enquêtes. Le Groupe de travail a décidé de retirer entre-temps cette question de l’ordre du jour de sa prochaine session.</w:t>
      </w:r>
    </w:p>
    <w:p w14:paraId="7128C9FD" w14:textId="77777777" w:rsidR="00A73F28" w:rsidRPr="00407480" w:rsidRDefault="00635B94" w:rsidP="00635B94">
      <w:pPr>
        <w:pStyle w:val="HChG"/>
      </w:pPr>
      <w:r>
        <w:rPr>
          <w:lang w:val="fr-FR"/>
        </w:rPr>
        <w:lastRenderedPageBreak/>
        <w:tab/>
      </w:r>
      <w:r w:rsidR="00A73F28" w:rsidRPr="00407480">
        <w:rPr>
          <w:lang w:val="fr-FR"/>
        </w:rPr>
        <w:t>XII.</w:t>
      </w:r>
      <w:r w:rsidR="00A73F28" w:rsidRPr="00407480">
        <w:rPr>
          <w:lang w:val="fr-FR"/>
        </w:rPr>
        <w:tab/>
        <w:t xml:space="preserve">Règlement ONU </w:t>
      </w:r>
      <w:r>
        <w:rPr>
          <w:lang w:val="fr-FR"/>
        </w:rPr>
        <w:t>n</w:t>
      </w:r>
      <w:r w:rsidRPr="00BD103A">
        <w:rPr>
          <w:vertAlign w:val="superscript"/>
          <w:lang w:val="fr-FR"/>
        </w:rPr>
        <w:t>o</w:t>
      </w:r>
      <w:r>
        <w:rPr>
          <w:lang w:val="fr-FR"/>
        </w:rPr>
        <w:t> </w:t>
      </w:r>
      <w:r w:rsidR="00A73F28" w:rsidRPr="00407480">
        <w:rPr>
          <w:lang w:val="fr-FR"/>
        </w:rPr>
        <w:t>93 (Protection contre l</w:t>
      </w:r>
      <w:r w:rsidR="00A73F28">
        <w:rPr>
          <w:lang w:val="fr-FR"/>
        </w:rPr>
        <w:t>’</w:t>
      </w:r>
      <w:r w:rsidR="00A73F28" w:rsidRPr="00407480">
        <w:rPr>
          <w:lang w:val="fr-FR"/>
        </w:rPr>
        <w:t xml:space="preserve">encastrement </w:t>
      </w:r>
      <w:r>
        <w:rPr>
          <w:lang w:val="fr-FR"/>
        </w:rPr>
        <w:br/>
      </w:r>
      <w:r w:rsidR="00A73F28" w:rsidRPr="00407480">
        <w:rPr>
          <w:lang w:val="fr-FR"/>
        </w:rPr>
        <w:t>à l</w:t>
      </w:r>
      <w:r w:rsidR="00A73F28">
        <w:rPr>
          <w:lang w:val="fr-FR"/>
        </w:rPr>
        <w:t>’</w:t>
      </w:r>
      <w:r w:rsidR="00A73F28" w:rsidRPr="00407480">
        <w:rPr>
          <w:lang w:val="fr-FR"/>
        </w:rPr>
        <w:t>avant) (point 11 de l</w:t>
      </w:r>
      <w:r w:rsidR="00A73F28">
        <w:rPr>
          <w:lang w:val="fr-FR"/>
        </w:rPr>
        <w:t>’</w:t>
      </w:r>
      <w:r w:rsidR="00A73F28" w:rsidRPr="00407480">
        <w:rPr>
          <w:lang w:val="fr-FR"/>
        </w:rPr>
        <w:t>ordre du jour)</w:t>
      </w:r>
    </w:p>
    <w:p w14:paraId="44D9EBBE" w14:textId="77777777" w:rsidR="00A73F28" w:rsidRPr="00DD1D4D" w:rsidRDefault="000D0A30" w:rsidP="00635B94">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Documents informels GRSG-115-25 et GRSG-116-41.</w:t>
      </w:r>
    </w:p>
    <w:p w14:paraId="7735A32C" w14:textId="77777777" w:rsidR="00A73F28" w:rsidRPr="00DD1D4D" w:rsidRDefault="00A73F28" w:rsidP="007E63DA">
      <w:pPr>
        <w:pStyle w:val="SingleTxtG"/>
      </w:pPr>
      <w:r>
        <w:rPr>
          <w:lang w:val="fr-FR"/>
        </w:rPr>
        <w:t>44.</w:t>
      </w:r>
      <w:r>
        <w:rPr>
          <w:lang w:val="fr-FR"/>
        </w:rPr>
        <w:tab/>
        <w:t>Rappelant l’objet du document GRSG-115-25 présenté à la précédente session du GRSG, l’expert de la CE a proposé d’actualiser les dispositions relatives au dispositif de protection contre l’encastrement à l’avant qu’il s’agit d’homologuer en tant que partie intégrante du véhicule, et en particulier d’autoriser une forme plus arrondie de la cabine pour améliorer les performances aérodynamiques (GRSG-116-41). Cette proposition a reçu le soutien général du GRSG. L’experte de l’OICA a proposé d’envoyer ses contributions à l’expert de la CE. Le GRSG a décidé de reprendre l’examen de cette question à sa prochaine session, sur la base d’un document officiel.</w:t>
      </w:r>
    </w:p>
    <w:p w14:paraId="5FC1D64E" w14:textId="77777777" w:rsidR="00A73F28" w:rsidRPr="00765E48" w:rsidRDefault="007E63DA" w:rsidP="007E63DA">
      <w:pPr>
        <w:pStyle w:val="HChG"/>
      </w:pPr>
      <w:r>
        <w:rPr>
          <w:lang w:val="fr-FR"/>
        </w:rPr>
        <w:tab/>
      </w:r>
      <w:r w:rsidR="00A73F28" w:rsidRPr="00765E48">
        <w:rPr>
          <w:lang w:val="fr-FR"/>
        </w:rPr>
        <w:t>XIII.</w:t>
      </w:r>
      <w:r w:rsidR="00A73F28" w:rsidRPr="00765E48">
        <w:rPr>
          <w:lang w:val="fr-FR"/>
        </w:rPr>
        <w:tab/>
        <w:t xml:space="preserve">Règlement ONU </w:t>
      </w:r>
      <w:r>
        <w:rPr>
          <w:lang w:val="fr-FR"/>
        </w:rPr>
        <w:t>n</w:t>
      </w:r>
      <w:r w:rsidRPr="00BD103A">
        <w:rPr>
          <w:vertAlign w:val="superscript"/>
          <w:lang w:val="fr-FR"/>
        </w:rPr>
        <w:t>o</w:t>
      </w:r>
      <w:r>
        <w:rPr>
          <w:lang w:val="fr-FR"/>
        </w:rPr>
        <w:t> </w:t>
      </w:r>
      <w:r w:rsidR="00A73F28" w:rsidRPr="00765E48">
        <w:rPr>
          <w:lang w:val="fr-FR"/>
        </w:rPr>
        <w:t>116 (Dispositifs antivol et systèmes d</w:t>
      </w:r>
      <w:r w:rsidR="00A73F28">
        <w:rPr>
          <w:lang w:val="fr-FR"/>
        </w:rPr>
        <w:t>’</w:t>
      </w:r>
      <w:r w:rsidR="00A73F28" w:rsidRPr="00765E48">
        <w:rPr>
          <w:lang w:val="fr-FR"/>
        </w:rPr>
        <w:t>alarme) (point 12 de l</w:t>
      </w:r>
      <w:r w:rsidR="00A73F28">
        <w:rPr>
          <w:lang w:val="fr-FR"/>
        </w:rPr>
        <w:t>’</w:t>
      </w:r>
      <w:r w:rsidR="00A73F28" w:rsidRPr="00765E48">
        <w:rPr>
          <w:lang w:val="fr-FR"/>
        </w:rPr>
        <w:t>ordre du jour)</w:t>
      </w:r>
    </w:p>
    <w:p w14:paraId="2A4749FA" w14:textId="77777777" w:rsidR="00A73F28" w:rsidRPr="00DD1D4D" w:rsidRDefault="000D0A30" w:rsidP="007E63DA">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sidRPr="007E63DA">
        <w:tab/>
        <w:t>ECE/TRANS/WP.29/GRSG/2017/23</w:t>
      </w:r>
      <w:r w:rsidR="007E63DA">
        <w:br/>
      </w:r>
      <w:r w:rsidR="00A73F28" w:rsidRPr="007E63DA">
        <w:t>ECE/TRANS/WP.29/GRSG/2017/24/Rev.1</w:t>
      </w:r>
      <w:r w:rsidR="007E63DA" w:rsidRPr="007E63DA">
        <w:br/>
      </w:r>
      <w:r w:rsidR="00A73F28">
        <w:rPr>
          <w:lang w:val="fr-FR"/>
        </w:rPr>
        <w:t>ECE/TRANS/WP.29/GRSG/2017/25 et Corr.1</w:t>
      </w:r>
      <w:r w:rsidR="007E63DA">
        <w:rPr>
          <w:lang w:val="fr-FR"/>
        </w:rPr>
        <w:br/>
      </w:r>
      <w:r w:rsidR="00A73F28" w:rsidRPr="007E63DA">
        <w:t>ECE/TRANS/WP.29/GRSG/2018/25</w:t>
      </w:r>
      <w:r w:rsidR="007E63DA" w:rsidRPr="007E63DA">
        <w:br/>
      </w:r>
      <w:r w:rsidR="00A73F28" w:rsidRPr="007E63DA">
        <w:t>ECE/TRANS/WP.29/GRSG/2019/7</w:t>
      </w:r>
      <w:r w:rsidR="007E63DA" w:rsidRPr="007E63DA">
        <w:br/>
      </w:r>
      <w:r w:rsidR="00A73F28">
        <w:rPr>
          <w:lang w:val="fr-FR"/>
        </w:rPr>
        <w:t xml:space="preserve">Documents informels GRSG-116-06-Rev.1, GRSG-116-07, </w:t>
      </w:r>
      <w:r w:rsidR="007E63DA">
        <w:rPr>
          <w:lang w:val="fr-FR"/>
        </w:rPr>
        <w:br/>
      </w:r>
      <w:r w:rsidR="00A73F28">
        <w:rPr>
          <w:lang w:val="fr-FR"/>
        </w:rPr>
        <w:t>GRSG-116-08, GRSG-116-09-Rev.1 et GRSG-116-40-Rev.1</w:t>
      </w:r>
      <w:r w:rsidR="007E63DA">
        <w:rPr>
          <w:lang w:val="fr-FR"/>
        </w:rPr>
        <w:t>.</w:t>
      </w:r>
    </w:p>
    <w:p w14:paraId="0BEDB4EB" w14:textId="77777777" w:rsidR="00A73F28" w:rsidRPr="00DD1D4D" w:rsidRDefault="00A73F28" w:rsidP="006559AD">
      <w:pPr>
        <w:pStyle w:val="SingleTxtG"/>
      </w:pPr>
      <w:r>
        <w:rPr>
          <w:lang w:val="fr-FR"/>
        </w:rPr>
        <w:t>45.</w:t>
      </w:r>
      <w:r>
        <w:rPr>
          <w:lang w:val="fr-FR"/>
        </w:rPr>
        <w:tab/>
        <w:t xml:space="preserve">L’experte de l’OICA a présenté le document GRSG-116-40-Rev.1 sur les étapes et la progression de la division du Règlement ONU </w:t>
      </w:r>
      <w:r w:rsidR="006559AD">
        <w:rPr>
          <w:lang w:val="fr-FR"/>
        </w:rPr>
        <w:t>n</w:t>
      </w:r>
      <w:r w:rsidR="006559AD" w:rsidRPr="00BD103A">
        <w:rPr>
          <w:vertAlign w:val="superscript"/>
          <w:lang w:val="fr-FR"/>
        </w:rPr>
        <w:t>o</w:t>
      </w:r>
      <w:r w:rsidR="006559AD">
        <w:rPr>
          <w:lang w:val="fr-FR"/>
        </w:rPr>
        <w:t> </w:t>
      </w:r>
      <w:r>
        <w:rPr>
          <w:lang w:val="fr-FR"/>
        </w:rPr>
        <w:t>116 (GRSG-116-09-Rev.1). Elle a rendu compte du suivi donné aux documents ECE/TRANS/WP.29/GRSG/2017/23, ECE/TRANS/WP.29/GRSG/2017/24/Rev.1, ECE/TRANS/WP.29/GRSG/2017/25 et son Corr.1, tel que reflété dans les documents GRSG-116-06-Rev.1, GRSG-116-07 et GRSG</w:t>
      </w:r>
      <w:r w:rsidR="006559AD">
        <w:rPr>
          <w:lang w:val="fr-FR"/>
        </w:rPr>
        <w:noBreakHyphen/>
      </w:r>
      <w:r>
        <w:rPr>
          <w:lang w:val="fr-FR"/>
        </w:rPr>
        <w:t>116-08. Elle a invité tous les experts intéressés à lui faire parvenir leurs observations finales avant la fin du mois de mai 2019 au plus tard, de façon à lui permettre de constituer une équipe spéciale chargée d’examiner les propositions et d’établir, en temps voulu, les versions finales des projets de documents officiels à soumettre au secrétariat. Elle a ajouté que les dispositions de l’annexe</w:t>
      </w:r>
      <w:r w:rsidR="006559AD">
        <w:rPr>
          <w:lang w:val="fr-FR"/>
        </w:rPr>
        <w:t> </w:t>
      </w:r>
      <w:r>
        <w:rPr>
          <w:lang w:val="fr-FR"/>
        </w:rPr>
        <w:t>5 sur la compatibilité électromagnétique (CEM) devraient être examinées par le Groupe de travail de l’éclairage et de la signalisation lumineuse (GRE), et plus particulièrement par l’équipe spéciale sur la CEM.</w:t>
      </w:r>
      <w:bookmarkStart w:id="0" w:name="_Hlk5983558"/>
      <w:bookmarkEnd w:id="0"/>
    </w:p>
    <w:p w14:paraId="39425E95" w14:textId="77777777" w:rsidR="00A73F28" w:rsidRPr="00DD1D4D" w:rsidRDefault="00A73F28" w:rsidP="006559AD">
      <w:pPr>
        <w:pStyle w:val="SingleTxtG"/>
      </w:pPr>
      <w:r>
        <w:rPr>
          <w:lang w:val="fr-FR"/>
        </w:rPr>
        <w:t>46.</w:t>
      </w:r>
      <w:r>
        <w:rPr>
          <w:lang w:val="fr-FR"/>
        </w:rPr>
        <w:tab/>
        <w:t>Le GRSG a approuvé cette demande. Le Président a annoncé qu’il en informerait le Président du GRE dans un proche avenir et le WP.29 à sa session de juin 2019. Le GRSG a décidé de reprendre les débats à sa prochaine session sur la base de documents officiels.</w:t>
      </w:r>
    </w:p>
    <w:p w14:paraId="42335158" w14:textId="77777777" w:rsidR="00A73F28" w:rsidRPr="00DD1D4D" w:rsidRDefault="00A73F28" w:rsidP="006559AD">
      <w:pPr>
        <w:pStyle w:val="SingleTxtG"/>
      </w:pPr>
      <w:r>
        <w:rPr>
          <w:lang w:val="fr-FR"/>
        </w:rPr>
        <w:t>47.</w:t>
      </w:r>
      <w:r>
        <w:rPr>
          <w:lang w:val="fr-FR"/>
        </w:rPr>
        <w:tab/>
        <w:t>L’experte de l’OICA a présenté le document ECE/TRANS/WP.29/GRSG/2018/25, qui vise à clarifier les prescriptions applicables à l’essai environnemental des clefs. Le</w:t>
      </w:r>
      <w:r w:rsidR="006559AD">
        <w:rPr>
          <w:lang w:val="fr-FR"/>
        </w:rPr>
        <w:t> </w:t>
      </w:r>
      <w:r>
        <w:rPr>
          <w:lang w:val="fr-FR"/>
        </w:rPr>
        <w:t xml:space="preserve">Groupe de travail a adopté la proposition et a demandé au secrétariat de la soumettre au Forum mondial et à l’AC.1 en tant que projet de complément 7 au Règlement ONU </w:t>
      </w:r>
      <w:r w:rsidR="006559AD">
        <w:rPr>
          <w:lang w:val="fr-FR"/>
        </w:rPr>
        <w:t>n</w:t>
      </w:r>
      <w:r w:rsidR="006559AD" w:rsidRPr="00BD103A">
        <w:rPr>
          <w:vertAlign w:val="superscript"/>
          <w:lang w:val="fr-FR"/>
        </w:rPr>
        <w:t>o</w:t>
      </w:r>
      <w:r w:rsidR="006559AD">
        <w:rPr>
          <w:lang w:val="fr-FR"/>
        </w:rPr>
        <w:t> </w:t>
      </w:r>
      <w:r>
        <w:rPr>
          <w:lang w:val="fr-FR"/>
        </w:rPr>
        <w:t>116 pour examen à leurs sessions de novembre 2019.</w:t>
      </w:r>
    </w:p>
    <w:p w14:paraId="45C4874B" w14:textId="77777777" w:rsidR="00A73F28" w:rsidRPr="00DD1D4D" w:rsidRDefault="00A73F28" w:rsidP="006559AD">
      <w:pPr>
        <w:pStyle w:val="SingleTxtG"/>
      </w:pPr>
      <w:r>
        <w:rPr>
          <w:lang w:val="fr-FR"/>
        </w:rPr>
        <w:t>48.</w:t>
      </w:r>
      <w:r>
        <w:rPr>
          <w:lang w:val="fr-FR"/>
        </w:rPr>
        <w:tab/>
        <w:t>L’experte de l’OICA a présenté le document ECE/TRANS/WP.29/GRSG/2019/7, qui vise à modifier la définition des clefs en tenant compte des systèmes d’alarme novateurs des véhicules, tels que l’alarme silencieuse ou le déverrouillage des portes au moyen d’un smartphone. Elle a souligné la nécessité de faire la distinction entre une cl</w:t>
      </w:r>
      <w:r w:rsidR="001942B5">
        <w:rPr>
          <w:lang w:val="fr-FR"/>
        </w:rPr>
        <w:t>ef</w:t>
      </w:r>
      <w:r>
        <w:rPr>
          <w:lang w:val="fr-FR"/>
        </w:rPr>
        <w:t xml:space="preserve"> en tant que solution électronique et en tant que matériel/logiciel utilisé pour donner effet à cette solution électronique. Plusieurs experts se sont dits préoccupés par les problèmes de sécurité que posent les cl</w:t>
      </w:r>
      <w:r w:rsidR="001942B5">
        <w:rPr>
          <w:lang w:val="fr-FR"/>
        </w:rPr>
        <w:t>ef</w:t>
      </w:r>
      <w:r>
        <w:rPr>
          <w:lang w:val="fr-FR"/>
        </w:rPr>
        <w:t>s et les systèmes de verrouillage déjà en place. Le GRSG a reconnu qu’il était urgent d’étudier les questions de cybersécurité liées à ces systèmes novateurs de verrouillage/déverrouillage. Le Président a invité tous les experts à faire part de leurs réflexions à l’experte de l’OICA et à lui envoyer leurs propositions. Le GRSG a décidé de reprendre l’examen de cette question à sa prochaine session, en se fondant sur un document officiel révisé de l’OICA où il serait tenu compte des observations reçues.</w:t>
      </w:r>
    </w:p>
    <w:p w14:paraId="1F87186C" w14:textId="77777777" w:rsidR="00A73F28" w:rsidRPr="00F73F12" w:rsidRDefault="006559AD" w:rsidP="006559AD">
      <w:pPr>
        <w:pStyle w:val="HChG"/>
        <w:rPr>
          <w:szCs w:val="28"/>
        </w:rPr>
      </w:pPr>
      <w:r>
        <w:rPr>
          <w:lang w:val="fr-FR"/>
        </w:rPr>
        <w:lastRenderedPageBreak/>
        <w:tab/>
      </w:r>
      <w:r w:rsidR="00A73F28" w:rsidRPr="00F73F12">
        <w:rPr>
          <w:lang w:val="fr-FR"/>
        </w:rPr>
        <w:t>XIV.</w:t>
      </w:r>
      <w:r w:rsidR="00A73F28" w:rsidRPr="00F73F12">
        <w:rPr>
          <w:lang w:val="fr-FR"/>
        </w:rPr>
        <w:tab/>
        <w:t xml:space="preserve">Règlement ONU </w:t>
      </w:r>
      <w:r>
        <w:rPr>
          <w:lang w:val="fr-FR"/>
        </w:rPr>
        <w:t>n</w:t>
      </w:r>
      <w:r w:rsidRPr="00BD103A">
        <w:rPr>
          <w:vertAlign w:val="superscript"/>
          <w:lang w:val="fr-FR"/>
        </w:rPr>
        <w:t>o</w:t>
      </w:r>
      <w:r>
        <w:rPr>
          <w:lang w:val="fr-FR"/>
        </w:rPr>
        <w:t> </w:t>
      </w:r>
      <w:r w:rsidR="00A73F28" w:rsidRPr="00F73F12">
        <w:rPr>
          <w:lang w:val="fr-FR"/>
        </w:rPr>
        <w:t>121 (Identification des commandes manuelles, des témoins et des indicateurs)</w:t>
      </w:r>
      <w:r w:rsidR="00A73F28">
        <w:rPr>
          <w:lang w:val="fr-FR"/>
        </w:rPr>
        <w:t xml:space="preserve"> </w:t>
      </w:r>
      <w:r>
        <w:rPr>
          <w:lang w:val="fr-FR"/>
        </w:rPr>
        <w:br/>
      </w:r>
      <w:r w:rsidR="00A73F28" w:rsidRPr="00F73F12">
        <w:rPr>
          <w:lang w:val="fr-FR"/>
        </w:rPr>
        <w:t>(point 13 de l</w:t>
      </w:r>
      <w:r w:rsidR="00A73F28">
        <w:rPr>
          <w:lang w:val="fr-FR"/>
        </w:rPr>
        <w:t>’</w:t>
      </w:r>
      <w:r w:rsidR="00A73F28" w:rsidRPr="00F73F12">
        <w:rPr>
          <w:lang w:val="fr-FR"/>
        </w:rPr>
        <w:t>ordre du jour)</w:t>
      </w:r>
    </w:p>
    <w:p w14:paraId="1CC0A859" w14:textId="77777777" w:rsidR="00A73F28" w:rsidRPr="00DD1D4D" w:rsidRDefault="000D0A30" w:rsidP="006559AD">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ECE/TRANS/WP.29/GRSG/2018/6</w:t>
      </w:r>
      <w:r w:rsidR="006559AD">
        <w:rPr>
          <w:lang w:val="fr-FR"/>
        </w:rPr>
        <w:br/>
        <w:t>D</w:t>
      </w:r>
      <w:r w:rsidR="00A73F28">
        <w:rPr>
          <w:lang w:val="fr-FR"/>
        </w:rPr>
        <w:t>ocument informel GRSG-115-14-Rev.1.</w:t>
      </w:r>
    </w:p>
    <w:p w14:paraId="26073241" w14:textId="77777777" w:rsidR="00A73F28" w:rsidRPr="00DD1D4D" w:rsidRDefault="00A73F28" w:rsidP="006559AD">
      <w:pPr>
        <w:pStyle w:val="SingleTxtG"/>
      </w:pPr>
      <w:r>
        <w:rPr>
          <w:lang w:val="fr-FR"/>
        </w:rPr>
        <w:t>49.</w:t>
      </w:r>
      <w:r>
        <w:rPr>
          <w:lang w:val="fr-FR"/>
        </w:rPr>
        <w:tab/>
        <w:t>L’expert de la République de Corée a rappelé le débat sur le document GRSG</w:t>
      </w:r>
      <w:r w:rsidR="006559AD">
        <w:rPr>
          <w:lang w:val="fr-FR"/>
        </w:rPr>
        <w:noBreakHyphen/>
      </w:r>
      <w:r>
        <w:rPr>
          <w:lang w:val="fr-FR"/>
        </w:rPr>
        <w:t>115</w:t>
      </w:r>
      <w:r w:rsidR="006559AD">
        <w:rPr>
          <w:lang w:val="fr-FR"/>
        </w:rPr>
        <w:noBreakHyphen/>
      </w:r>
      <w:r>
        <w:rPr>
          <w:lang w:val="fr-FR"/>
        </w:rPr>
        <w:t xml:space="preserve">14-Rev.1 ayant eu lieu à la précédente session, portant sur l’ajout, au Règlement </w:t>
      </w:r>
      <w:r w:rsidR="00C026EF">
        <w:rPr>
          <w:lang w:val="fr-FR"/>
        </w:rPr>
        <w:t xml:space="preserve">ONU </w:t>
      </w:r>
      <w:r w:rsidR="006559AD">
        <w:rPr>
          <w:lang w:val="fr-FR"/>
        </w:rPr>
        <w:t>n</w:t>
      </w:r>
      <w:r w:rsidR="006559AD" w:rsidRPr="00BD103A">
        <w:rPr>
          <w:vertAlign w:val="superscript"/>
          <w:lang w:val="fr-FR"/>
        </w:rPr>
        <w:t>o</w:t>
      </w:r>
      <w:r w:rsidR="006559AD">
        <w:rPr>
          <w:lang w:val="fr-FR"/>
        </w:rPr>
        <w:t> </w:t>
      </w:r>
      <w:r>
        <w:rPr>
          <w:lang w:val="fr-FR"/>
        </w:rPr>
        <w:t xml:space="preserve">121, d’un nouveau symbole pour les commandes </w:t>
      </w:r>
      <w:r w:rsidR="006559AD">
        <w:rPr>
          <w:lang w:val="fr-FR"/>
        </w:rPr>
        <w:t>« </w:t>
      </w:r>
      <w:r>
        <w:rPr>
          <w:lang w:val="fr-FR"/>
        </w:rPr>
        <w:t>marche/arrêt</w:t>
      </w:r>
      <w:r w:rsidR="006559AD">
        <w:rPr>
          <w:lang w:val="fr-FR"/>
        </w:rPr>
        <w:t> »</w:t>
      </w:r>
      <w:r>
        <w:rPr>
          <w:lang w:val="fr-FR"/>
        </w:rPr>
        <w:t xml:space="preserve"> dans les véhicules équipés d’une chaîne de traction électrique, tels que les véhicules électriques. Il a remercié le GRSG pour les observations reçues et a conclu que le symbole actuel dans le Règlement ONU était suffisant et qu’aucun suivi ultérieur n’était nécessaire.</w:t>
      </w:r>
    </w:p>
    <w:p w14:paraId="7D1FABDF" w14:textId="77777777" w:rsidR="00A73F28" w:rsidRDefault="00A73F28" w:rsidP="006559AD">
      <w:pPr>
        <w:pStyle w:val="SingleTxtG"/>
      </w:pPr>
      <w:r>
        <w:rPr>
          <w:lang w:val="fr-FR"/>
        </w:rPr>
        <w:t>50.</w:t>
      </w:r>
      <w:r>
        <w:rPr>
          <w:lang w:val="fr-FR"/>
        </w:rPr>
        <w:tab/>
        <w:t>Le GRSG a fait sienne la demande de l’OICA de renvoyer l’examen du document ECE/TRANS/WP.29/GRSG/2018/6 à une prochaine session.</w:t>
      </w:r>
    </w:p>
    <w:p w14:paraId="4311760F" w14:textId="77777777" w:rsidR="00A73F28" w:rsidRPr="00DD1D4D" w:rsidRDefault="00A73F28" w:rsidP="006559AD">
      <w:pPr>
        <w:pStyle w:val="SingleTxtG"/>
        <w:rPr>
          <w:szCs w:val="24"/>
        </w:rPr>
      </w:pPr>
      <w:r>
        <w:rPr>
          <w:lang w:val="fr-FR"/>
        </w:rPr>
        <w:t>51.</w:t>
      </w:r>
      <w:r>
        <w:rPr>
          <w:lang w:val="fr-FR"/>
        </w:rPr>
        <w:tab/>
        <w:t>Le Groupe de travail a décidé de reprendre l’examen de cette question à sa session suivante, prévue en octobre 201</w:t>
      </w:r>
      <w:r w:rsidR="00C026EF">
        <w:rPr>
          <w:lang w:val="fr-FR"/>
        </w:rPr>
        <w:t>9</w:t>
      </w:r>
      <w:r>
        <w:rPr>
          <w:lang w:val="fr-FR"/>
        </w:rPr>
        <w:t>.</w:t>
      </w:r>
    </w:p>
    <w:p w14:paraId="0FEAF498" w14:textId="77777777" w:rsidR="00A73F28" w:rsidRPr="00D80332" w:rsidRDefault="006559AD" w:rsidP="006559AD">
      <w:pPr>
        <w:pStyle w:val="HChG"/>
      </w:pPr>
      <w:r>
        <w:rPr>
          <w:lang w:val="fr-FR"/>
        </w:rPr>
        <w:tab/>
      </w:r>
      <w:r w:rsidR="00A73F28" w:rsidRPr="00D80332">
        <w:rPr>
          <w:lang w:val="fr-FR"/>
        </w:rPr>
        <w:t>XV.</w:t>
      </w:r>
      <w:r w:rsidR="00A73F28" w:rsidRPr="00D80332">
        <w:rPr>
          <w:lang w:val="fr-FR"/>
        </w:rPr>
        <w:tab/>
        <w:t xml:space="preserve">Règlement ONU </w:t>
      </w:r>
      <w:r>
        <w:rPr>
          <w:lang w:val="fr-FR"/>
        </w:rPr>
        <w:t>n</w:t>
      </w:r>
      <w:r w:rsidRPr="00BD103A">
        <w:rPr>
          <w:vertAlign w:val="superscript"/>
          <w:lang w:val="fr-FR"/>
        </w:rPr>
        <w:t>o</w:t>
      </w:r>
      <w:r>
        <w:rPr>
          <w:lang w:val="fr-FR"/>
        </w:rPr>
        <w:t> </w:t>
      </w:r>
      <w:r w:rsidR="00A73F28" w:rsidRPr="00D80332">
        <w:rPr>
          <w:lang w:val="fr-FR"/>
        </w:rPr>
        <w:t>144 (Systèmes automatiques d</w:t>
      </w:r>
      <w:r w:rsidR="00A73F28">
        <w:rPr>
          <w:lang w:val="fr-FR"/>
        </w:rPr>
        <w:t>’</w:t>
      </w:r>
      <w:r w:rsidR="00A73F28" w:rsidRPr="00D80332">
        <w:rPr>
          <w:lang w:val="fr-FR"/>
        </w:rPr>
        <w:t>appel d</w:t>
      </w:r>
      <w:r w:rsidR="00A73F28">
        <w:rPr>
          <w:lang w:val="fr-FR"/>
        </w:rPr>
        <w:t>’</w:t>
      </w:r>
      <w:r w:rsidR="00A73F28" w:rsidRPr="00D80332">
        <w:rPr>
          <w:lang w:val="fr-FR"/>
        </w:rPr>
        <w:t>urgence) (point 14 de l</w:t>
      </w:r>
      <w:r w:rsidR="00A73F28">
        <w:rPr>
          <w:lang w:val="fr-FR"/>
        </w:rPr>
        <w:t>’</w:t>
      </w:r>
      <w:r w:rsidR="00A73F28" w:rsidRPr="00D80332">
        <w:rPr>
          <w:lang w:val="fr-FR"/>
        </w:rPr>
        <w:t>ordre du jour)</w:t>
      </w:r>
    </w:p>
    <w:p w14:paraId="43B62836" w14:textId="77777777" w:rsidR="00A73F28" w:rsidRPr="00DD1D4D" w:rsidRDefault="000D0A30" w:rsidP="006559AD">
      <w:pPr>
        <w:pStyle w:val="SingleTxtG"/>
        <w:ind w:left="2552" w:hanging="1418"/>
        <w:jc w:val="left"/>
        <w:rPr>
          <w:i/>
        </w:rPr>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ECE/TRANS/WP.29/GRSG/2018/23</w:t>
      </w:r>
      <w:r w:rsidR="006559AD">
        <w:rPr>
          <w:lang w:val="fr-FR"/>
        </w:rPr>
        <w:br/>
      </w:r>
      <w:r w:rsidR="00A73F28">
        <w:rPr>
          <w:lang w:val="fr-FR"/>
        </w:rPr>
        <w:t>Documents informels GRSG-116-10 et GRSG-116-15.</w:t>
      </w:r>
    </w:p>
    <w:p w14:paraId="3E3173E9" w14:textId="77777777" w:rsidR="00A73F28" w:rsidRPr="00DD1D4D" w:rsidRDefault="00A73F28" w:rsidP="006559AD">
      <w:pPr>
        <w:pStyle w:val="SingleTxtG"/>
      </w:pPr>
      <w:r>
        <w:rPr>
          <w:lang w:val="fr-FR"/>
        </w:rPr>
        <w:t>52.</w:t>
      </w:r>
      <w:r>
        <w:rPr>
          <w:lang w:val="fr-FR"/>
        </w:rPr>
        <w:tab/>
        <w:t>L’experte de l’OICA a rappelé que le document ECE/TRANS/WP.29/GRSG/2018/23 avait pour objet de corriger la portée du Règlement ONU. L’expert de la Fédération de Russie a proposé de nouvelles corrections et modifications d’ordre rédactionnel (GRSG-116-15) à l’effet de permettre aux parties contractantes d’appliquer les prescriptions pertinentes pour évaluer la conformité des dispositifs automatiques d’appel d’urgence (AECD) conçus pour être installés sur des véhicules de catégories autres que M</w:t>
      </w:r>
      <w:r w:rsidRPr="00D80332">
        <w:rPr>
          <w:vertAlign w:val="subscript"/>
          <w:lang w:val="fr-FR"/>
        </w:rPr>
        <w:t>1</w:t>
      </w:r>
      <w:r>
        <w:rPr>
          <w:lang w:val="fr-FR"/>
        </w:rPr>
        <w:t xml:space="preserve"> et N</w:t>
      </w:r>
      <w:r w:rsidRPr="00D80332">
        <w:rPr>
          <w:vertAlign w:val="subscript"/>
          <w:lang w:val="fr-FR"/>
        </w:rPr>
        <w:t>1</w:t>
      </w:r>
      <w:r>
        <w:rPr>
          <w:lang w:val="fr-FR"/>
        </w:rPr>
        <w:t>. L’experte de l’OICA a présenté le document GRSG-116-10, qui clarifiait l’application de la procédure d’homologation des AECD et proposait de poursuivre avec une nouvelle série d’amendements qui donnerait un délai approprié pour le secteur. L’une et l’autre propositions ont rencontré une très large adhésion et donné lieu à plusieurs observations. L’expert de la Fédération de Russie s’est félicité des modifications proposées et s’est déclaré disposé à établir deux documents officiels pour la prochaine session du GRSG : a) un projet de complément contenant les corrections et clarifications proposées et b) un projet de série 01 d’amendements élargissant la portée du règlement et énonçant les dispositions transitoires.</w:t>
      </w:r>
    </w:p>
    <w:p w14:paraId="0A3898C0" w14:textId="77777777" w:rsidR="00A73F28" w:rsidRPr="00DD1D4D" w:rsidRDefault="00A73F28" w:rsidP="00F85958">
      <w:pPr>
        <w:pStyle w:val="SingleTxtG"/>
        <w:rPr>
          <w:bCs/>
        </w:rPr>
      </w:pPr>
      <w:r>
        <w:rPr>
          <w:lang w:val="fr-FR"/>
        </w:rPr>
        <w:t>53.</w:t>
      </w:r>
      <w:r>
        <w:rPr>
          <w:lang w:val="fr-FR"/>
        </w:rPr>
        <w:tab/>
        <w:t>Le GRSG a salué cette offre et a décidé de reprendre l’examen de cette question à sa prochaine session en s’appuyant sur une version officielle révisée de la proposition à établir par la Fédération de Russie.</w:t>
      </w:r>
    </w:p>
    <w:p w14:paraId="3848AED4" w14:textId="77777777" w:rsidR="00A73F28" w:rsidRPr="00C85593" w:rsidRDefault="00F85958" w:rsidP="00F85958">
      <w:pPr>
        <w:pStyle w:val="HChG"/>
      </w:pPr>
      <w:r>
        <w:rPr>
          <w:lang w:val="fr-FR"/>
        </w:rPr>
        <w:tab/>
      </w:r>
      <w:r w:rsidR="00A73F28" w:rsidRPr="00C85593">
        <w:rPr>
          <w:lang w:val="fr-FR"/>
        </w:rPr>
        <w:t>XVI.</w:t>
      </w:r>
      <w:r w:rsidR="00A73F28" w:rsidRPr="00C85593">
        <w:rPr>
          <w:lang w:val="fr-FR"/>
        </w:rPr>
        <w:tab/>
        <w:t>Règlement ONU n</w:t>
      </w:r>
      <w:r w:rsidR="00A73F28" w:rsidRPr="005D6964">
        <w:rPr>
          <w:vertAlign w:val="superscript"/>
          <w:lang w:val="fr-FR"/>
        </w:rPr>
        <w:t>o</w:t>
      </w:r>
      <w:r w:rsidR="005D6964">
        <w:rPr>
          <w:lang w:val="fr-FR"/>
        </w:rPr>
        <w:t> </w:t>
      </w:r>
      <w:r w:rsidR="00A73F28" w:rsidRPr="00C85593">
        <w:rPr>
          <w:lang w:val="fr-FR"/>
        </w:rPr>
        <w:t>0 (Homologation de type</w:t>
      </w:r>
      <w:r w:rsidR="00A73F28">
        <w:rPr>
          <w:lang w:val="fr-FR"/>
        </w:rPr>
        <w:t xml:space="preserve"> </w:t>
      </w:r>
      <w:r w:rsidR="00A73F28" w:rsidRPr="00C85593">
        <w:rPr>
          <w:lang w:val="fr-FR"/>
        </w:rPr>
        <w:t>internationale de l</w:t>
      </w:r>
      <w:r w:rsidR="00A73F28">
        <w:rPr>
          <w:lang w:val="fr-FR"/>
        </w:rPr>
        <w:t>’</w:t>
      </w:r>
      <w:r w:rsidR="00A73F28" w:rsidRPr="00C85593">
        <w:rPr>
          <w:lang w:val="fr-FR"/>
        </w:rPr>
        <w:t>ensemble du véhicule)</w:t>
      </w:r>
      <w:r w:rsidR="00A73F28">
        <w:rPr>
          <w:lang w:val="fr-FR"/>
        </w:rPr>
        <w:t xml:space="preserve"> </w:t>
      </w:r>
      <w:r w:rsidR="00A73F28" w:rsidRPr="00C85593">
        <w:rPr>
          <w:lang w:val="fr-FR"/>
        </w:rPr>
        <w:t>(point 15 de l</w:t>
      </w:r>
      <w:r w:rsidR="00A73F28">
        <w:rPr>
          <w:lang w:val="fr-FR"/>
        </w:rPr>
        <w:t>’</w:t>
      </w:r>
      <w:r w:rsidR="00A73F28" w:rsidRPr="00C85593">
        <w:rPr>
          <w:lang w:val="fr-FR"/>
        </w:rPr>
        <w:t>ordre du jour)</w:t>
      </w:r>
    </w:p>
    <w:p w14:paraId="5767D3E1" w14:textId="77777777" w:rsidR="00A73F28" w:rsidRPr="00DD1D4D" w:rsidRDefault="000D0A30" w:rsidP="00635B94">
      <w:pPr>
        <w:pStyle w:val="SingleTxtG"/>
        <w:ind w:left="2552" w:hanging="1418"/>
        <w:jc w:val="left"/>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Documents informels WP.29-176-21 et GRSG-116-47.</w:t>
      </w:r>
    </w:p>
    <w:p w14:paraId="453848E9" w14:textId="77777777" w:rsidR="00A73F28" w:rsidRPr="00DD1D4D" w:rsidRDefault="00A73F28" w:rsidP="005D6964">
      <w:pPr>
        <w:pStyle w:val="SingleTxtG"/>
      </w:pPr>
      <w:r>
        <w:rPr>
          <w:lang w:val="fr-FR"/>
        </w:rPr>
        <w:t>54.</w:t>
      </w:r>
      <w:r>
        <w:rPr>
          <w:lang w:val="fr-FR"/>
        </w:rPr>
        <w:tab/>
      </w:r>
      <w:r w:rsidRPr="005D6964">
        <w:rPr>
          <w:spacing w:val="-1"/>
          <w:lang w:val="fr-FR"/>
        </w:rPr>
        <w:t>Le GRSG a noté que le WP.29 et l’AC.1 avaient adopté à leur session de mars 2019</w:t>
      </w:r>
      <w:r w:rsidR="005D6964" w:rsidRPr="005D6964">
        <w:rPr>
          <w:spacing w:val="-1"/>
          <w:lang w:val="fr-FR"/>
        </w:rPr>
        <w:t> </w:t>
      </w:r>
      <w:r w:rsidRPr="005D6964">
        <w:rPr>
          <w:spacing w:val="-1"/>
          <w:lang w:val="fr-FR"/>
        </w:rPr>
        <w:t>:</w:t>
      </w:r>
      <w:r>
        <w:rPr>
          <w:lang w:val="fr-FR"/>
        </w:rPr>
        <w:t xml:space="preserve"> a)</w:t>
      </w:r>
      <w:r w:rsidR="005D6964">
        <w:rPr>
          <w:lang w:val="fr-FR"/>
        </w:rPr>
        <w:t> </w:t>
      </w:r>
      <w:r>
        <w:rPr>
          <w:lang w:val="fr-FR"/>
        </w:rPr>
        <w:t xml:space="preserve">le projet de série 01 d’amendements au Règlement </w:t>
      </w:r>
      <w:r w:rsidR="00DF7B07">
        <w:rPr>
          <w:lang w:val="fr-FR"/>
        </w:rPr>
        <w:t xml:space="preserve">ONU </w:t>
      </w:r>
      <w:r>
        <w:rPr>
          <w:lang w:val="fr-FR"/>
        </w:rPr>
        <w:t>n</w:t>
      </w:r>
      <w:r w:rsidRPr="005D6964">
        <w:rPr>
          <w:vertAlign w:val="superscript"/>
          <w:lang w:val="fr-FR"/>
        </w:rPr>
        <w:t>o</w:t>
      </w:r>
      <w:r w:rsidR="005D6964">
        <w:rPr>
          <w:lang w:val="fr-FR"/>
        </w:rPr>
        <w:t> </w:t>
      </w:r>
      <w:r>
        <w:rPr>
          <w:lang w:val="fr-FR"/>
        </w:rPr>
        <w:t>0 (ECE/TRANS/WP.29/2018/82) et b) le projet d’amendement à l’annexe 4 de l’Accord de 1958 sur la numérotation des homologations de type (ECE/TRANS/WP.29/2018/165).</w:t>
      </w:r>
    </w:p>
    <w:p w14:paraId="1B51FB3F" w14:textId="77777777" w:rsidR="00A73F28" w:rsidRPr="00DD1D4D" w:rsidRDefault="00A73F28" w:rsidP="005D6964">
      <w:pPr>
        <w:pStyle w:val="SingleTxtG"/>
      </w:pPr>
      <w:r>
        <w:rPr>
          <w:lang w:val="fr-FR"/>
        </w:rPr>
        <w:t>55.</w:t>
      </w:r>
      <w:r>
        <w:rPr>
          <w:lang w:val="fr-FR"/>
        </w:rPr>
        <w:tab/>
        <w:t>Le GRSG a également pris note des débats de la récente session du WP.29 sur la feuille de route pour la phase 2 (2018-2022) d</w:t>
      </w:r>
      <w:r w:rsidR="005E654F">
        <w:rPr>
          <w:lang w:val="fr-FR"/>
        </w:rPr>
        <w:t>’</w:t>
      </w:r>
      <w:r>
        <w:rPr>
          <w:lang w:val="fr-FR"/>
        </w:rPr>
        <w:t xml:space="preserve">homologation de type internationale de l’ensemble du véhicule (IWVTA). Comme l’a demandé le WP.29, le GRSG a examiné les thèmes possibles de règlements techniques applicables à cette phase (WP.29-176-21). </w:t>
      </w:r>
      <w:r>
        <w:rPr>
          <w:lang w:val="fr-FR"/>
        </w:rPr>
        <w:lastRenderedPageBreak/>
        <w:t>Le</w:t>
      </w:r>
      <w:r w:rsidR="005D6964">
        <w:rPr>
          <w:lang w:val="fr-FR"/>
        </w:rPr>
        <w:t> </w:t>
      </w:r>
      <w:r>
        <w:rPr>
          <w:lang w:val="fr-FR"/>
        </w:rPr>
        <w:t>GRSG a approuvé l’ordre de priorité des thèmes possibles, comme indiqué dans le document GRSG-116-47. Le secrétariat a été prié de transmettre le document GRSG</w:t>
      </w:r>
      <w:r w:rsidR="005D6964">
        <w:rPr>
          <w:lang w:val="fr-FR"/>
        </w:rPr>
        <w:noBreakHyphen/>
      </w:r>
      <w:r>
        <w:rPr>
          <w:lang w:val="fr-FR"/>
        </w:rPr>
        <w:t>116</w:t>
      </w:r>
      <w:r w:rsidR="005D6964">
        <w:rPr>
          <w:lang w:val="fr-FR"/>
        </w:rPr>
        <w:noBreakHyphen/>
      </w:r>
      <w:r>
        <w:rPr>
          <w:lang w:val="fr-FR"/>
        </w:rPr>
        <w:t>47 au groupe de travail informel sur l’IWVTA pour examen à sa prochaine session en juin 2019.</w:t>
      </w:r>
    </w:p>
    <w:p w14:paraId="3320693E" w14:textId="77777777" w:rsidR="00A73F28" w:rsidRPr="00C85593" w:rsidRDefault="005D6964" w:rsidP="005D6964">
      <w:pPr>
        <w:pStyle w:val="HChG"/>
      </w:pPr>
      <w:r>
        <w:rPr>
          <w:lang w:val="fr-FR"/>
        </w:rPr>
        <w:tab/>
      </w:r>
      <w:r w:rsidR="00A73F28" w:rsidRPr="00C85593">
        <w:rPr>
          <w:lang w:val="fr-FR"/>
        </w:rPr>
        <w:t>XVII.</w:t>
      </w:r>
      <w:r w:rsidR="00A73F28" w:rsidRPr="00C85593">
        <w:rPr>
          <w:lang w:val="fr-FR"/>
        </w:rPr>
        <w:tab/>
        <w:t>Résolution d</w:t>
      </w:r>
      <w:r w:rsidR="00A73F28">
        <w:rPr>
          <w:lang w:val="fr-FR"/>
        </w:rPr>
        <w:t>’</w:t>
      </w:r>
      <w:r w:rsidR="00A73F28" w:rsidRPr="00C85593">
        <w:rPr>
          <w:lang w:val="fr-FR"/>
        </w:rPr>
        <w:t>ensemble sur la construction des véhicules (R.E.3) (point 16 de l</w:t>
      </w:r>
      <w:r w:rsidR="00A73F28">
        <w:rPr>
          <w:lang w:val="fr-FR"/>
        </w:rPr>
        <w:t>’</w:t>
      </w:r>
      <w:r w:rsidR="00A73F28" w:rsidRPr="00C85593">
        <w:rPr>
          <w:lang w:val="fr-FR"/>
        </w:rPr>
        <w:t>ordre du jour)</w:t>
      </w:r>
    </w:p>
    <w:p w14:paraId="7D7242B1" w14:textId="77777777" w:rsidR="00A73F28" w:rsidRPr="00DD1D4D" w:rsidRDefault="000D0A30" w:rsidP="00635B94">
      <w:pPr>
        <w:pStyle w:val="SingleTxtG"/>
        <w:ind w:left="2552" w:hanging="1418"/>
        <w:jc w:val="left"/>
        <w:rPr>
          <w:i/>
        </w:rPr>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ECE/TRANS/WP.29/GRSG/2019/8</w:t>
      </w:r>
      <w:r w:rsidR="005D6964">
        <w:rPr>
          <w:lang w:val="fr-FR"/>
        </w:rPr>
        <w:t>.</w:t>
      </w:r>
    </w:p>
    <w:p w14:paraId="237571F8" w14:textId="77777777" w:rsidR="00A73F28" w:rsidRPr="00DD1D4D" w:rsidRDefault="00A73F28" w:rsidP="005D6964">
      <w:pPr>
        <w:pStyle w:val="SingleTxtG"/>
      </w:pPr>
      <w:r>
        <w:rPr>
          <w:lang w:val="fr-FR"/>
        </w:rPr>
        <w:t>56.</w:t>
      </w:r>
      <w:r>
        <w:rPr>
          <w:lang w:val="fr-FR"/>
        </w:rPr>
        <w:tab/>
        <w:t xml:space="preserve">Rappelant les débats de la précédente session du GRSG, l’expert de l’IMMA a présenté le document ECE/TRANS/WP.29/GRSG/2019/8 visant à modifier les dispositions de la R.E.3 pour permettre l’application de </w:t>
      </w:r>
      <w:r w:rsidR="005D6964">
        <w:rPr>
          <w:lang w:val="fr-FR"/>
        </w:rPr>
        <w:t>« </w:t>
      </w:r>
      <w:r>
        <w:rPr>
          <w:lang w:val="fr-FR"/>
        </w:rPr>
        <w:t>roues jumelées</w:t>
      </w:r>
      <w:r w:rsidR="005D6964">
        <w:rPr>
          <w:lang w:val="fr-FR"/>
        </w:rPr>
        <w:t> »</w:t>
      </w:r>
      <w:r>
        <w:rPr>
          <w:lang w:val="fr-FR"/>
        </w:rPr>
        <w:t xml:space="preserve"> sur tous les véhicules de la catégorie L. Notant la très large adhésion en faveur de cette proposition, le GRSG a adopté le document. Le secrétariat a été prié de soumettre le document ECE/TRANS/WP.29/GRSG/2019/8 au WP.29 en tant qu’amendement à la R.E.3, pour examen à sa session de novembre 2019.</w:t>
      </w:r>
    </w:p>
    <w:p w14:paraId="6BA1FFB2" w14:textId="77777777" w:rsidR="00A73F28" w:rsidRPr="00DD1D4D" w:rsidRDefault="00A73F28" w:rsidP="005D6964">
      <w:pPr>
        <w:pStyle w:val="SingleTxtG"/>
      </w:pPr>
      <w:r>
        <w:rPr>
          <w:lang w:val="fr-FR"/>
        </w:rPr>
        <w:t>57.</w:t>
      </w:r>
      <w:r>
        <w:rPr>
          <w:lang w:val="fr-FR"/>
        </w:rPr>
        <w:tab/>
        <w:t>L’expert de l’IMMA s’est porté volontaire pour vérifier si un amendement parallèle à la Résolution spéciale n</w:t>
      </w:r>
      <w:r w:rsidRPr="005D6964">
        <w:rPr>
          <w:vertAlign w:val="superscript"/>
          <w:lang w:val="fr-FR"/>
        </w:rPr>
        <w:t>o</w:t>
      </w:r>
      <w:r w:rsidR="005D6964">
        <w:rPr>
          <w:lang w:val="fr-FR"/>
        </w:rPr>
        <w:t> </w:t>
      </w:r>
      <w:r>
        <w:rPr>
          <w:lang w:val="fr-FR"/>
        </w:rPr>
        <w:t>1 (R.S.1) relevant de l’Accord de 1998 était nécessaire et a proposé de tenir le GRSG informé.</w:t>
      </w:r>
    </w:p>
    <w:p w14:paraId="40DB503E" w14:textId="77777777" w:rsidR="00A73F28" w:rsidRPr="00C85593" w:rsidRDefault="005D6964" w:rsidP="005D6964">
      <w:pPr>
        <w:pStyle w:val="HChG"/>
      </w:pPr>
      <w:r>
        <w:rPr>
          <w:lang w:val="fr-FR"/>
        </w:rPr>
        <w:tab/>
      </w:r>
      <w:r w:rsidR="00A73F28" w:rsidRPr="00C85593">
        <w:rPr>
          <w:lang w:val="fr-FR"/>
        </w:rPr>
        <w:t>XVIII.</w:t>
      </w:r>
      <w:r w:rsidR="00A73F28" w:rsidRPr="00C85593">
        <w:rPr>
          <w:lang w:val="fr-FR"/>
        </w:rPr>
        <w:tab/>
        <w:t xml:space="preserve">Enregistreur de données de route </w:t>
      </w:r>
      <w:r>
        <w:rPr>
          <w:lang w:val="fr-FR"/>
        </w:rPr>
        <w:br/>
      </w:r>
      <w:r w:rsidR="00A73F28" w:rsidRPr="00C85593">
        <w:rPr>
          <w:lang w:val="fr-FR"/>
        </w:rPr>
        <w:t>(point 17 de l</w:t>
      </w:r>
      <w:r w:rsidR="00A73F28">
        <w:rPr>
          <w:lang w:val="fr-FR"/>
        </w:rPr>
        <w:t>’</w:t>
      </w:r>
      <w:r w:rsidR="00A73F28" w:rsidRPr="00C85593">
        <w:rPr>
          <w:lang w:val="fr-FR"/>
        </w:rPr>
        <w:t>ordre du jour)</w:t>
      </w:r>
    </w:p>
    <w:p w14:paraId="38A228AD" w14:textId="77777777" w:rsidR="00A73F28" w:rsidRPr="00DD1D4D" w:rsidRDefault="000D0A30" w:rsidP="005D6964">
      <w:pPr>
        <w:pStyle w:val="SingleTxtG"/>
        <w:ind w:left="2552" w:hanging="1418"/>
        <w:jc w:val="left"/>
        <w:rPr>
          <w:i/>
        </w:rPr>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ECE/TRANS/WP.29/2019/2</w:t>
      </w:r>
      <w:r w:rsidR="005D6964">
        <w:rPr>
          <w:lang w:val="fr-FR"/>
        </w:rPr>
        <w:br/>
      </w:r>
      <w:r w:rsidR="00A73F28">
        <w:rPr>
          <w:lang w:val="fr-FR"/>
        </w:rPr>
        <w:t xml:space="preserve">Documents informels WP.29-177-19, GRSG-116-42 </w:t>
      </w:r>
      <w:r w:rsidR="005D6964">
        <w:rPr>
          <w:lang w:val="fr-FR"/>
        </w:rPr>
        <w:br/>
      </w:r>
      <w:r w:rsidR="00A73F28">
        <w:rPr>
          <w:lang w:val="fr-FR"/>
        </w:rPr>
        <w:t>et GRSG-116-43-Rev.1</w:t>
      </w:r>
      <w:r w:rsidR="005D6964">
        <w:rPr>
          <w:lang w:val="fr-FR"/>
        </w:rPr>
        <w:t>.</w:t>
      </w:r>
    </w:p>
    <w:p w14:paraId="3FFF39A2" w14:textId="77777777" w:rsidR="00A73F28" w:rsidRPr="00DD1D4D" w:rsidRDefault="00A73F28" w:rsidP="00517C88">
      <w:pPr>
        <w:pStyle w:val="SingleTxtG"/>
        <w:rPr>
          <w:iCs/>
        </w:rPr>
      </w:pPr>
      <w:r>
        <w:rPr>
          <w:lang w:val="fr-FR"/>
        </w:rPr>
        <w:t>58.</w:t>
      </w:r>
      <w:r>
        <w:rPr>
          <w:lang w:val="fr-FR"/>
        </w:rPr>
        <w:tab/>
        <w:t>Le GRSG a pris note des documents ECE/TRANS/WP.29/2019/2 et WP.29-177-19 sur les priorités de travail du WP.29 et de l’AC.3 concernant les véhicules automatisés/connectés et de la décision de ces deux organes d’appeler le GRSG à reprendre ses travaux en vue de l’élaboration d’un nouveau Règlement technique mondial (RTM) de l’ONU sur les enregistreurs de données de route (EDR).</w:t>
      </w:r>
    </w:p>
    <w:p w14:paraId="3D52CBF3" w14:textId="77777777" w:rsidR="00A73F28" w:rsidRPr="00DD1D4D" w:rsidRDefault="00A73F28" w:rsidP="00517C88">
      <w:pPr>
        <w:pStyle w:val="SingleTxtG"/>
      </w:pPr>
      <w:r>
        <w:rPr>
          <w:lang w:val="fr-FR"/>
        </w:rPr>
        <w:t>59.</w:t>
      </w:r>
      <w:r>
        <w:rPr>
          <w:lang w:val="fr-FR"/>
        </w:rPr>
        <w:tab/>
        <w:t>L’experte de l’OICA a présenté le document GRSG-116-42 sur la position de l’industrie automobile en faveur de l’élaboration d’un nouveau règlement ONU sur les systèmes d’EDR et, en parallèle, d’un système de stockage des données pour véhicules à conduite automatisée (DSSAD). Elle a ajouté que des discussions sur le DSSAD avaient déjà eu lieu au sein du Groupe de travail des véhicules automatisés/autonomes et connectés (GRVA), en particulier au sein de son groupe de travail informel sur les fonctions de direction à commande automatique (ACSF). Elle a conclu que les fonctions des deux systèmes, EDR et DSSAD, étaient différentes, mais que le matériel pouvait être le même et devait donc être développé en parallèle. Les experts de l’Allemagne et de la CLEPA ont approuvé cette position et souligné l’urgence de travailler sur ces questions.</w:t>
      </w:r>
    </w:p>
    <w:p w14:paraId="2C6709C9" w14:textId="77777777" w:rsidR="00A73F28" w:rsidRPr="00DD1D4D" w:rsidRDefault="00A73F28" w:rsidP="00517C88">
      <w:pPr>
        <w:pStyle w:val="SingleTxtG"/>
        <w:rPr>
          <w:iCs/>
        </w:rPr>
      </w:pPr>
      <w:r>
        <w:rPr>
          <w:lang w:val="fr-FR"/>
        </w:rPr>
        <w:t>60.</w:t>
      </w:r>
      <w:r>
        <w:rPr>
          <w:lang w:val="fr-FR"/>
        </w:rPr>
        <w:tab/>
        <w:t>L’expert des Pays-Bas a suggéré de créer un groupe de travail informel relevant du GRSG et du GRVA, qui serait chargé d’élaborer des projets de propositions réglementaires pour de nouveaux règlements ONU sur les systèmes d’EDR pour les véhicules classiques et automatisés/autonomes, et sur le DSSAD. Les experts de la Chine et du Japon ont salué cette initiative et ont proposé de contribuer aux activités. Le GRSG est convenu de la nécessité de créer un groupe de travail informel EDR/DSSAD (éventuellement sous l’égide du GRSG et du GRVA).</w:t>
      </w:r>
    </w:p>
    <w:p w14:paraId="07EF3C10" w14:textId="77777777" w:rsidR="00A73F28" w:rsidRPr="00DD1D4D" w:rsidRDefault="00A73F28" w:rsidP="00517C88">
      <w:pPr>
        <w:pStyle w:val="SingleTxtG"/>
        <w:rPr>
          <w:iCs/>
        </w:rPr>
      </w:pPr>
      <w:r>
        <w:rPr>
          <w:lang w:val="fr-FR"/>
        </w:rPr>
        <w:t>61.</w:t>
      </w:r>
      <w:r>
        <w:rPr>
          <w:lang w:val="fr-FR"/>
        </w:rPr>
        <w:tab/>
        <w:t xml:space="preserve">L’expert des Pays-Bas a présenté le document GRSG-116-43 (présenté conjointement par les experts du Japon et des Pays-Bas), qui proposait un premier projet de mandat et de règlement intérieur pour le nouveau groupe de travail informel EDR/DSSAD. Le GRSG a examiné le document en détail et a pris note de certains changements à la proposition, tels qu’ils figurent dans le document GRSG-116-43-Rev.1. Le GRSG a également pris note de plusieurs préoccupations concernant la faisabilité des tâches prévues </w:t>
      </w:r>
      <w:r>
        <w:rPr>
          <w:lang w:val="fr-FR"/>
        </w:rPr>
        <w:lastRenderedPageBreak/>
        <w:t>dans les délais prescrits aux paragraphes</w:t>
      </w:r>
      <w:r w:rsidR="00517C88">
        <w:rPr>
          <w:lang w:val="fr-FR"/>
        </w:rPr>
        <w:t> </w:t>
      </w:r>
      <w:r>
        <w:rPr>
          <w:lang w:val="fr-FR"/>
        </w:rPr>
        <w:t>6 et 7 de la proposition. Le GRSG a demandé au secrétariat de transmettre le document GRSG-116-43-Rev.1 au GRVA, afin que celui-ci l’examine à sa session extraordinaire de juin 2019.</w:t>
      </w:r>
      <w:bookmarkStart w:id="1" w:name="_Hlk6245352"/>
    </w:p>
    <w:p w14:paraId="7FDFF5B2" w14:textId="77777777" w:rsidR="00A73F28" w:rsidRPr="00DD1D4D" w:rsidRDefault="00A73F28" w:rsidP="00360726">
      <w:pPr>
        <w:pStyle w:val="SingleTxtG"/>
        <w:rPr>
          <w:iCs/>
        </w:rPr>
      </w:pPr>
      <w:r>
        <w:rPr>
          <w:lang w:val="fr-FR"/>
        </w:rPr>
        <w:t>62.</w:t>
      </w:r>
      <w:r>
        <w:rPr>
          <w:lang w:val="fr-FR"/>
        </w:rPr>
        <w:tab/>
        <w:t>Suite à l’intervention de certaines délégations ayant fait valoir l’urgence de ces nouvelles activités, le GRSG a décidé de procéder entre-temps en mobilisant une équipe spéciale chargée de travailler à l’EDR.</w:t>
      </w:r>
    </w:p>
    <w:bookmarkEnd w:id="1"/>
    <w:p w14:paraId="4DE19D3B" w14:textId="77777777" w:rsidR="00A73F28" w:rsidRPr="00DD1D4D" w:rsidRDefault="00A73F28" w:rsidP="00360726">
      <w:pPr>
        <w:pStyle w:val="SingleTxtG"/>
        <w:rPr>
          <w:iCs/>
        </w:rPr>
      </w:pPr>
      <w:r>
        <w:rPr>
          <w:lang w:val="fr-FR"/>
        </w:rPr>
        <w:t>63.</w:t>
      </w:r>
      <w:r>
        <w:rPr>
          <w:lang w:val="fr-FR"/>
        </w:rPr>
        <w:tab/>
        <w:t>Le GRSG a décidé de reprendre l’examen de cette question à sa prochaine session en octobre 2019, sur la base du résultat qu’auront produit les rencontres de l’équipe spéciale. Le Président a annoncé qu’il informerait le Forum mondial WP.29, le Comité de coordination AC.2 et le Comité exécutif AC.3 à leurs prochaines sessions en juin 2019.</w:t>
      </w:r>
    </w:p>
    <w:p w14:paraId="6359CC1B" w14:textId="77777777" w:rsidR="00A73F28" w:rsidRPr="004B274B" w:rsidRDefault="00360726" w:rsidP="00360726">
      <w:pPr>
        <w:pStyle w:val="HChG"/>
      </w:pPr>
      <w:r>
        <w:rPr>
          <w:lang w:val="fr-FR"/>
        </w:rPr>
        <w:tab/>
      </w:r>
      <w:r w:rsidR="00A73F28" w:rsidRPr="004B274B">
        <w:rPr>
          <w:lang w:val="fr-FR"/>
        </w:rPr>
        <w:t>XIX.</w:t>
      </w:r>
      <w:r w:rsidR="00A73F28" w:rsidRPr="004B274B">
        <w:rPr>
          <w:lang w:val="fr-FR"/>
        </w:rPr>
        <w:tab/>
        <w:t>Échange de vues sur l</w:t>
      </w:r>
      <w:r w:rsidR="00A73F28">
        <w:rPr>
          <w:lang w:val="fr-FR"/>
        </w:rPr>
        <w:t>’</w:t>
      </w:r>
      <w:r w:rsidR="00A73F28" w:rsidRPr="004B274B">
        <w:rPr>
          <w:lang w:val="fr-FR"/>
        </w:rPr>
        <w:t>automatisation des véhicules</w:t>
      </w:r>
      <w:r w:rsidR="00A73F28">
        <w:rPr>
          <w:lang w:val="fr-FR"/>
        </w:rPr>
        <w:t xml:space="preserve"> </w:t>
      </w:r>
      <w:r>
        <w:rPr>
          <w:lang w:val="fr-FR"/>
        </w:rPr>
        <w:br/>
      </w:r>
      <w:r w:rsidR="00A73F28" w:rsidRPr="004B274B">
        <w:rPr>
          <w:lang w:val="fr-FR"/>
        </w:rPr>
        <w:t>(point 18 de l</w:t>
      </w:r>
      <w:r w:rsidR="00A73F28">
        <w:rPr>
          <w:lang w:val="fr-FR"/>
        </w:rPr>
        <w:t>’</w:t>
      </w:r>
      <w:r w:rsidR="00A73F28" w:rsidRPr="004B274B">
        <w:rPr>
          <w:lang w:val="fr-FR"/>
        </w:rPr>
        <w:t>ordre du jour)</w:t>
      </w:r>
    </w:p>
    <w:p w14:paraId="06F80253" w14:textId="77777777" w:rsidR="00A73F28" w:rsidRPr="00DD1D4D" w:rsidRDefault="000D0A30" w:rsidP="00635B94">
      <w:pPr>
        <w:pStyle w:val="SingleTxtG"/>
        <w:ind w:left="2552" w:hanging="1418"/>
        <w:jc w:val="left"/>
        <w:rPr>
          <w:i/>
        </w:rPr>
      </w:pPr>
      <w:r w:rsidRPr="000D0A30">
        <w:rPr>
          <w:b/>
          <w:lang w:val="fr-FR"/>
        </w:rPr>
        <w:t>Document</w:t>
      </w:r>
      <w:r>
        <w:rPr>
          <w:b/>
          <w:lang w:val="fr-FR"/>
        </w:rPr>
        <w:t>(</w:t>
      </w:r>
      <w:r w:rsidRPr="000D0A30">
        <w:rPr>
          <w:b/>
          <w:lang w:val="fr-FR"/>
        </w:rPr>
        <w:t>s</w:t>
      </w:r>
      <w:r>
        <w:rPr>
          <w:b/>
          <w:lang w:val="fr-FR"/>
        </w:rPr>
        <w:t>) </w:t>
      </w:r>
      <w:r w:rsidRPr="000D0A30">
        <w:rPr>
          <w:b/>
        </w:rPr>
        <w:t>:</w:t>
      </w:r>
      <w:r w:rsidR="00A73F28">
        <w:rPr>
          <w:lang w:val="fr-FR"/>
        </w:rPr>
        <w:tab/>
        <w:t>Documents informels GRSG-116-45 et GRSG-116-46.</w:t>
      </w:r>
    </w:p>
    <w:p w14:paraId="737DEDCF" w14:textId="77777777" w:rsidR="00A73F28" w:rsidRPr="00DD1D4D" w:rsidRDefault="00A73F28" w:rsidP="00360726">
      <w:pPr>
        <w:pStyle w:val="SingleTxtG"/>
        <w:rPr>
          <w:iCs/>
        </w:rPr>
      </w:pPr>
      <w:r>
        <w:rPr>
          <w:lang w:val="fr-FR"/>
        </w:rPr>
        <w:t>64.</w:t>
      </w:r>
      <w:r>
        <w:rPr>
          <w:lang w:val="fr-FR"/>
        </w:rPr>
        <w:tab/>
        <w:t>Le GRSG a pris note des informations communiquées par le secrétariat sur les activités et les priorités du WP.29 concernant les véhicules automatisés et autonomes (GRSG-116-45), qui complètent les informations reçues au titre du point</w:t>
      </w:r>
      <w:r w:rsidR="00360726">
        <w:rPr>
          <w:lang w:val="fr-FR"/>
        </w:rPr>
        <w:t> </w:t>
      </w:r>
      <w:r>
        <w:rPr>
          <w:lang w:val="fr-FR"/>
        </w:rPr>
        <w:t>17 de l’ordre du jour (voir par.</w:t>
      </w:r>
      <w:r w:rsidR="00360726">
        <w:rPr>
          <w:lang w:val="fr-FR"/>
        </w:rPr>
        <w:t> </w:t>
      </w:r>
      <w:r>
        <w:rPr>
          <w:lang w:val="fr-FR"/>
        </w:rPr>
        <w:t xml:space="preserve">58 ci-dessus). L’experte de l’OICA a rendu compte de l’état d’avancement des travaux, du calendrier des activités connexes et des difficultés rencontrées par le GRVA s’agissant des véhicules automatisés (GRSG-116-46). </w:t>
      </w:r>
    </w:p>
    <w:p w14:paraId="41191F3A" w14:textId="77777777" w:rsidR="00A73F28" w:rsidRPr="00DD1D4D" w:rsidRDefault="00A73F28" w:rsidP="00360726">
      <w:pPr>
        <w:pStyle w:val="SingleTxtG"/>
      </w:pPr>
      <w:r>
        <w:rPr>
          <w:lang w:val="fr-FR"/>
        </w:rPr>
        <w:t>65.</w:t>
      </w:r>
      <w:r>
        <w:rPr>
          <w:lang w:val="fr-FR"/>
        </w:rPr>
        <w:tab/>
        <w:t xml:space="preserve">En réponse à une question de l’expert du Royaume-Uni, le GRSG a noté que le WP.29 et l’AC.2 assureraient la coordination de toutes les activités relatives à l’automatisation des véhicules entre leurs organes subsidiaires (le GRSG et le GRVA) et que le Comité des transports intérieurs avait récemment créé une équipe spéciale exécutive WP.1/WP.29 pour coordonner les activités connexes entre le Forum mondial WP.29 et le Forum mondial de la sécurité routière (WP.1). </w:t>
      </w:r>
    </w:p>
    <w:p w14:paraId="7BCFC5D0" w14:textId="77777777" w:rsidR="00A73F28" w:rsidRPr="00DD1D4D" w:rsidRDefault="00A73F28" w:rsidP="00360726">
      <w:pPr>
        <w:pStyle w:val="SingleTxtG"/>
      </w:pPr>
      <w:r>
        <w:rPr>
          <w:lang w:val="fr-FR"/>
        </w:rPr>
        <w:t>66.</w:t>
      </w:r>
      <w:r>
        <w:rPr>
          <w:lang w:val="fr-FR"/>
        </w:rPr>
        <w:tab/>
        <w:t>Le GRSG a décidé de reprendre l’examen de cette question à sa prochaine session sur la base d’une liste de règlements ONU relevant de sa responsabilité qui mettent essentiellement l’accent sur le conducteur du véhicule. L’experte de l’OICA s’est portée volontaire pour établir cette liste.</w:t>
      </w:r>
    </w:p>
    <w:p w14:paraId="6CE4C348" w14:textId="77777777" w:rsidR="00A73F28" w:rsidRPr="00A13875" w:rsidRDefault="00360726" w:rsidP="00360726">
      <w:pPr>
        <w:pStyle w:val="HChG"/>
      </w:pPr>
      <w:r>
        <w:rPr>
          <w:lang w:val="fr-FR"/>
        </w:rPr>
        <w:tab/>
      </w:r>
      <w:r w:rsidR="00A73F28" w:rsidRPr="00A13875">
        <w:rPr>
          <w:lang w:val="fr-FR"/>
        </w:rPr>
        <w:t>XX.</w:t>
      </w:r>
      <w:r w:rsidR="00A73F28" w:rsidRPr="00A13875">
        <w:rPr>
          <w:lang w:val="fr-FR"/>
        </w:rPr>
        <w:tab/>
        <w:t>Questions diverses (point 19 de l</w:t>
      </w:r>
      <w:r w:rsidR="00A73F28">
        <w:rPr>
          <w:lang w:val="fr-FR"/>
        </w:rPr>
        <w:t>’</w:t>
      </w:r>
      <w:r w:rsidR="00A73F28" w:rsidRPr="00A13875">
        <w:rPr>
          <w:lang w:val="fr-FR"/>
        </w:rPr>
        <w:t>ordre du jour)</w:t>
      </w:r>
    </w:p>
    <w:p w14:paraId="1F2491C7" w14:textId="77777777" w:rsidR="00A73F28" w:rsidRPr="00DD1D4D" w:rsidRDefault="00A73F28" w:rsidP="00635B94">
      <w:pPr>
        <w:pStyle w:val="SingleTxtG"/>
        <w:ind w:left="2552" w:hanging="1418"/>
        <w:jc w:val="left"/>
      </w:pPr>
      <w:r w:rsidRPr="00360726">
        <w:rPr>
          <w:b/>
          <w:lang w:val="fr-FR"/>
        </w:rPr>
        <w:t>Document(s)</w:t>
      </w:r>
      <w:r w:rsidR="00360726">
        <w:rPr>
          <w:b/>
          <w:lang w:val="fr-FR"/>
        </w:rPr>
        <w:t> </w:t>
      </w:r>
      <w:r w:rsidRPr="00360726">
        <w:rPr>
          <w:b/>
          <w:lang w:val="fr-FR"/>
        </w:rPr>
        <w:t>:</w:t>
      </w:r>
      <w:r w:rsidRPr="00A13875">
        <w:rPr>
          <w:i/>
          <w:lang w:val="fr-FR"/>
        </w:rPr>
        <w:t xml:space="preserve"> </w:t>
      </w:r>
      <w:r w:rsidRPr="00A13875">
        <w:rPr>
          <w:i/>
          <w:lang w:val="fr-FR"/>
        </w:rPr>
        <w:tab/>
      </w:r>
      <w:r>
        <w:rPr>
          <w:lang w:val="fr-FR"/>
        </w:rPr>
        <w:t>Document informel GRSG-116-23.</w:t>
      </w:r>
    </w:p>
    <w:p w14:paraId="58F93311" w14:textId="77777777" w:rsidR="00A73F28" w:rsidRPr="00DD1D4D" w:rsidRDefault="00A73F28" w:rsidP="00C22A23">
      <w:pPr>
        <w:pStyle w:val="SingleTxtG"/>
      </w:pPr>
      <w:r>
        <w:rPr>
          <w:lang w:val="fr-FR"/>
        </w:rPr>
        <w:t>67.</w:t>
      </w:r>
      <w:r>
        <w:rPr>
          <w:lang w:val="fr-FR"/>
        </w:rPr>
        <w:tab/>
        <w:t>L’expert des Pays-Bas a invité les experts intéressés à participer à la vingt-sixième Conférence technique internationale sur le renforcement de la sécurité des véhicules (ESV), qui se tiendra à Eindhoven (Pays-Bas) du 10 au 13</w:t>
      </w:r>
      <w:r w:rsidR="00C22A23">
        <w:rPr>
          <w:lang w:val="fr-FR"/>
        </w:rPr>
        <w:t> </w:t>
      </w:r>
      <w:r>
        <w:rPr>
          <w:lang w:val="fr-FR"/>
        </w:rPr>
        <w:t>juin 2019, en coopération avec la National Highway Traffic Safety Administration (NHTSA) du Département des transports des États-Unis.</w:t>
      </w:r>
    </w:p>
    <w:p w14:paraId="6B2900B8" w14:textId="77777777" w:rsidR="00A73F28" w:rsidRPr="00A13875" w:rsidRDefault="00C22A23" w:rsidP="00C22A23">
      <w:pPr>
        <w:pStyle w:val="H1G"/>
      </w:pPr>
      <w:r>
        <w:rPr>
          <w:lang w:val="fr-FR"/>
        </w:rPr>
        <w:tab/>
      </w:r>
      <w:r w:rsidR="00A73F28" w:rsidRPr="00A13875">
        <w:rPr>
          <w:lang w:val="fr-FR"/>
        </w:rPr>
        <w:t>A.</w:t>
      </w:r>
      <w:r w:rsidR="00A73F28" w:rsidRPr="00A13875">
        <w:rPr>
          <w:lang w:val="fr-FR"/>
        </w:rPr>
        <w:tab/>
        <w:t>Règlement ONU n</w:t>
      </w:r>
      <w:r w:rsidR="00A73F28" w:rsidRPr="00C22A23">
        <w:rPr>
          <w:vertAlign w:val="superscript"/>
          <w:lang w:val="fr-FR"/>
        </w:rPr>
        <w:t>o</w:t>
      </w:r>
      <w:r>
        <w:rPr>
          <w:lang w:val="fr-FR"/>
        </w:rPr>
        <w:t> </w:t>
      </w:r>
      <w:r w:rsidR="00A73F28" w:rsidRPr="00A13875">
        <w:rPr>
          <w:lang w:val="fr-FR"/>
        </w:rPr>
        <w:t>58 (Dispositifs contre l</w:t>
      </w:r>
      <w:r w:rsidR="00A73F28">
        <w:rPr>
          <w:lang w:val="fr-FR"/>
        </w:rPr>
        <w:t>’</w:t>
      </w:r>
      <w:r w:rsidR="00A73F28" w:rsidRPr="00A13875">
        <w:rPr>
          <w:lang w:val="fr-FR"/>
        </w:rPr>
        <w:t>encastrement à l</w:t>
      </w:r>
      <w:r w:rsidR="00A73F28">
        <w:rPr>
          <w:lang w:val="fr-FR"/>
        </w:rPr>
        <w:t>’</w:t>
      </w:r>
      <w:r w:rsidR="00A73F28" w:rsidRPr="00A13875">
        <w:rPr>
          <w:lang w:val="fr-FR"/>
        </w:rPr>
        <w:t>arrière)</w:t>
      </w:r>
    </w:p>
    <w:p w14:paraId="1F0D821D" w14:textId="77777777" w:rsidR="00A73F28" w:rsidRPr="00DD1D4D" w:rsidRDefault="00A73F28" w:rsidP="00C22A23">
      <w:pPr>
        <w:pStyle w:val="SingleTxtG"/>
        <w:ind w:left="2552" w:hanging="1418"/>
        <w:jc w:val="left"/>
      </w:pPr>
      <w:r w:rsidRPr="00C22A23">
        <w:rPr>
          <w:b/>
          <w:lang w:val="fr-FR"/>
        </w:rPr>
        <w:t>Documen</w:t>
      </w:r>
      <w:r w:rsidR="00C22A23">
        <w:rPr>
          <w:b/>
          <w:lang w:val="fr-FR"/>
        </w:rPr>
        <w:t>ts :</w:t>
      </w:r>
      <w:r>
        <w:rPr>
          <w:lang w:val="fr-FR"/>
        </w:rPr>
        <w:tab/>
        <w:t>ECE/TRANS/WP.29/GRSG/2019/14</w:t>
      </w:r>
      <w:r w:rsidR="00C22A23">
        <w:rPr>
          <w:lang w:val="fr-FR"/>
        </w:rPr>
        <w:br/>
        <w:t xml:space="preserve">Documents </w:t>
      </w:r>
      <w:r>
        <w:rPr>
          <w:lang w:val="fr-FR"/>
        </w:rPr>
        <w:t>informels GRSG-116-</w:t>
      </w:r>
      <w:r w:rsidR="00536FF6">
        <w:rPr>
          <w:lang w:val="fr-FR"/>
        </w:rPr>
        <w:t>0</w:t>
      </w:r>
      <w:r>
        <w:rPr>
          <w:lang w:val="fr-FR"/>
        </w:rPr>
        <w:t>2, GRSG-116-28 et GRSG-116-29.</w:t>
      </w:r>
    </w:p>
    <w:p w14:paraId="64456255" w14:textId="77777777" w:rsidR="00A73F28" w:rsidRPr="00DD1D4D" w:rsidRDefault="00A73F28" w:rsidP="00C22A23">
      <w:pPr>
        <w:pStyle w:val="SingleTxtG"/>
      </w:pPr>
      <w:r>
        <w:rPr>
          <w:lang w:val="fr-FR"/>
        </w:rPr>
        <w:t>68.</w:t>
      </w:r>
      <w:r>
        <w:rPr>
          <w:lang w:val="fr-FR"/>
        </w:rPr>
        <w:tab/>
        <w:t>L’expert de la Finlande a présenté le document ECE/TRANS/WP.29/GRSG/2019/14, qui propose des amendements au Règlement ONU n</w:t>
      </w:r>
      <w:r w:rsidRPr="007247CA">
        <w:rPr>
          <w:vertAlign w:val="superscript"/>
          <w:lang w:val="fr-FR"/>
        </w:rPr>
        <w:t>o</w:t>
      </w:r>
      <w:r w:rsidR="007247CA">
        <w:rPr>
          <w:lang w:val="fr-FR"/>
        </w:rPr>
        <w:t> </w:t>
      </w:r>
      <w:r>
        <w:rPr>
          <w:lang w:val="fr-FR"/>
        </w:rPr>
        <w:t>58 visant à clarifier les prescriptions concernant l’installation sur les véhicules de dispositifs de protection arrière contre l’encastrement. L’expert des Pays-Bas a approuvé la proposition de la Finlande et a retiré le document GRSG-116-02 proposant des modifications similaires.</w:t>
      </w:r>
    </w:p>
    <w:p w14:paraId="54DA41E0" w14:textId="77777777" w:rsidR="00A73F28" w:rsidRPr="00DD1D4D" w:rsidRDefault="00A73F28" w:rsidP="007247CA">
      <w:pPr>
        <w:pStyle w:val="SingleTxtG"/>
      </w:pPr>
      <w:r>
        <w:rPr>
          <w:lang w:val="fr-FR"/>
        </w:rPr>
        <w:t>69.</w:t>
      </w:r>
      <w:r>
        <w:rPr>
          <w:lang w:val="fr-FR"/>
        </w:rPr>
        <w:tab/>
        <w:t xml:space="preserve">Le Groupe de travail a adopté le document ECE/TRANS/WP.29/GRSG/2019/14 et a demandé au secrétariat de le soumettre au Forum mondial et à l’AC.1 en tant que projet de </w:t>
      </w:r>
      <w:r>
        <w:rPr>
          <w:lang w:val="fr-FR"/>
        </w:rPr>
        <w:lastRenderedPageBreak/>
        <w:t>complément 1 à la série 03 d’amendements au Règlement n</w:t>
      </w:r>
      <w:r w:rsidRPr="007247CA">
        <w:rPr>
          <w:vertAlign w:val="superscript"/>
          <w:lang w:val="fr-FR"/>
        </w:rPr>
        <w:t>o</w:t>
      </w:r>
      <w:r w:rsidR="007247CA">
        <w:rPr>
          <w:lang w:val="fr-FR"/>
        </w:rPr>
        <w:t> </w:t>
      </w:r>
      <w:r>
        <w:rPr>
          <w:lang w:val="fr-FR"/>
        </w:rPr>
        <w:t>58 pour examen à leurs sessions de novembre 2019.</w:t>
      </w:r>
    </w:p>
    <w:p w14:paraId="541E16E6" w14:textId="77777777" w:rsidR="00A73F28" w:rsidRPr="00DD1D4D" w:rsidRDefault="00A73F28" w:rsidP="007247CA">
      <w:pPr>
        <w:pStyle w:val="SingleTxtG"/>
      </w:pPr>
      <w:r>
        <w:rPr>
          <w:lang w:val="fr-FR"/>
        </w:rPr>
        <w:t>70.</w:t>
      </w:r>
      <w:r>
        <w:rPr>
          <w:lang w:val="fr-FR"/>
        </w:rPr>
        <w:tab/>
        <w:t>L’experte de l’OICA a présenté le document GRSG-116-29 sur l’installation éventuelle de dispositifs aérodynamiques sur les cabines des véhicules utilitaires pour améliorer les performances aérodynamiques. Elle a présenté le document GRSG-116-28 qui modifie les dispositions du Règlement ONU n</w:t>
      </w:r>
      <w:r w:rsidRPr="007247CA">
        <w:rPr>
          <w:vertAlign w:val="superscript"/>
          <w:lang w:val="fr-FR"/>
        </w:rPr>
        <w:t>o</w:t>
      </w:r>
      <w:r w:rsidR="007247CA">
        <w:rPr>
          <w:lang w:val="fr-FR"/>
        </w:rPr>
        <w:t> </w:t>
      </w:r>
      <w:r>
        <w:rPr>
          <w:lang w:val="fr-FR"/>
        </w:rPr>
        <w:t>58 de manière à permettre l’installation de tels dispositifs aérodynamiques à l’arrière des véhicules. Elle a ajouté que les dispositions de la nouvelle annexe 8 devraient garantir que les dispositifs aérodynamiques ne compromettent pas le fonctionnement des dispositifs de protection arrière contre l’encastrement. Le Groupe de travail a pris note de l’adhésion massive à cette proposition. L’expert du Canada a informé le GRSG que l’installation de tels dispositifs aérodynamiques était autorisée dans son pays depuis 2013 et a annoncé qu’il transmettrait une étude de son gouvernement sur la question à la prochaine session du GRSG. L’expert de la Suède a estimé que la nouvelle annexe</w:t>
      </w:r>
      <w:r w:rsidR="007247CA">
        <w:rPr>
          <w:lang w:val="fr-FR"/>
        </w:rPr>
        <w:t> </w:t>
      </w:r>
      <w:r>
        <w:rPr>
          <w:lang w:val="fr-FR"/>
        </w:rPr>
        <w:t xml:space="preserve">8 de l’Accord de 1958 autoriserait des méthodes d’essai virtuelles pour de tels dispositifs aérodynamiques. L’expert du Japon a préféré ajouter une précision selon laquelle les dispositifs aérodynamiques devraient être omis lors de la mesure des dimensions (par exemple la longueur) du véhicule. L’expert de la CE a proposé de donner suite à la proposition en tant que complément au Règlement </w:t>
      </w:r>
      <w:r w:rsidR="00174CE0">
        <w:rPr>
          <w:lang w:val="fr-FR"/>
        </w:rPr>
        <w:t xml:space="preserve">ONU </w:t>
      </w:r>
      <w:r>
        <w:rPr>
          <w:lang w:val="fr-FR"/>
        </w:rPr>
        <w:t xml:space="preserve">car les nouvelles prescriptions n’étaient pas obligatoires et n’étaient considérées que comme des prescriptions facultatives </w:t>
      </w:r>
      <w:r w:rsidR="007247CA">
        <w:rPr>
          <w:lang w:val="fr-FR"/>
        </w:rPr>
        <w:t>« </w:t>
      </w:r>
      <w:r>
        <w:rPr>
          <w:lang w:val="fr-FR"/>
        </w:rPr>
        <w:t>le cas échéant</w:t>
      </w:r>
      <w:r w:rsidR="007247CA">
        <w:rPr>
          <w:lang w:val="fr-FR"/>
        </w:rPr>
        <w:t> »</w:t>
      </w:r>
      <w:r>
        <w:rPr>
          <w:lang w:val="fr-FR"/>
        </w:rPr>
        <w:t>.</w:t>
      </w:r>
    </w:p>
    <w:p w14:paraId="21615E4E" w14:textId="77777777" w:rsidR="00A73F28" w:rsidRPr="00DD1D4D" w:rsidRDefault="00A73F28" w:rsidP="007247CA">
      <w:pPr>
        <w:pStyle w:val="SingleTxtG"/>
      </w:pPr>
      <w:r>
        <w:rPr>
          <w:lang w:val="fr-FR"/>
        </w:rPr>
        <w:t>71.</w:t>
      </w:r>
      <w:r>
        <w:rPr>
          <w:lang w:val="fr-FR"/>
        </w:rPr>
        <w:tab/>
        <w:t>Le GRSG a décidé de reprendre l’examen de ce point à sa prochaine session sur la base d’une proposition révisée que soumettra le cas échéant l’OICA en tant que document officiel.</w:t>
      </w:r>
    </w:p>
    <w:p w14:paraId="2F6BADA1" w14:textId="77777777" w:rsidR="00A73F28" w:rsidRPr="00D76441" w:rsidRDefault="00A405B4" w:rsidP="00A405B4">
      <w:pPr>
        <w:pStyle w:val="H1G"/>
      </w:pPr>
      <w:r>
        <w:rPr>
          <w:lang w:val="fr-FR"/>
        </w:rPr>
        <w:tab/>
      </w:r>
      <w:r w:rsidR="00A73F28" w:rsidRPr="00D76441">
        <w:rPr>
          <w:lang w:val="fr-FR"/>
        </w:rPr>
        <w:t>B.</w:t>
      </w:r>
      <w:r w:rsidR="00A73F28" w:rsidRPr="00D76441">
        <w:rPr>
          <w:lang w:val="fr-FR"/>
        </w:rPr>
        <w:tab/>
        <w:t xml:space="preserve">Règlement </w:t>
      </w:r>
      <w:r w:rsidR="00A73F28">
        <w:rPr>
          <w:lang w:val="fr-FR"/>
        </w:rPr>
        <w:t xml:space="preserve">ONU </w:t>
      </w:r>
      <w:r w:rsidR="00A73F28" w:rsidRPr="00D76441">
        <w:rPr>
          <w:lang w:val="fr-FR"/>
        </w:rPr>
        <w:t>n</w:t>
      </w:r>
      <w:r w:rsidR="00A73F28" w:rsidRPr="00A405B4">
        <w:rPr>
          <w:vertAlign w:val="superscript"/>
          <w:lang w:val="fr-FR"/>
        </w:rPr>
        <w:t>o</w:t>
      </w:r>
      <w:r>
        <w:rPr>
          <w:lang w:val="fr-FR"/>
        </w:rPr>
        <w:t> </w:t>
      </w:r>
      <w:r w:rsidR="00A73F28" w:rsidRPr="00D76441">
        <w:rPr>
          <w:lang w:val="fr-FR"/>
        </w:rPr>
        <w:t xml:space="preserve">62 (Dispositifs antivol des cyclomoteurs </w:t>
      </w:r>
      <w:r>
        <w:rPr>
          <w:lang w:val="fr-FR"/>
        </w:rPr>
        <w:br/>
      </w:r>
      <w:r w:rsidR="00A73F28" w:rsidRPr="00D76441">
        <w:rPr>
          <w:lang w:val="fr-FR"/>
        </w:rPr>
        <w:t>et motocycles)</w:t>
      </w:r>
      <w:bookmarkStart w:id="2" w:name="_Hlk6406718"/>
      <w:bookmarkEnd w:id="2"/>
    </w:p>
    <w:p w14:paraId="50F0C46A" w14:textId="77777777" w:rsidR="00A73F28" w:rsidRPr="00DD1D4D" w:rsidRDefault="00A73F28" w:rsidP="00635B94">
      <w:pPr>
        <w:pStyle w:val="SingleTxtG"/>
        <w:ind w:left="2552" w:hanging="1418"/>
        <w:jc w:val="left"/>
      </w:pPr>
      <w:r w:rsidRPr="00A405B4">
        <w:rPr>
          <w:b/>
          <w:lang w:val="fr-FR"/>
        </w:rPr>
        <w:t>Document(s)</w:t>
      </w:r>
      <w:r w:rsidR="00A405B4" w:rsidRPr="00A405B4">
        <w:rPr>
          <w:b/>
          <w:lang w:val="fr-FR"/>
        </w:rPr>
        <w:t> </w:t>
      </w:r>
      <w:r w:rsidRPr="00A405B4">
        <w:rPr>
          <w:b/>
          <w:lang w:val="fr-FR"/>
        </w:rPr>
        <w:t>:</w:t>
      </w:r>
      <w:r w:rsidRPr="00D76441">
        <w:rPr>
          <w:i/>
          <w:lang w:val="fr-FR"/>
        </w:rPr>
        <w:tab/>
      </w:r>
      <w:r>
        <w:rPr>
          <w:lang w:val="fr-FR"/>
        </w:rPr>
        <w:t>Document informel GRSG-116-13.</w:t>
      </w:r>
    </w:p>
    <w:p w14:paraId="3FAC08EC" w14:textId="77777777" w:rsidR="00A73F28" w:rsidRPr="00DD1D4D" w:rsidRDefault="00A73F28" w:rsidP="00A405B4">
      <w:pPr>
        <w:pStyle w:val="SingleTxtG"/>
      </w:pPr>
      <w:r>
        <w:rPr>
          <w:lang w:val="fr-FR"/>
        </w:rPr>
        <w:t>72.</w:t>
      </w:r>
      <w:r>
        <w:rPr>
          <w:lang w:val="fr-FR"/>
        </w:rPr>
        <w:tab/>
        <w:t>L’expert de la France a présenté le document GRSG-116-13 visant à insérer dans le Règlement ONU n</w:t>
      </w:r>
      <w:r w:rsidRPr="00A405B4">
        <w:rPr>
          <w:vertAlign w:val="superscript"/>
          <w:lang w:val="fr-FR"/>
        </w:rPr>
        <w:t>o</w:t>
      </w:r>
      <w:r w:rsidR="00A405B4">
        <w:rPr>
          <w:lang w:val="fr-FR"/>
        </w:rPr>
        <w:t> </w:t>
      </w:r>
      <w:r>
        <w:rPr>
          <w:lang w:val="fr-FR"/>
        </w:rPr>
        <w:t>62 des spécifications visant à assurer la compatibilité électromagnétique d’un dispositif électronique, tel qu’un transpondeur. Il a en conséquence proposé d’insérer un nouveau paragraphe</w:t>
      </w:r>
      <w:r w:rsidR="00A405B4">
        <w:rPr>
          <w:lang w:val="fr-FR"/>
        </w:rPr>
        <w:t> </w:t>
      </w:r>
      <w:r>
        <w:rPr>
          <w:lang w:val="fr-FR"/>
        </w:rPr>
        <w:t xml:space="preserve">5.12 faisant référence au Règlement ONU </w:t>
      </w:r>
      <w:r w:rsidR="00A405B4">
        <w:rPr>
          <w:lang w:val="fr-FR"/>
        </w:rPr>
        <w:t>n</w:t>
      </w:r>
      <w:r w:rsidR="00A405B4" w:rsidRPr="00A405B4">
        <w:rPr>
          <w:vertAlign w:val="superscript"/>
          <w:lang w:val="fr-FR"/>
        </w:rPr>
        <w:t>o</w:t>
      </w:r>
      <w:r w:rsidR="00A405B4">
        <w:rPr>
          <w:lang w:val="fr-FR"/>
        </w:rPr>
        <w:t> </w:t>
      </w:r>
      <w:r>
        <w:rPr>
          <w:lang w:val="fr-FR"/>
        </w:rPr>
        <w:t xml:space="preserve">10. Le GRSG a approuvé la proposition. L’expert de la CE s’est porté volontaire pour vérifier la proposition en rapport avec les méthodes d’essai d’immunité et d’émission de la série 06 d’amendements au Règlement ONU </w:t>
      </w:r>
      <w:r w:rsidR="00DF7A0C">
        <w:rPr>
          <w:lang w:val="fr-FR"/>
        </w:rPr>
        <w:t>n</w:t>
      </w:r>
      <w:r w:rsidR="00DF7A0C" w:rsidRPr="00A405B4">
        <w:rPr>
          <w:vertAlign w:val="superscript"/>
          <w:lang w:val="fr-FR"/>
        </w:rPr>
        <w:t>o</w:t>
      </w:r>
      <w:r w:rsidR="00DF7A0C">
        <w:rPr>
          <w:lang w:val="fr-FR"/>
        </w:rPr>
        <w:t> </w:t>
      </w:r>
      <w:r>
        <w:rPr>
          <w:lang w:val="fr-FR"/>
        </w:rPr>
        <w:t>10.</w:t>
      </w:r>
    </w:p>
    <w:p w14:paraId="45DF2D96" w14:textId="77777777" w:rsidR="00A73F28" w:rsidRPr="00DD1D4D" w:rsidRDefault="00A73F28" w:rsidP="00DF7A0C">
      <w:pPr>
        <w:pStyle w:val="SingleTxtG"/>
      </w:pPr>
      <w:r>
        <w:rPr>
          <w:lang w:val="fr-FR"/>
        </w:rPr>
        <w:t>73.</w:t>
      </w:r>
      <w:r>
        <w:rPr>
          <w:lang w:val="fr-FR"/>
        </w:rPr>
        <w:tab/>
        <w:t>Le GRSG a décidé de reprendre l’examen de ce point à sa prochaine session sur la base d’une proposition révisée que soumettra le cas échéant la CE en tant que document officiel.</w:t>
      </w:r>
    </w:p>
    <w:p w14:paraId="1DE4A3E5" w14:textId="77777777" w:rsidR="00A73F28" w:rsidRPr="00D76441" w:rsidRDefault="00DF7A0C" w:rsidP="00DF7A0C">
      <w:pPr>
        <w:pStyle w:val="H1G"/>
      </w:pPr>
      <w:r>
        <w:rPr>
          <w:lang w:val="fr-FR"/>
        </w:rPr>
        <w:tab/>
      </w:r>
      <w:r w:rsidR="00A73F28" w:rsidRPr="00D76441">
        <w:rPr>
          <w:lang w:val="fr-FR"/>
        </w:rPr>
        <w:t>C.</w:t>
      </w:r>
      <w:r w:rsidR="00A73F28" w:rsidRPr="00D76441">
        <w:rPr>
          <w:lang w:val="fr-FR"/>
        </w:rPr>
        <w:tab/>
        <w:t xml:space="preserve">Règlement </w:t>
      </w:r>
      <w:r w:rsidR="00A73F28">
        <w:rPr>
          <w:lang w:val="fr-FR"/>
        </w:rPr>
        <w:t xml:space="preserve">ONU </w:t>
      </w:r>
      <w:r>
        <w:rPr>
          <w:lang w:val="fr-FR"/>
        </w:rPr>
        <w:t>n</w:t>
      </w:r>
      <w:r w:rsidRPr="00A405B4">
        <w:rPr>
          <w:vertAlign w:val="superscript"/>
          <w:lang w:val="fr-FR"/>
        </w:rPr>
        <w:t>o</w:t>
      </w:r>
      <w:r>
        <w:rPr>
          <w:lang w:val="fr-FR"/>
        </w:rPr>
        <w:t> </w:t>
      </w:r>
      <w:r w:rsidR="00A73F28" w:rsidRPr="00D76441">
        <w:rPr>
          <w:lang w:val="fr-FR"/>
        </w:rPr>
        <w:t>122 (Systèmes de chauffage)</w:t>
      </w:r>
    </w:p>
    <w:p w14:paraId="677037D8" w14:textId="77777777" w:rsidR="00A73F28" w:rsidRPr="00DD1D4D" w:rsidRDefault="00A73F28" w:rsidP="00635B94">
      <w:pPr>
        <w:pStyle w:val="SingleTxtG"/>
        <w:ind w:left="2552" w:hanging="1418"/>
        <w:jc w:val="left"/>
      </w:pPr>
      <w:r w:rsidRPr="00DF7A0C">
        <w:rPr>
          <w:b/>
          <w:lang w:val="fr-FR"/>
        </w:rPr>
        <w:t>Document(s)</w:t>
      </w:r>
      <w:r w:rsidR="00DF7A0C">
        <w:rPr>
          <w:b/>
          <w:lang w:val="fr-FR"/>
        </w:rPr>
        <w:t> </w:t>
      </w:r>
      <w:r w:rsidRPr="00DF7A0C">
        <w:rPr>
          <w:b/>
          <w:lang w:val="fr-FR"/>
        </w:rPr>
        <w:t>:</w:t>
      </w:r>
      <w:r>
        <w:rPr>
          <w:lang w:val="fr-FR"/>
        </w:rPr>
        <w:t xml:space="preserve"> </w:t>
      </w:r>
      <w:r>
        <w:rPr>
          <w:lang w:val="fr-FR"/>
        </w:rPr>
        <w:tab/>
        <w:t>Document informel GRSG-116-22.</w:t>
      </w:r>
    </w:p>
    <w:p w14:paraId="571B4763" w14:textId="77777777" w:rsidR="00A73F28" w:rsidRPr="00DD1D4D" w:rsidRDefault="00A73F28" w:rsidP="00DF7A0C">
      <w:pPr>
        <w:pStyle w:val="SingleTxtG"/>
      </w:pPr>
      <w:r>
        <w:rPr>
          <w:lang w:val="fr-FR"/>
        </w:rPr>
        <w:t>74.</w:t>
      </w:r>
      <w:r>
        <w:rPr>
          <w:lang w:val="fr-FR"/>
        </w:rPr>
        <w:tab/>
        <w:t>L’expert de la CLEPA a présenté le document GRSG-116-22 ayant pour objet d’ajouter une référence manquante à la note</w:t>
      </w:r>
      <w:r w:rsidR="00DF7A0C">
        <w:rPr>
          <w:lang w:val="fr-FR"/>
        </w:rPr>
        <w:t> </w:t>
      </w:r>
      <w:r>
        <w:rPr>
          <w:lang w:val="fr-FR"/>
        </w:rPr>
        <w:t>2 existante et de préciser l’application de l’annexe</w:t>
      </w:r>
      <w:r w:rsidR="00DF7A0C">
        <w:rPr>
          <w:lang w:val="fr-FR"/>
        </w:rPr>
        <w:t> </w:t>
      </w:r>
      <w:r>
        <w:rPr>
          <w:lang w:val="fr-FR"/>
        </w:rPr>
        <w:t>4 aux pompes à chaleur. L’expert de la France a formulé des réserves pour complément d’étude. Le Groupe de travail a décidé de reprendre l’examen de cette question à sa session suivante et a demandé au secrétariat de distribuer le document informel GRSG</w:t>
      </w:r>
      <w:r w:rsidR="00DF7A0C">
        <w:rPr>
          <w:lang w:val="fr-FR"/>
        </w:rPr>
        <w:noBreakHyphen/>
      </w:r>
      <w:r>
        <w:rPr>
          <w:lang w:val="fr-FR"/>
        </w:rPr>
        <w:t>116</w:t>
      </w:r>
      <w:r w:rsidR="00DF7A0C">
        <w:rPr>
          <w:lang w:val="fr-FR"/>
        </w:rPr>
        <w:noBreakHyphen/>
      </w:r>
      <w:r>
        <w:rPr>
          <w:lang w:val="fr-FR"/>
        </w:rPr>
        <w:t>22 sous une cote officielle.</w:t>
      </w:r>
    </w:p>
    <w:p w14:paraId="4C8E8CB6" w14:textId="77777777" w:rsidR="00A73F28" w:rsidRPr="00DD1D4D" w:rsidRDefault="00DF7A0C" w:rsidP="00DF7A0C">
      <w:pPr>
        <w:pStyle w:val="HChG"/>
      </w:pPr>
      <w:r>
        <w:rPr>
          <w:lang w:val="fr-FR"/>
        </w:rPr>
        <w:lastRenderedPageBreak/>
        <w:tab/>
      </w:r>
      <w:r w:rsidR="00A73F28">
        <w:rPr>
          <w:lang w:val="fr-FR"/>
        </w:rPr>
        <w:t>XXI.</w:t>
      </w:r>
      <w:r w:rsidR="00A73F28">
        <w:rPr>
          <w:lang w:val="fr-FR"/>
        </w:rPr>
        <w:tab/>
        <w:t>Ordre du jour provisoire de la 117</w:t>
      </w:r>
      <w:r w:rsidRPr="00DF7A0C">
        <w:rPr>
          <w:vertAlign w:val="superscript"/>
          <w:lang w:val="fr-FR"/>
        </w:rPr>
        <w:t>e</w:t>
      </w:r>
      <w:r>
        <w:rPr>
          <w:lang w:val="fr-FR"/>
        </w:rPr>
        <w:t> </w:t>
      </w:r>
      <w:r w:rsidR="00A73F28">
        <w:rPr>
          <w:lang w:val="fr-FR"/>
        </w:rPr>
        <w:t>session</w:t>
      </w:r>
    </w:p>
    <w:p w14:paraId="13B9039A" w14:textId="77777777" w:rsidR="00A73F28" w:rsidRPr="00DD1D4D" w:rsidRDefault="00A73F28" w:rsidP="00DF7A0C">
      <w:pPr>
        <w:pStyle w:val="SingleTxtG"/>
      </w:pPr>
      <w:r>
        <w:rPr>
          <w:lang w:val="fr-FR"/>
        </w:rPr>
        <w:t>75.</w:t>
      </w:r>
      <w:r>
        <w:rPr>
          <w:lang w:val="fr-FR"/>
        </w:rPr>
        <w:tab/>
        <w:t>L’ordre du jour provisoire ci-après a été adopté pour la 117</w:t>
      </w:r>
      <w:r w:rsidRPr="00DF7A0C">
        <w:rPr>
          <w:vertAlign w:val="superscript"/>
          <w:lang w:val="fr-FR"/>
        </w:rPr>
        <w:t>e</w:t>
      </w:r>
      <w:r w:rsidR="00DF7A0C">
        <w:rPr>
          <w:lang w:val="fr-FR"/>
        </w:rPr>
        <w:t> </w:t>
      </w:r>
      <w:r>
        <w:rPr>
          <w:lang w:val="fr-FR"/>
        </w:rPr>
        <w:t>session du Groupe de travail, qui devrait se tenir à Genève du 8 (à 9</w:t>
      </w:r>
      <w:r w:rsidR="00DF7A0C">
        <w:rPr>
          <w:lang w:val="fr-FR"/>
        </w:rPr>
        <w:t> </w:t>
      </w:r>
      <w:r>
        <w:rPr>
          <w:lang w:val="fr-FR"/>
        </w:rPr>
        <w:t>h</w:t>
      </w:r>
      <w:r w:rsidR="00DF7A0C">
        <w:rPr>
          <w:lang w:val="fr-FR"/>
        </w:rPr>
        <w:t> </w:t>
      </w:r>
      <w:r>
        <w:rPr>
          <w:lang w:val="fr-FR"/>
        </w:rPr>
        <w:t>30) au 11</w:t>
      </w:r>
      <w:r w:rsidR="00DF7A0C">
        <w:rPr>
          <w:lang w:val="fr-FR"/>
        </w:rPr>
        <w:t> </w:t>
      </w:r>
      <w:r>
        <w:rPr>
          <w:lang w:val="fr-FR"/>
        </w:rPr>
        <w:t>octobre (à 12</w:t>
      </w:r>
      <w:r w:rsidR="00DF7A0C">
        <w:rPr>
          <w:lang w:val="fr-FR"/>
        </w:rPr>
        <w:t> </w:t>
      </w:r>
      <w:r>
        <w:rPr>
          <w:lang w:val="fr-FR"/>
        </w:rPr>
        <w:t>h</w:t>
      </w:r>
      <w:r w:rsidR="00DF7A0C">
        <w:rPr>
          <w:lang w:val="fr-FR"/>
        </w:rPr>
        <w:t> </w:t>
      </w:r>
      <w:r>
        <w:rPr>
          <w:lang w:val="fr-FR"/>
        </w:rPr>
        <w:t>30) 2019</w:t>
      </w:r>
      <w:r w:rsidRPr="00903110">
        <w:rPr>
          <w:rStyle w:val="Appelnotedebasdep"/>
        </w:rPr>
        <w:footnoteReference w:id="2"/>
      </w:r>
      <w:r w:rsidR="00DF7A0C">
        <w:rPr>
          <w:lang w:val="fr-FR"/>
        </w:rPr>
        <w:t> :</w:t>
      </w:r>
    </w:p>
    <w:p w14:paraId="3BCBEA7C" w14:textId="77777777" w:rsidR="00A73F28" w:rsidRPr="00DD1D4D" w:rsidRDefault="00A73F28" w:rsidP="00BA37D1">
      <w:pPr>
        <w:pStyle w:val="SingleTxtG"/>
      </w:pPr>
      <w:r>
        <w:rPr>
          <w:lang w:val="fr-FR"/>
        </w:rPr>
        <w:t>1.</w:t>
      </w:r>
      <w:r>
        <w:rPr>
          <w:lang w:val="fr-FR"/>
        </w:rPr>
        <w:tab/>
        <w:t>Adoption de l’ordre du jour.</w:t>
      </w:r>
    </w:p>
    <w:p w14:paraId="18EF7216" w14:textId="77777777" w:rsidR="00A73F28" w:rsidRPr="00DD1D4D" w:rsidRDefault="00A73F28" w:rsidP="00BA37D1">
      <w:pPr>
        <w:pStyle w:val="SingleTxtG"/>
        <w:keepNext/>
      </w:pPr>
      <w:r>
        <w:rPr>
          <w:lang w:val="fr-FR"/>
        </w:rPr>
        <w:t>2.</w:t>
      </w:r>
      <w:r>
        <w:rPr>
          <w:lang w:val="fr-FR"/>
        </w:rPr>
        <w:tab/>
        <w:t>Amendements aux Règlements sur les autobus et les autocars</w:t>
      </w:r>
      <w:r w:rsidR="00BA37D1">
        <w:rPr>
          <w:lang w:val="fr-FR"/>
        </w:rPr>
        <w:t> </w:t>
      </w:r>
      <w:r>
        <w:rPr>
          <w:lang w:val="fr-FR"/>
        </w:rPr>
        <w:t>:</w:t>
      </w:r>
    </w:p>
    <w:p w14:paraId="34F88412" w14:textId="77777777" w:rsidR="00A73F28" w:rsidRPr="00DD1D4D" w:rsidRDefault="00A73F28" w:rsidP="00BA37D1">
      <w:pPr>
        <w:pStyle w:val="SingleTxtG"/>
        <w:ind w:firstLine="567"/>
      </w:pPr>
      <w:r>
        <w:rPr>
          <w:lang w:val="fr-FR"/>
        </w:rPr>
        <w:t>a)</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107 (Véhicules des catégories M</w:t>
      </w:r>
      <w:r w:rsidRPr="00D76441">
        <w:rPr>
          <w:vertAlign w:val="subscript"/>
          <w:lang w:val="fr-FR"/>
        </w:rPr>
        <w:t>2</w:t>
      </w:r>
      <w:r>
        <w:rPr>
          <w:lang w:val="fr-FR"/>
        </w:rPr>
        <w:t xml:space="preserve"> et M</w:t>
      </w:r>
      <w:r w:rsidRPr="00D76441">
        <w:rPr>
          <w:vertAlign w:val="subscript"/>
          <w:lang w:val="fr-FR"/>
        </w:rPr>
        <w:t>3</w:t>
      </w:r>
      <w:r>
        <w:rPr>
          <w:lang w:val="fr-FR"/>
        </w:rPr>
        <w:t>)</w:t>
      </w:r>
      <w:r w:rsidR="00BA37D1">
        <w:rPr>
          <w:lang w:val="fr-FR"/>
        </w:rPr>
        <w:t> </w:t>
      </w:r>
      <w:r>
        <w:rPr>
          <w:lang w:val="fr-FR"/>
        </w:rPr>
        <w:t>;</w:t>
      </w:r>
    </w:p>
    <w:p w14:paraId="3CEF645B" w14:textId="77777777" w:rsidR="00A73F28" w:rsidRPr="00DD1D4D" w:rsidRDefault="00A73F28" w:rsidP="00BA37D1">
      <w:pPr>
        <w:pStyle w:val="SingleTxtG"/>
        <w:ind w:firstLine="567"/>
      </w:pPr>
      <w:r>
        <w:rPr>
          <w:lang w:val="fr-FR"/>
        </w:rPr>
        <w:t>b)</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118 (Comportement au feu des matériaux).</w:t>
      </w:r>
    </w:p>
    <w:p w14:paraId="46E9CB47" w14:textId="77777777" w:rsidR="00A73F28" w:rsidRPr="00DD1D4D" w:rsidRDefault="00A73F28" w:rsidP="00BA37D1">
      <w:pPr>
        <w:pStyle w:val="SingleTxtG"/>
      </w:pPr>
      <w:r>
        <w:rPr>
          <w:lang w:val="fr-FR"/>
        </w:rPr>
        <w:t>3.</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26 (Saillies extérieures des voitures particulières).</w:t>
      </w:r>
    </w:p>
    <w:p w14:paraId="122842EE" w14:textId="77777777" w:rsidR="00A73F28" w:rsidRPr="00DD1D4D" w:rsidRDefault="00A73F28" w:rsidP="00BA37D1">
      <w:pPr>
        <w:pStyle w:val="SingleTxtG"/>
      </w:pPr>
      <w:r>
        <w:rPr>
          <w:lang w:val="fr-FR"/>
        </w:rPr>
        <w:t>4.</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34 (Prévention des risques d’incendie).</w:t>
      </w:r>
    </w:p>
    <w:p w14:paraId="2D9C59A9" w14:textId="77777777" w:rsidR="00A73F28" w:rsidRPr="00DD1D4D" w:rsidRDefault="00A73F28" w:rsidP="00BA37D1">
      <w:pPr>
        <w:pStyle w:val="SingleTxtG"/>
      </w:pPr>
      <w:r>
        <w:rPr>
          <w:lang w:val="fr-FR"/>
        </w:rPr>
        <w:t>5.</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35 (Disposition des pédales de commande).</w:t>
      </w:r>
    </w:p>
    <w:p w14:paraId="622880E2" w14:textId="77777777" w:rsidR="00A73F28" w:rsidRPr="00DD1D4D" w:rsidRDefault="00A73F28" w:rsidP="00BA37D1">
      <w:pPr>
        <w:pStyle w:val="SingleTxtG"/>
        <w:keepNext/>
      </w:pPr>
      <w:r>
        <w:rPr>
          <w:lang w:val="fr-FR"/>
        </w:rPr>
        <w:t>6.</w:t>
      </w:r>
      <w:r>
        <w:rPr>
          <w:lang w:val="fr-FR"/>
        </w:rPr>
        <w:tab/>
        <w:t>Amendements aux Règlements ONU relatifs aux vitrages de sécurité</w:t>
      </w:r>
      <w:r w:rsidR="00BA37D1">
        <w:rPr>
          <w:lang w:val="fr-FR"/>
        </w:rPr>
        <w:t> </w:t>
      </w:r>
      <w:r>
        <w:rPr>
          <w:lang w:val="fr-FR"/>
        </w:rPr>
        <w:t>:</w:t>
      </w:r>
    </w:p>
    <w:p w14:paraId="46E54BCC" w14:textId="77777777" w:rsidR="00A73F28" w:rsidRPr="00BA37D1" w:rsidRDefault="00A73F28" w:rsidP="00BA37D1">
      <w:pPr>
        <w:pStyle w:val="SingleTxtG"/>
        <w:ind w:firstLine="567"/>
        <w:rPr>
          <w:lang w:val="fr-FR"/>
        </w:rPr>
      </w:pPr>
      <w:r>
        <w:rPr>
          <w:lang w:val="fr-FR"/>
        </w:rPr>
        <w:t>a)</w:t>
      </w:r>
      <w:r>
        <w:rPr>
          <w:lang w:val="fr-FR"/>
        </w:rPr>
        <w:tab/>
        <w:t xml:space="preserve">Règlement technique mondial ONU </w:t>
      </w:r>
      <w:r w:rsidR="00BA37D1">
        <w:rPr>
          <w:lang w:val="fr-FR"/>
        </w:rPr>
        <w:t>n</w:t>
      </w:r>
      <w:r w:rsidR="00BA37D1" w:rsidRPr="00A405B4">
        <w:rPr>
          <w:vertAlign w:val="superscript"/>
          <w:lang w:val="fr-FR"/>
        </w:rPr>
        <w:t>o</w:t>
      </w:r>
      <w:r w:rsidR="00BA37D1">
        <w:rPr>
          <w:lang w:val="fr-FR"/>
        </w:rPr>
        <w:t> </w:t>
      </w:r>
      <w:r>
        <w:rPr>
          <w:lang w:val="fr-FR"/>
        </w:rPr>
        <w:t>6 (Vitrages de sécurité)</w:t>
      </w:r>
      <w:r w:rsidR="00BA37D1">
        <w:rPr>
          <w:lang w:val="fr-FR"/>
        </w:rPr>
        <w:t> </w:t>
      </w:r>
      <w:r>
        <w:rPr>
          <w:lang w:val="fr-FR"/>
        </w:rPr>
        <w:t>;</w:t>
      </w:r>
    </w:p>
    <w:p w14:paraId="6599A7F3" w14:textId="77777777" w:rsidR="00A73F28" w:rsidRPr="00DD1D4D" w:rsidRDefault="00A73F28" w:rsidP="00BA37D1">
      <w:pPr>
        <w:pStyle w:val="SingleTxtG"/>
        <w:ind w:firstLine="567"/>
      </w:pPr>
      <w:r>
        <w:rPr>
          <w:lang w:val="fr-FR"/>
        </w:rPr>
        <w:t>b)</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43 (Vitrages de sécurité).</w:t>
      </w:r>
    </w:p>
    <w:p w14:paraId="52CD031F" w14:textId="77777777" w:rsidR="00A73F28" w:rsidRPr="00DD1D4D" w:rsidRDefault="00A73F28" w:rsidP="00BA37D1">
      <w:pPr>
        <w:pStyle w:val="SingleTxtG"/>
        <w:keepNext/>
      </w:pPr>
      <w:r>
        <w:rPr>
          <w:lang w:val="fr-FR"/>
        </w:rPr>
        <w:t>7.</w:t>
      </w:r>
      <w:r>
        <w:rPr>
          <w:lang w:val="fr-FR"/>
        </w:rPr>
        <w:tab/>
        <w:t>Détection de la présence d’usagers de la route vulnérables</w:t>
      </w:r>
      <w:r w:rsidR="00BA37D1">
        <w:rPr>
          <w:lang w:val="fr-FR"/>
        </w:rPr>
        <w:t> </w:t>
      </w:r>
      <w:r>
        <w:rPr>
          <w:lang w:val="fr-FR"/>
        </w:rPr>
        <w:t>:</w:t>
      </w:r>
    </w:p>
    <w:p w14:paraId="1DFDA10B" w14:textId="77777777" w:rsidR="00A73F28" w:rsidRPr="00BA37D1" w:rsidRDefault="00A73F28" w:rsidP="00BA37D1">
      <w:pPr>
        <w:pStyle w:val="SingleTxtG"/>
        <w:ind w:firstLine="567"/>
        <w:rPr>
          <w:lang w:val="fr-FR"/>
        </w:rPr>
      </w:pPr>
      <w:r>
        <w:rPr>
          <w:lang w:val="fr-FR"/>
        </w:rPr>
        <w:t>a)</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46 (Systèmes de vision indirecte)</w:t>
      </w:r>
      <w:r w:rsidR="00BA37D1">
        <w:rPr>
          <w:lang w:val="fr-FR"/>
        </w:rPr>
        <w:t> </w:t>
      </w:r>
      <w:r>
        <w:rPr>
          <w:lang w:val="fr-FR"/>
        </w:rPr>
        <w:t>;</w:t>
      </w:r>
    </w:p>
    <w:p w14:paraId="2617E23D" w14:textId="77777777" w:rsidR="00A73F28" w:rsidRPr="00DD1D4D" w:rsidRDefault="00A73F28" w:rsidP="00BA37D1">
      <w:pPr>
        <w:pStyle w:val="SingleTxtG"/>
        <w:ind w:firstLine="567"/>
      </w:pPr>
      <w:r>
        <w:rPr>
          <w:lang w:val="fr-FR"/>
        </w:rPr>
        <w:t>b)</w:t>
      </w:r>
      <w:r>
        <w:rPr>
          <w:lang w:val="fr-FR"/>
        </w:rPr>
        <w:tab/>
        <w:t>Nouveau règlement ONU sur les systèmes d’information sur l’angle mort.</w:t>
      </w:r>
    </w:p>
    <w:p w14:paraId="7D4EFD52" w14:textId="77777777" w:rsidR="00A73F28" w:rsidRPr="00DD1D4D" w:rsidRDefault="00A73F28" w:rsidP="00BA37D1">
      <w:pPr>
        <w:pStyle w:val="SingleTxtG"/>
      </w:pPr>
      <w:r>
        <w:rPr>
          <w:lang w:val="fr-FR"/>
        </w:rPr>
        <w:t>8.</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55 (Pièces mécaniques d’attelage).</w:t>
      </w:r>
    </w:p>
    <w:p w14:paraId="5A5937B6" w14:textId="77777777" w:rsidR="00A73F28" w:rsidRPr="00DD1D4D" w:rsidRDefault="00A73F28" w:rsidP="00BA37D1">
      <w:pPr>
        <w:pStyle w:val="SingleTxtG"/>
      </w:pPr>
      <w:r>
        <w:rPr>
          <w:lang w:val="fr-FR"/>
        </w:rPr>
        <w:t>9.</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58 (Dispositifs arrière de protection anti-encastrement)</w:t>
      </w:r>
      <w:r w:rsidR="00A931C1">
        <w:rPr>
          <w:lang w:val="fr-FR"/>
        </w:rPr>
        <w:t>.</w:t>
      </w:r>
    </w:p>
    <w:p w14:paraId="2BBB23F3" w14:textId="77777777" w:rsidR="00A73F28" w:rsidRPr="00DD1D4D" w:rsidRDefault="00A73F28" w:rsidP="00BA37D1">
      <w:pPr>
        <w:pStyle w:val="SingleTxtG"/>
      </w:pPr>
      <w:r>
        <w:rPr>
          <w:lang w:val="fr-FR"/>
        </w:rPr>
        <w:t>10.</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62 (Dispositifs antivol des cyclomoteurs et motocycles).</w:t>
      </w:r>
    </w:p>
    <w:p w14:paraId="455EEB28" w14:textId="77777777" w:rsidR="00A73F28" w:rsidRPr="00DD1D4D" w:rsidRDefault="00A73F28" w:rsidP="00BA37D1">
      <w:pPr>
        <w:pStyle w:val="SingleTxtG"/>
        <w:keepNext/>
      </w:pPr>
      <w:r>
        <w:rPr>
          <w:lang w:val="fr-FR"/>
        </w:rPr>
        <w:t>11.</w:t>
      </w:r>
      <w:r>
        <w:rPr>
          <w:lang w:val="fr-FR"/>
        </w:rPr>
        <w:tab/>
        <w:t>Amendements aux Règlements ONU concernant les véhicules fonctionnant au gaz</w:t>
      </w:r>
      <w:r w:rsidR="00BA37D1">
        <w:rPr>
          <w:lang w:val="fr-FR"/>
        </w:rPr>
        <w:t> </w:t>
      </w:r>
      <w:r>
        <w:rPr>
          <w:lang w:val="fr-FR"/>
        </w:rPr>
        <w:t>:</w:t>
      </w:r>
    </w:p>
    <w:p w14:paraId="65703B1D" w14:textId="77777777" w:rsidR="00A73F28" w:rsidRPr="00BA37D1" w:rsidRDefault="00A73F28" w:rsidP="00BA37D1">
      <w:pPr>
        <w:pStyle w:val="SingleTxtG"/>
        <w:ind w:firstLine="567"/>
        <w:rPr>
          <w:lang w:val="fr-FR"/>
        </w:rPr>
      </w:pPr>
      <w:r>
        <w:rPr>
          <w:lang w:val="fr-FR"/>
        </w:rPr>
        <w:t>a)</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67 (Véhicules alimentés au GPL)</w:t>
      </w:r>
      <w:r w:rsidR="00BA37D1">
        <w:rPr>
          <w:lang w:val="fr-FR"/>
        </w:rPr>
        <w:t> </w:t>
      </w:r>
      <w:r>
        <w:rPr>
          <w:lang w:val="fr-FR"/>
        </w:rPr>
        <w:t>;</w:t>
      </w:r>
    </w:p>
    <w:p w14:paraId="1D98C2B8" w14:textId="77777777" w:rsidR="00A73F28" w:rsidRPr="00DD1D4D" w:rsidRDefault="00A73F28" w:rsidP="00BA37D1">
      <w:pPr>
        <w:pStyle w:val="SingleTxtG"/>
        <w:ind w:firstLine="567"/>
      </w:pPr>
      <w:r>
        <w:rPr>
          <w:lang w:val="fr-FR"/>
        </w:rPr>
        <w:t>b)</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110 (Véhicules alimentés au GNC/GNL).</w:t>
      </w:r>
    </w:p>
    <w:p w14:paraId="0872D800" w14:textId="77777777" w:rsidR="00A73F28" w:rsidRPr="00DD1D4D" w:rsidRDefault="00A73F28" w:rsidP="00A07F3E">
      <w:pPr>
        <w:pStyle w:val="SingleTxtG"/>
      </w:pPr>
      <w:r>
        <w:rPr>
          <w:lang w:val="fr-FR"/>
        </w:rPr>
        <w:t>12.</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93 (Dispositifs contre l’encastrement à l’avant).</w:t>
      </w:r>
    </w:p>
    <w:p w14:paraId="38D53298" w14:textId="77777777" w:rsidR="00A73F28" w:rsidRPr="00DD1D4D" w:rsidRDefault="00A73F28" w:rsidP="00A07F3E">
      <w:pPr>
        <w:pStyle w:val="SingleTxtG"/>
      </w:pPr>
      <w:r>
        <w:rPr>
          <w:lang w:val="fr-FR"/>
        </w:rPr>
        <w:t>13.</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116 (Dispositifs antivol et systèmes d’alarme).</w:t>
      </w:r>
    </w:p>
    <w:p w14:paraId="6602CCB4" w14:textId="77777777" w:rsidR="00A73F28" w:rsidRPr="00DD1D4D" w:rsidRDefault="00A73F28" w:rsidP="00A07F3E">
      <w:pPr>
        <w:pStyle w:val="SingleTxtG"/>
        <w:ind w:left="1701" w:hanging="567"/>
      </w:pPr>
      <w:r>
        <w:rPr>
          <w:lang w:val="fr-FR"/>
        </w:rPr>
        <w:t>14.</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121 (Identification des commandes manuelles, des témoins et des indicateurs).</w:t>
      </w:r>
    </w:p>
    <w:p w14:paraId="14740D47" w14:textId="77777777" w:rsidR="00A73F28" w:rsidRPr="00DD1D4D" w:rsidRDefault="00A73F28" w:rsidP="00A07F3E">
      <w:pPr>
        <w:pStyle w:val="SingleTxtG"/>
      </w:pPr>
      <w:r>
        <w:rPr>
          <w:lang w:val="fr-FR"/>
        </w:rPr>
        <w:t>15.</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122 (Systèmes de chauffage).</w:t>
      </w:r>
    </w:p>
    <w:p w14:paraId="432E283F" w14:textId="77777777" w:rsidR="00A73F28" w:rsidRPr="00DD1D4D" w:rsidRDefault="00A73F28" w:rsidP="00A07F3E">
      <w:pPr>
        <w:pStyle w:val="SingleTxtG"/>
      </w:pPr>
      <w:r>
        <w:rPr>
          <w:lang w:val="fr-FR"/>
        </w:rPr>
        <w:t>16.</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144 (Systèmes automatique d’appel d’urgence).</w:t>
      </w:r>
    </w:p>
    <w:p w14:paraId="5CCACF5A" w14:textId="77777777" w:rsidR="00A73F28" w:rsidRPr="00DD1D4D" w:rsidRDefault="00A73F28" w:rsidP="00A07F3E">
      <w:pPr>
        <w:pStyle w:val="SingleTxtG"/>
        <w:ind w:left="1701" w:hanging="567"/>
      </w:pPr>
      <w:r>
        <w:rPr>
          <w:lang w:val="fr-FR"/>
        </w:rPr>
        <w:t>17.</w:t>
      </w:r>
      <w:r>
        <w:rPr>
          <w:lang w:val="fr-FR"/>
        </w:rPr>
        <w:tab/>
        <w:t xml:space="preserve">Règlement ONU </w:t>
      </w:r>
      <w:r w:rsidR="00BA37D1">
        <w:rPr>
          <w:lang w:val="fr-FR"/>
        </w:rPr>
        <w:t>n</w:t>
      </w:r>
      <w:r w:rsidR="00BA37D1" w:rsidRPr="00A405B4">
        <w:rPr>
          <w:vertAlign w:val="superscript"/>
          <w:lang w:val="fr-FR"/>
        </w:rPr>
        <w:t>o</w:t>
      </w:r>
      <w:r w:rsidR="00BA37D1">
        <w:rPr>
          <w:lang w:val="fr-FR"/>
        </w:rPr>
        <w:t> </w:t>
      </w:r>
      <w:r>
        <w:rPr>
          <w:lang w:val="fr-FR"/>
        </w:rPr>
        <w:t>0 (Homologation de type internationale de l’ensemble du véhicule).</w:t>
      </w:r>
    </w:p>
    <w:p w14:paraId="6B81A10F" w14:textId="77777777" w:rsidR="00A73F28" w:rsidRPr="00DD1D4D" w:rsidRDefault="00A73F28" w:rsidP="00A07F3E">
      <w:pPr>
        <w:pStyle w:val="SingleTxtG"/>
      </w:pPr>
      <w:r>
        <w:rPr>
          <w:lang w:val="fr-FR"/>
        </w:rPr>
        <w:t>18.</w:t>
      </w:r>
      <w:r>
        <w:rPr>
          <w:lang w:val="fr-FR"/>
        </w:rPr>
        <w:tab/>
        <w:t>Résolution d’ensemble sur la construction des véhicules.</w:t>
      </w:r>
    </w:p>
    <w:p w14:paraId="670CB5D5" w14:textId="77777777" w:rsidR="00A73F28" w:rsidRPr="00DD1D4D" w:rsidRDefault="00A73F28" w:rsidP="00A07F3E">
      <w:pPr>
        <w:pStyle w:val="SingleTxtG"/>
      </w:pPr>
      <w:r>
        <w:rPr>
          <w:lang w:val="fr-FR"/>
        </w:rPr>
        <w:t>19.</w:t>
      </w:r>
      <w:r>
        <w:rPr>
          <w:lang w:val="fr-FR"/>
        </w:rPr>
        <w:tab/>
        <w:t>Enregistreur de données de route.</w:t>
      </w:r>
    </w:p>
    <w:p w14:paraId="6DA8901B" w14:textId="77777777" w:rsidR="00A73F28" w:rsidRPr="00DD1D4D" w:rsidRDefault="00A73F28" w:rsidP="00A07F3E">
      <w:pPr>
        <w:pStyle w:val="SingleTxtG"/>
      </w:pPr>
      <w:r>
        <w:rPr>
          <w:lang w:val="fr-FR"/>
        </w:rPr>
        <w:t>20.</w:t>
      </w:r>
      <w:r>
        <w:rPr>
          <w:lang w:val="fr-FR"/>
        </w:rPr>
        <w:tab/>
        <w:t>Échange de vues sur l’automatisation des véhicules.</w:t>
      </w:r>
    </w:p>
    <w:p w14:paraId="76AD52F1" w14:textId="77777777" w:rsidR="00A73F28" w:rsidRPr="00DD1D4D" w:rsidRDefault="00A73F28" w:rsidP="00A07F3E">
      <w:pPr>
        <w:pStyle w:val="SingleTxtG"/>
      </w:pPr>
      <w:r>
        <w:rPr>
          <w:lang w:val="fr-FR"/>
        </w:rPr>
        <w:t>21.</w:t>
      </w:r>
      <w:r>
        <w:rPr>
          <w:lang w:val="fr-FR"/>
        </w:rPr>
        <w:tab/>
        <w:t>Élection du Bureau.</w:t>
      </w:r>
    </w:p>
    <w:p w14:paraId="7253E08F" w14:textId="77777777" w:rsidR="00A07F3E" w:rsidRDefault="00A73F28" w:rsidP="00A07F3E">
      <w:pPr>
        <w:pStyle w:val="SingleTxtG"/>
        <w:rPr>
          <w:lang w:val="fr-FR"/>
        </w:rPr>
      </w:pPr>
      <w:r>
        <w:rPr>
          <w:lang w:val="fr-FR"/>
        </w:rPr>
        <w:t>22.</w:t>
      </w:r>
      <w:r>
        <w:rPr>
          <w:lang w:val="fr-FR"/>
        </w:rPr>
        <w:tab/>
        <w:t>Questions diverses.</w:t>
      </w:r>
    </w:p>
    <w:p w14:paraId="16DAB547" w14:textId="77777777" w:rsidR="00A73F28" w:rsidRPr="00903110" w:rsidRDefault="00A07F3E" w:rsidP="00A07F3E">
      <w:pPr>
        <w:pStyle w:val="HChG"/>
        <w:rPr>
          <w:lang w:val="en-US"/>
        </w:rPr>
      </w:pPr>
      <w:r w:rsidRPr="004A33C8">
        <w:rPr>
          <w:lang w:val="en-US"/>
        </w:rPr>
        <w:br w:type="page"/>
      </w:r>
      <w:proofErr w:type="spellStart"/>
      <w:r w:rsidR="00A73F28" w:rsidRPr="00903110">
        <w:rPr>
          <w:lang w:val="en-US"/>
        </w:rPr>
        <w:lastRenderedPageBreak/>
        <w:t>Annexe</w:t>
      </w:r>
      <w:proofErr w:type="spellEnd"/>
      <w:r w:rsidR="00A73F28" w:rsidRPr="00903110">
        <w:rPr>
          <w:lang w:val="en-US"/>
        </w:rPr>
        <w:t xml:space="preserve"> I</w:t>
      </w:r>
    </w:p>
    <w:p w14:paraId="5F692AD9" w14:textId="77777777" w:rsidR="00A73F28" w:rsidRPr="00903110" w:rsidRDefault="00A73F28" w:rsidP="00A07F3E">
      <w:pPr>
        <w:pStyle w:val="SingleTxtG"/>
        <w:jc w:val="right"/>
        <w:rPr>
          <w:lang w:val="en-US"/>
        </w:rPr>
      </w:pPr>
      <w:r w:rsidRPr="00903110">
        <w:rPr>
          <w:lang w:val="en-US"/>
        </w:rPr>
        <w:t>[</w:t>
      </w:r>
      <w:r w:rsidR="00A07F3E" w:rsidRPr="00A07F3E">
        <w:rPr>
          <w:i/>
          <w:lang w:val="en-US"/>
        </w:rPr>
        <w:t>Anglais seulement</w:t>
      </w:r>
      <w:r w:rsidRPr="00903110">
        <w:rPr>
          <w:lang w:val="en-US"/>
        </w:rPr>
        <w:t>]</w:t>
      </w:r>
    </w:p>
    <w:p w14:paraId="609DC0AA" w14:textId="77777777" w:rsidR="000C78BC" w:rsidRPr="000C78BC" w:rsidRDefault="000C78BC" w:rsidP="000C78BC">
      <w:pPr>
        <w:pStyle w:val="HChG"/>
        <w:keepNext w:val="0"/>
        <w:keepLines w:val="0"/>
        <w:widowControl w:val="0"/>
        <w:rPr>
          <w:lang w:val="en-US"/>
        </w:rPr>
      </w:pPr>
      <w:r w:rsidRPr="004A33C8">
        <w:rPr>
          <w:lang w:val="en-US"/>
        </w:rPr>
        <w:tab/>
      </w:r>
      <w:r w:rsidRPr="004A33C8">
        <w:rPr>
          <w:lang w:val="en-US"/>
        </w:rPr>
        <w:tab/>
      </w:r>
      <w:r w:rsidRPr="000C78BC">
        <w:rPr>
          <w:lang w:val="en-US"/>
        </w:rPr>
        <w:t>List of informal documents considered during the session</w:t>
      </w:r>
    </w:p>
    <w:p w14:paraId="1EF520F0" w14:textId="77777777" w:rsidR="000C78BC" w:rsidRPr="000C78BC" w:rsidRDefault="000C78BC" w:rsidP="000C78BC">
      <w:pPr>
        <w:pStyle w:val="H1G"/>
        <w:keepNext w:val="0"/>
        <w:keepLines w:val="0"/>
        <w:widowControl w:val="0"/>
        <w:spacing w:before="120"/>
        <w:rPr>
          <w:lang w:val="en-US"/>
        </w:rPr>
      </w:pPr>
      <w:r w:rsidRPr="000C78BC">
        <w:rPr>
          <w:lang w:val="en-US"/>
        </w:rPr>
        <w:tab/>
      </w:r>
      <w:r w:rsidRPr="000C78BC">
        <w:rPr>
          <w:lang w:val="en-US"/>
        </w:rPr>
        <w:tab/>
        <w:t>List of informal documents (GRSG-116-…) distributed during the session</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C78BC" w:rsidRPr="00DD1D4D" w14:paraId="34C19D4A" w14:textId="77777777" w:rsidTr="00BF4242">
        <w:trPr>
          <w:tblHeader/>
        </w:trPr>
        <w:tc>
          <w:tcPr>
            <w:tcW w:w="666" w:type="dxa"/>
            <w:tcBorders>
              <w:top w:val="single" w:sz="4" w:space="0" w:color="auto"/>
              <w:bottom w:val="single" w:sz="12" w:space="0" w:color="auto"/>
            </w:tcBorders>
            <w:shd w:val="clear" w:color="auto" w:fill="auto"/>
          </w:tcPr>
          <w:p w14:paraId="3CFD4F3C" w14:textId="77777777" w:rsidR="000C78BC" w:rsidRPr="00DD1D4D" w:rsidRDefault="000C78BC" w:rsidP="00BF4242">
            <w:pPr>
              <w:pStyle w:val="Notedebasdepage"/>
              <w:tabs>
                <w:tab w:val="clear" w:pos="1021"/>
              </w:tabs>
              <w:ind w:left="0" w:right="0" w:firstLine="0"/>
              <w:jc w:val="center"/>
              <w:rPr>
                <w:i/>
                <w:szCs w:val="18"/>
              </w:rPr>
            </w:pPr>
            <w:r w:rsidRPr="00DD1D4D">
              <w:rPr>
                <w:i/>
                <w:szCs w:val="18"/>
              </w:rPr>
              <w:t>No.</w:t>
            </w:r>
          </w:p>
        </w:tc>
        <w:tc>
          <w:tcPr>
            <w:tcW w:w="6705" w:type="dxa"/>
            <w:tcBorders>
              <w:top w:val="single" w:sz="4" w:space="0" w:color="auto"/>
              <w:bottom w:val="single" w:sz="12" w:space="0" w:color="auto"/>
            </w:tcBorders>
            <w:shd w:val="clear" w:color="auto" w:fill="auto"/>
          </w:tcPr>
          <w:p w14:paraId="5CD5858A" w14:textId="77777777" w:rsidR="000C78BC" w:rsidRPr="00DD1D4D" w:rsidRDefault="000C78BC" w:rsidP="00BF4242">
            <w:pPr>
              <w:pStyle w:val="Notedebasdepage"/>
              <w:ind w:left="113" w:right="34" w:firstLine="0"/>
              <w:rPr>
                <w:i/>
                <w:szCs w:val="18"/>
              </w:rPr>
            </w:pPr>
            <w:r w:rsidRPr="00DD1D4D">
              <w:rPr>
                <w:i/>
                <w:szCs w:val="18"/>
              </w:rPr>
              <w:t>(Author) Title</w:t>
            </w:r>
          </w:p>
        </w:tc>
        <w:tc>
          <w:tcPr>
            <w:tcW w:w="1134" w:type="dxa"/>
            <w:tcBorders>
              <w:top w:val="single" w:sz="4" w:space="0" w:color="auto"/>
              <w:bottom w:val="single" w:sz="12" w:space="0" w:color="auto"/>
            </w:tcBorders>
            <w:shd w:val="clear" w:color="auto" w:fill="auto"/>
          </w:tcPr>
          <w:p w14:paraId="0670E9AF" w14:textId="77777777" w:rsidR="000C78BC" w:rsidRPr="00DD1D4D" w:rsidRDefault="000C78BC" w:rsidP="00BF4242">
            <w:pPr>
              <w:pStyle w:val="Notedebasdepage"/>
              <w:tabs>
                <w:tab w:val="clear" w:pos="1021"/>
              </w:tabs>
              <w:ind w:left="0" w:right="0" w:firstLine="0"/>
              <w:jc w:val="center"/>
              <w:rPr>
                <w:i/>
                <w:szCs w:val="18"/>
              </w:rPr>
            </w:pPr>
            <w:r w:rsidRPr="00DD1D4D">
              <w:rPr>
                <w:i/>
                <w:szCs w:val="18"/>
              </w:rPr>
              <w:t>Follow-up</w:t>
            </w:r>
          </w:p>
        </w:tc>
      </w:tr>
      <w:tr w:rsidR="000C78BC" w:rsidRPr="00DD1D4D" w14:paraId="767E0EA8" w14:textId="77777777" w:rsidTr="00BF4242">
        <w:tc>
          <w:tcPr>
            <w:tcW w:w="666" w:type="dxa"/>
            <w:tcBorders>
              <w:top w:val="single" w:sz="12" w:space="0" w:color="auto"/>
            </w:tcBorders>
            <w:shd w:val="clear" w:color="auto" w:fill="auto"/>
          </w:tcPr>
          <w:p w14:paraId="02BBFB00"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w:t>
            </w:r>
          </w:p>
        </w:tc>
        <w:tc>
          <w:tcPr>
            <w:tcW w:w="6705" w:type="dxa"/>
            <w:tcBorders>
              <w:top w:val="single" w:sz="12" w:space="0" w:color="auto"/>
            </w:tcBorders>
            <w:shd w:val="clear" w:color="auto" w:fill="auto"/>
          </w:tcPr>
          <w:p w14:paraId="0098DDAF"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(GRSG Chair) Running order of the 116th session of GRSG (1 – 5 April 2019)</w:t>
            </w:r>
          </w:p>
        </w:tc>
        <w:tc>
          <w:tcPr>
            <w:tcW w:w="1134" w:type="dxa"/>
            <w:tcBorders>
              <w:top w:val="single" w:sz="12" w:space="0" w:color="auto"/>
            </w:tcBorders>
            <w:shd w:val="clear" w:color="auto" w:fill="auto"/>
          </w:tcPr>
          <w:p w14:paraId="037D3C46"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0939275A" w14:textId="77777777" w:rsidTr="00BF4242">
        <w:tc>
          <w:tcPr>
            <w:tcW w:w="666" w:type="dxa"/>
            <w:shd w:val="clear" w:color="auto" w:fill="auto"/>
          </w:tcPr>
          <w:p w14:paraId="5D0529D0"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w:t>
            </w:r>
          </w:p>
        </w:tc>
        <w:tc>
          <w:tcPr>
            <w:tcW w:w="6705" w:type="dxa"/>
            <w:shd w:val="clear" w:color="auto" w:fill="auto"/>
          </w:tcPr>
          <w:p w14:paraId="2A21FA70"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(The Netherlands) Proposal for amendments to UN Regulation No. 58.03 (Rear Underrun Protection Device)</w:t>
            </w:r>
          </w:p>
        </w:tc>
        <w:tc>
          <w:tcPr>
            <w:tcW w:w="1134" w:type="dxa"/>
            <w:shd w:val="clear" w:color="auto" w:fill="auto"/>
          </w:tcPr>
          <w:p w14:paraId="74916769"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19C44D4E" w14:textId="77777777" w:rsidTr="00BF4242">
        <w:tc>
          <w:tcPr>
            <w:tcW w:w="666" w:type="dxa"/>
            <w:shd w:val="clear" w:color="auto" w:fill="auto"/>
          </w:tcPr>
          <w:p w14:paraId="70A75313"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w:t>
            </w:r>
          </w:p>
        </w:tc>
        <w:tc>
          <w:tcPr>
            <w:tcW w:w="6705" w:type="dxa"/>
            <w:shd w:val="clear" w:color="auto" w:fill="auto"/>
          </w:tcPr>
          <w:p w14:paraId="5E2B069F"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(Secretariat) ISO 17386:2010 Transport information and control systems - Manoeuvring aids for low speed operation (MALSO) - Performance requirements and test procedures</w:t>
            </w:r>
          </w:p>
        </w:tc>
        <w:tc>
          <w:tcPr>
            <w:tcW w:w="1134" w:type="dxa"/>
            <w:shd w:val="clear" w:color="auto" w:fill="auto"/>
          </w:tcPr>
          <w:p w14:paraId="33A9F261"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44FCCE22" w14:textId="77777777" w:rsidTr="00BF4242">
        <w:tc>
          <w:tcPr>
            <w:tcW w:w="666" w:type="dxa"/>
            <w:shd w:val="clear" w:color="auto" w:fill="auto"/>
          </w:tcPr>
          <w:p w14:paraId="1AD6698D"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w:t>
            </w:r>
          </w:p>
        </w:tc>
        <w:tc>
          <w:tcPr>
            <w:tcW w:w="6705" w:type="dxa"/>
            <w:shd w:val="clear" w:color="auto" w:fill="auto"/>
          </w:tcPr>
          <w:p w14:paraId="2E9C1340"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(Germany) UN Regulation No. 46 (Devices for indirect vision and motor vehicles with regard to the installation of these devices)</w:t>
            </w:r>
          </w:p>
        </w:tc>
        <w:tc>
          <w:tcPr>
            <w:tcW w:w="1134" w:type="dxa"/>
            <w:shd w:val="clear" w:color="auto" w:fill="auto"/>
          </w:tcPr>
          <w:p w14:paraId="349B4D9A"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4492CF65" w14:textId="77777777" w:rsidTr="00BF4242">
        <w:tc>
          <w:tcPr>
            <w:tcW w:w="666" w:type="dxa"/>
            <w:shd w:val="clear" w:color="auto" w:fill="auto"/>
          </w:tcPr>
          <w:p w14:paraId="317CC93E"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5-Rev.1</w:t>
            </w:r>
          </w:p>
        </w:tc>
        <w:tc>
          <w:tcPr>
            <w:tcW w:w="6705" w:type="dxa"/>
            <w:shd w:val="clear" w:color="auto" w:fill="auto"/>
          </w:tcPr>
          <w:p w14:paraId="1B410FAA"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(Germany) Proposal for Supplement 1 to the 02 series of amendments of UN Regulation No. 67</w:t>
            </w:r>
          </w:p>
        </w:tc>
        <w:tc>
          <w:tcPr>
            <w:tcW w:w="1134" w:type="dxa"/>
            <w:shd w:val="clear" w:color="auto" w:fill="auto"/>
          </w:tcPr>
          <w:p w14:paraId="2A02B2D1"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(b)</w:t>
            </w:r>
          </w:p>
        </w:tc>
      </w:tr>
      <w:tr w:rsidR="000C78BC" w:rsidRPr="00DD1D4D" w14:paraId="774F2D59" w14:textId="77777777" w:rsidTr="00BF4242">
        <w:tc>
          <w:tcPr>
            <w:tcW w:w="666" w:type="dxa"/>
            <w:shd w:val="clear" w:color="auto" w:fill="auto"/>
          </w:tcPr>
          <w:p w14:paraId="4F2B3CDE"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6-Rev.1</w:t>
            </w:r>
          </w:p>
        </w:tc>
        <w:tc>
          <w:tcPr>
            <w:tcW w:w="6705" w:type="dxa"/>
            <w:shd w:val="clear" w:color="auto" w:fill="auto"/>
          </w:tcPr>
          <w:p w14:paraId="48CAEF0F"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UN Regulation No. 116: Uniform provisions concerning the protection of motor vehicles against unauthorized use and the approval of the device against unauthorized use (by mean of a locking system)</w:t>
            </w:r>
          </w:p>
        </w:tc>
        <w:tc>
          <w:tcPr>
            <w:tcW w:w="1134" w:type="dxa"/>
            <w:shd w:val="clear" w:color="auto" w:fill="auto"/>
          </w:tcPr>
          <w:p w14:paraId="2C41E732"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5752B1C4" w14:textId="77777777" w:rsidTr="00BF4242">
        <w:tc>
          <w:tcPr>
            <w:tcW w:w="666" w:type="dxa"/>
            <w:shd w:val="clear" w:color="auto" w:fill="auto"/>
          </w:tcPr>
          <w:p w14:paraId="338B9469"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7</w:t>
            </w:r>
          </w:p>
        </w:tc>
        <w:tc>
          <w:tcPr>
            <w:tcW w:w="6705" w:type="dxa"/>
            <w:shd w:val="clear" w:color="auto" w:fill="auto"/>
          </w:tcPr>
          <w:p w14:paraId="0CC95B56"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New UN Regulation on uniform technical prescriptions concerning approval of immobilizers and approval of a vehicle with regard to its immobilizer</w:t>
            </w:r>
          </w:p>
        </w:tc>
        <w:tc>
          <w:tcPr>
            <w:tcW w:w="1134" w:type="dxa"/>
            <w:shd w:val="clear" w:color="auto" w:fill="auto"/>
          </w:tcPr>
          <w:p w14:paraId="23C1A7E5"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3BFB14A3" w14:textId="77777777" w:rsidTr="00BF4242">
        <w:tc>
          <w:tcPr>
            <w:tcW w:w="666" w:type="dxa"/>
            <w:shd w:val="clear" w:color="auto" w:fill="auto"/>
          </w:tcPr>
          <w:p w14:paraId="1A7A812D"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8</w:t>
            </w:r>
          </w:p>
        </w:tc>
        <w:tc>
          <w:tcPr>
            <w:tcW w:w="6705" w:type="dxa"/>
            <w:shd w:val="clear" w:color="auto" w:fill="auto"/>
          </w:tcPr>
          <w:p w14:paraId="68BA4E12"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Draft UN Regulation on uniform provisions concerning approval of vehicle alarm systems and approval of a vehicle with regard to its vehicle alarm system</w:t>
            </w:r>
          </w:p>
        </w:tc>
        <w:tc>
          <w:tcPr>
            <w:tcW w:w="1134" w:type="dxa"/>
            <w:shd w:val="clear" w:color="auto" w:fill="auto"/>
          </w:tcPr>
          <w:p w14:paraId="4E52079E"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0EDFA94F" w14:textId="77777777" w:rsidTr="00BF4242">
        <w:tc>
          <w:tcPr>
            <w:tcW w:w="666" w:type="dxa"/>
            <w:shd w:val="clear" w:color="auto" w:fill="auto"/>
          </w:tcPr>
          <w:p w14:paraId="2A537BB2"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9-Rev.1</w:t>
            </w:r>
          </w:p>
        </w:tc>
        <w:tc>
          <w:tcPr>
            <w:tcW w:w="6705" w:type="dxa"/>
            <w:shd w:val="clear" w:color="auto" w:fill="auto"/>
          </w:tcPr>
          <w:p w14:paraId="5FBD2445"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Highlights on the splitting of UN Regulation No. 116</w:t>
            </w:r>
          </w:p>
        </w:tc>
        <w:tc>
          <w:tcPr>
            <w:tcW w:w="1134" w:type="dxa"/>
            <w:shd w:val="clear" w:color="auto" w:fill="auto"/>
          </w:tcPr>
          <w:p w14:paraId="76254547"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4772BE98" w14:textId="77777777" w:rsidTr="00BF4242">
        <w:tc>
          <w:tcPr>
            <w:tcW w:w="666" w:type="dxa"/>
            <w:shd w:val="clear" w:color="auto" w:fill="auto"/>
          </w:tcPr>
          <w:p w14:paraId="356F008F"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10</w:t>
            </w:r>
          </w:p>
        </w:tc>
        <w:tc>
          <w:tcPr>
            <w:tcW w:w="6705" w:type="dxa"/>
            <w:shd w:val="clear" w:color="auto" w:fill="auto"/>
          </w:tcPr>
          <w:p w14:paraId="7E754503"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DRAFT Proposal for a new series of amendments to UN Regulation No. 144 (Accident Emergency Call Systems)</w:t>
            </w:r>
          </w:p>
        </w:tc>
        <w:tc>
          <w:tcPr>
            <w:tcW w:w="1134" w:type="dxa"/>
            <w:shd w:val="clear" w:color="auto" w:fill="auto"/>
          </w:tcPr>
          <w:p w14:paraId="73E586D6"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537A8CD4" w14:textId="77777777" w:rsidTr="00BF4242">
        <w:tc>
          <w:tcPr>
            <w:tcW w:w="666" w:type="dxa"/>
            <w:shd w:val="clear" w:color="auto" w:fill="auto"/>
          </w:tcPr>
          <w:p w14:paraId="1806BAFE"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11</w:t>
            </w:r>
          </w:p>
        </w:tc>
        <w:tc>
          <w:tcPr>
            <w:tcW w:w="6705" w:type="dxa"/>
            <w:shd w:val="clear" w:color="auto" w:fill="auto"/>
          </w:tcPr>
          <w:p w14:paraId="554059B8"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(France) Behaviour of M2 and M3 general construction in case of Fire Event (BMFE)</w:t>
            </w:r>
          </w:p>
        </w:tc>
        <w:tc>
          <w:tcPr>
            <w:tcW w:w="1134" w:type="dxa"/>
            <w:shd w:val="clear" w:color="auto" w:fill="auto"/>
          </w:tcPr>
          <w:p w14:paraId="20BED192"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4CD3302E" w14:textId="77777777" w:rsidTr="00BF4242">
        <w:tc>
          <w:tcPr>
            <w:tcW w:w="666" w:type="dxa"/>
            <w:shd w:val="clear" w:color="auto" w:fill="auto"/>
          </w:tcPr>
          <w:p w14:paraId="1F798319"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12</w:t>
            </w:r>
          </w:p>
        </w:tc>
        <w:tc>
          <w:tcPr>
            <w:tcW w:w="6705" w:type="dxa"/>
            <w:shd w:val="clear" w:color="auto" w:fill="auto"/>
          </w:tcPr>
          <w:p w14:paraId="13A72702"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(France) Terms of Reference and Rules of Procedure of the GRSG informal working group on the Behaviour of M2 and M3 vehicles' general construction in case of Fire Event (BMFE)</w:t>
            </w:r>
          </w:p>
        </w:tc>
        <w:tc>
          <w:tcPr>
            <w:tcW w:w="1134" w:type="dxa"/>
            <w:shd w:val="clear" w:color="auto" w:fill="auto"/>
          </w:tcPr>
          <w:p w14:paraId="0E9031CD"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(a)</w:t>
            </w:r>
          </w:p>
        </w:tc>
      </w:tr>
      <w:tr w:rsidR="000C78BC" w:rsidRPr="00DD1D4D" w14:paraId="2D0D23FD" w14:textId="77777777" w:rsidTr="00BF4242">
        <w:tc>
          <w:tcPr>
            <w:tcW w:w="666" w:type="dxa"/>
            <w:shd w:val="clear" w:color="auto" w:fill="auto"/>
          </w:tcPr>
          <w:p w14:paraId="5CEC4314"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13</w:t>
            </w:r>
          </w:p>
        </w:tc>
        <w:tc>
          <w:tcPr>
            <w:tcW w:w="6705" w:type="dxa"/>
            <w:shd w:val="clear" w:color="auto" w:fill="auto"/>
          </w:tcPr>
          <w:p w14:paraId="6ED64575"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(France) Suggestion for an amendment to UN Regulation No. 62 (Anti-theft for mopeds/motorcycles)</w:t>
            </w:r>
          </w:p>
        </w:tc>
        <w:tc>
          <w:tcPr>
            <w:tcW w:w="1134" w:type="dxa"/>
            <w:shd w:val="clear" w:color="auto" w:fill="auto"/>
          </w:tcPr>
          <w:p w14:paraId="2D3388A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14984E25" w14:textId="77777777" w:rsidTr="00BF4242">
        <w:tc>
          <w:tcPr>
            <w:tcW w:w="666" w:type="dxa"/>
            <w:shd w:val="clear" w:color="auto" w:fill="auto"/>
          </w:tcPr>
          <w:p w14:paraId="6C2A6DC9"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14</w:t>
            </w:r>
          </w:p>
        </w:tc>
        <w:tc>
          <w:tcPr>
            <w:tcW w:w="6705" w:type="dxa"/>
            <w:shd w:val="clear" w:color="auto" w:fill="auto"/>
          </w:tcPr>
          <w:p w14:paraId="32C29FCC"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lang w:val="en-US"/>
              </w:rPr>
              <w:t>GRB Status Report on the task force on reverse warning issues</w:t>
            </w:r>
          </w:p>
        </w:tc>
        <w:tc>
          <w:tcPr>
            <w:tcW w:w="1134" w:type="dxa"/>
            <w:shd w:val="clear" w:color="auto" w:fill="auto"/>
          </w:tcPr>
          <w:p w14:paraId="6F791E9D"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041BE672" w14:textId="77777777" w:rsidTr="00BF4242">
        <w:tc>
          <w:tcPr>
            <w:tcW w:w="666" w:type="dxa"/>
            <w:shd w:val="clear" w:color="auto" w:fill="auto"/>
          </w:tcPr>
          <w:p w14:paraId="31FAA481"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15</w:t>
            </w:r>
          </w:p>
        </w:tc>
        <w:tc>
          <w:tcPr>
            <w:tcW w:w="6705" w:type="dxa"/>
            <w:shd w:val="clear" w:color="auto" w:fill="auto"/>
          </w:tcPr>
          <w:p w14:paraId="7785B224"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(Russian Federation) Draft proposal for amendments to UN Regulation No. 144 (Accident Emergency Call Systems)</w:t>
            </w:r>
          </w:p>
        </w:tc>
        <w:tc>
          <w:tcPr>
            <w:tcW w:w="1134" w:type="dxa"/>
            <w:shd w:val="clear" w:color="auto" w:fill="auto"/>
          </w:tcPr>
          <w:p w14:paraId="5F1001A4"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6350410E" w14:textId="77777777" w:rsidTr="00BF4242">
        <w:tc>
          <w:tcPr>
            <w:tcW w:w="666" w:type="dxa"/>
            <w:shd w:val="clear" w:color="auto" w:fill="auto"/>
          </w:tcPr>
          <w:p w14:paraId="3D644C2D"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16</w:t>
            </w:r>
          </w:p>
        </w:tc>
        <w:tc>
          <w:tcPr>
            <w:tcW w:w="6705" w:type="dxa"/>
            <w:shd w:val="clear" w:color="auto" w:fill="auto"/>
          </w:tcPr>
          <w:p w14:paraId="4BCB2CFE"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(NGV Global) Proposal for amendments to the 04 series of amendments to UN Regulation No. 110 (CNG and LNG vehicles)</w:t>
            </w:r>
          </w:p>
        </w:tc>
        <w:tc>
          <w:tcPr>
            <w:tcW w:w="1134" w:type="dxa"/>
            <w:shd w:val="clear" w:color="auto" w:fill="auto"/>
          </w:tcPr>
          <w:p w14:paraId="4C89F386"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623A121A" w14:textId="77777777" w:rsidTr="00BF4242">
        <w:tc>
          <w:tcPr>
            <w:tcW w:w="666" w:type="dxa"/>
            <w:shd w:val="clear" w:color="auto" w:fill="auto"/>
          </w:tcPr>
          <w:p w14:paraId="18DCAD13"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17</w:t>
            </w:r>
          </w:p>
        </w:tc>
        <w:tc>
          <w:tcPr>
            <w:tcW w:w="6705" w:type="dxa"/>
            <w:shd w:val="clear" w:color="auto" w:fill="auto"/>
          </w:tcPr>
          <w:p w14:paraId="64E87676"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(Italy) Proposal for amendments to UN Regulation No. 110 (CNG/LNG vehicles)</w:t>
            </w:r>
          </w:p>
        </w:tc>
        <w:tc>
          <w:tcPr>
            <w:tcW w:w="1134" w:type="dxa"/>
            <w:shd w:val="clear" w:color="auto" w:fill="auto"/>
          </w:tcPr>
          <w:p w14:paraId="45156E6D"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6EC3E1EF" w14:textId="77777777" w:rsidTr="00BF4242">
        <w:tc>
          <w:tcPr>
            <w:tcW w:w="666" w:type="dxa"/>
            <w:shd w:val="clear" w:color="auto" w:fill="auto"/>
          </w:tcPr>
          <w:p w14:paraId="68D56CB9"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18</w:t>
            </w:r>
          </w:p>
        </w:tc>
        <w:tc>
          <w:tcPr>
            <w:tcW w:w="6705" w:type="dxa"/>
            <w:shd w:val="clear" w:color="auto" w:fill="auto"/>
          </w:tcPr>
          <w:p w14:paraId="5EB8EA05" w14:textId="77777777" w:rsidR="000C78BC" w:rsidRPr="00DD1D4D" w:rsidRDefault="000C78BC" w:rsidP="00BF4242">
            <w:pPr>
              <w:widowControl w:val="0"/>
              <w:suppressAutoHyphens w:val="0"/>
              <w:spacing w:before="57" w:after="24" w:line="240" w:lineRule="auto"/>
              <w:ind w:left="113"/>
              <w:rPr>
                <w:sz w:val="18"/>
                <w:szCs w:val="18"/>
              </w:rPr>
            </w:pPr>
            <w:r w:rsidRPr="00DD1D4D">
              <w:rPr>
                <w:sz w:val="18"/>
                <w:szCs w:val="18"/>
              </w:rPr>
              <w:t>(Italy) Conformable storage concept for CNG vehicles</w:t>
            </w:r>
          </w:p>
        </w:tc>
        <w:tc>
          <w:tcPr>
            <w:tcW w:w="1134" w:type="dxa"/>
            <w:shd w:val="clear" w:color="auto" w:fill="auto"/>
          </w:tcPr>
          <w:p w14:paraId="76F6A279"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3C18D1FD" w14:textId="77777777" w:rsidTr="00BF4242">
        <w:tc>
          <w:tcPr>
            <w:tcW w:w="666" w:type="dxa"/>
            <w:shd w:val="clear" w:color="auto" w:fill="auto"/>
          </w:tcPr>
          <w:p w14:paraId="6BBF6FE7"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19</w:t>
            </w:r>
          </w:p>
        </w:tc>
        <w:tc>
          <w:tcPr>
            <w:tcW w:w="6705" w:type="dxa"/>
            <w:shd w:val="clear" w:color="auto" w:fill="auto"/>
          </w:tcPr>
          <w:p w14:paraId="2A34E848"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Highlights of the recent WP.29 sessions and general information</w:t>
            </w:r>
          </w:p>
        </w:tc>
        <w:tc>
          <w:tcPr>
            <w:tcW w:w="1134" w:type="dxa"/>
            <w:shd w:val="clear" w:color="auto" w:fill="auto"/>
          </w:tcPr>
          <w:p w14:paraId="4ABFD345"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54D87507" w14:textId="77777777" w:rsidTr="00BF4242">
        <w:tc>
          <w:tcPr>
            <w:tcW w:w="666" w:type="dxa"/>
            <w:shd w:val="clear" w:color="auto" w:fill="auto"/>
          </w:tcPr>
          <w:p w14:paraId="1F3C9B2C"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20</w:t>
            </w:r>
          </w:p>
        </w:tc>
        <w:tc>
          <w:tcPr>
            <w:tcW w:w="6705" w:type="dxa"/>
            <w:shd w:val="clear" w:color="auto" w:fill="auto"/>
          </w:tcPr>
          <w:p w14:paraId="7319ACAA"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(Germany) Proposal for amendments to UN Regulation No. 46</w:t>
            </w:r>
          </w:p>
        </w:tc>
        <w:tc>
          <w:tcPr>
            <w:tcW w:w="1134" w:type="dxa"/>
            <w:shd w:val="clear" w:color="auto" w:fill="auto"/>
          </w:tcPr>
          <w:p w14:paraId="3B01F31D"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59743AAB" w14:textId="77777777" w:rsidTr="00BF4242">
        <w:tc>
          <w:tcPr>
            <w:tcW w:w="666" w:type="dxa"/>
            <w:shd w:val="clear" w:color="auto" w:fill="auto"/>
          </w:tcPr>
          <w:p w14:paraId="0F0E710D"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21</w:t>
            </w:r>
          </w:p>
        </w:tc>
        <w:tc>
          <w:tcPr>
            <w:tcW w:w="6705" w:type="dxa"/>
            <w:shd w:val="clear" w:color="auto" w:fill="auto"/>
          </w:tcPr>
          <w:p w14:paraId="3813BB97"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(NGV Global) Proposal for amendments to UN Regulation No. 110</w:t>
            </w:r>
          </w:p>
        </w:tc>
        <w:tc>
          <w:tcPr>
            <w:tcW w:w="1134" w:type="dxa"/>
            <w:shd w:val="clear" w:color="auto" w:fill="auto"/>
          </w:tcPr>
          <w:p w14:paraId="68106EB6"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3DEC0987" w14:textId="77777777" w:rsidTr="00BF4242">
        <w:trPr>
          <w:cantSplit/>
        </w:trPr>
        <w:tc>
          <w:tcPr>
            <w:tcW w:w="666" w:type="dxa"/>
            <w:shd w:val="clear" w:color="auto" w:fill="auto"/>
          </w:tcPr>
          <w:p w14:paraId="5AFBAA4E"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22</w:t>
            </w:r>
          </w:p>
        </w:tc>
        <w:tc>
          <w:tcPr>
            <w:tcW w:w="6705" w:type="dxa"/>
            <w:shd w:val="clear" w:color="auto" w:fill="auto"/>
          </w:tcPr>
          <w:p w14:paraId="03C159AB"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(CLEPA) Proposal for amendments to UN Regulation No. 122 (Heating systems)</w:t>
            </w:r>
          </w:p>
        </w:tc>
        <w:tc>
          <w:tcPr>
            <w:tcW w:w="1134" w:type="dxa"/>
            <w:shd w:val="clear" w:color="auto" w:fill="auto"/>
          </w:tcPr>
          <w:p w14:paraId="2B9994BE"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(c)</w:t>
            </w:r>
          </w:p>
        </w:tc>
      </w:tr>
      <w:tr w:rsidR="000C78BC" w:rsidRPr="00DD1D4D" w14:paraId="11902498" w14:textId="77777777" w:rsidTr="00BF4242">
        <w:tc>
          <w:tcPr>
            <w:tcW w:w="666" w:type="dxa"/>
            <w:shd w:val="clear" w:color="auto" w:fill="auto"/>
          </w:tcPr>
          <w:p w14:paraId="233644FB"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23</w:t>
            </w:r>
          </w:p>
        </w:tc>
        <w:tc>
          <w:tcPr>
            <w:tcW w:w="6705" w:type="dxa"/>
            <w:shd w:val="clear" w:color="auto" w:fill="auto"/>
          </w:tcPr>
          <w:p w14:paraId="740108DA" w14:textId="77777777" w:rsidR="000C78BC" w:rsidRPr="000C78BC" w:rsidRDefault="000C78BC" w:rsidP="00BF4242">
            <w:pPr>
              <w:keepNext/>
              <w:keepLines/>
              <w:suppressAutoHyphens w:val="0"/>
              <w:spacing w:before="57" w:after="24" w:line="240" w:lineRule="auto"/>
              <w:ind w:left="113"/>
              <w:rPr>
                <w:sz w:val="18"/>
                <w:szCs w:val="18"/>
                <w:lang w:val="en-US"/>
              </w:rPr>
            </w:pPr>
            <w:r w:rsidRPr="000C78BC">
              <w:rPr>
                <w:sz w:val="18"/>
                <w:szCs w:val="18"/>
                <w:lang w:val="en-US"/>
              </w:rPr>
              <w:t>(The Netherlands) 26th International Technical Conference on the Enhanced Safety of Vehicles (ESV)</w:t>
            </w:r>
          </w:p>
        </w:tc>
        <w:tc>
          <w:tcPr>
            <w:tcW w:w="1134" w:type="dxa"/>
            <w:shd w:val="clear" w:color="auto" w:fill="auto"/>
          </w:tcPr>
          <w:p w14:paraId="66BD91D2" w14:textId="77777777" w:rsidR="000C78BC" w:rsidRPr="00DD1D4D" w:rsidRDefault="000C78BC" w:rsidP="00BF4242">
            <w:pPr>
              <w:widowControl w:val="0"/>
              <w:suppressAutoHyphens w:val="0"/>
              <w:spacing w:before="57" w:line="240" w:lineRule="auto"/>
              <w:jc w:val="center"/>
              <w:rPr>
                <w:sz w:val="18"/>
                <w:szCs w:val="18"/>
                <w:highlight w:val="yellow"/>
              </w:rPr>
            </w:pPr>
            <w:r w:rsidRPr="00DD1D4D">
              <w:rPr>
                <w:sz w:val="18"/>
                <w:szCs w:val="18"/>
              </w:rPr>
              <w:t>(f)</w:t>
            </w:r>
          </w:p>
        </w:tc>
      </w:tr>
      <w:tr w:rsidR="000C78BC" w:rsidRPr="00DD1D4D" w14:paraId="654E8423" w14:textId="77777777" w:rsidTr="00BF4242">
        <w:trPr>
          <w:trHeight w:val="176"/>
        </w:trPr>
        <w:tc>
          <w:tcPr>
            <w:tcW w:w="666" w:type="dxa"/>
            <w:shd w:val="clear" w:color="auto" w:fill="auto"/>
          </w:tcPr>
          <w:p w14:paraId="61D8A5FF"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24</w:t>
            </w:r>
          </w:p>
        </w:tc>
        <w:tc>
          <w:tcPr>
            <w:tcW w:w="6705" w:type="dxa"/>
            <w:shd w:val="clear" w:color="auto" w:fill="auto"/>
          </w:tcPr>
          <w:p w14:paraId="4F650C1D"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Proposal for Supplement 7 to the 06 series of amendments, Supplement 2 to the 07 series of amendments and Supplement X to the 08 series of amendments to UN Regulation No. 107</w:t>
            </w:r>
          </w:p>
        </w:tc>
        <w:tc>
          <w:tcPr>
            <w:tcW w:w="1134" w:type="dxa"/>
            <w:shd w:val="clear" w:color="auto" w:fill="auto"/>
          </w:tcPr>
          <w:p w14:paraId="728EA4A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4314334C" w14:textId="77777777" w:rsidTr="00BF4242">
        <w:tc>
          <w:tcPr>
            <w:tcW w:w="666" w:type="dxa"/>
            <w:shd w:val="clear" w:color="auto" w:fill="auto"/>
          </w:tcPr>
          <w:p w14:paraId="10300FDB"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25</w:t>
            </w:r>
          </w:p>
        </w:tc>
        <w:tc>
          <w:tcPr>
            <w:tcW w:w="6705" w:type="dxa"/>
            <w:shd w:val="clear" w:color="auto" w:fill="auto"/>
          </w:tcPr>
          <w:p w14:paraId="1EDCEF92"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Specific issues for M2-buses of Class B with the transition from 05-series of UN Regulation No. 107 to 06-series of amendments</w:t>
            </w:r>
          </w:p>
        </w:tc>
        <w:tc>
          <w:tcPr>
            <w:tcW w:w="1134" w:type="dxa"/>
            <w:shd w:val="clear" w:color="auto" w:fill="auto"/>
          </w:tcPr>
          <w:p w14:paraId="1CDF718F"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6D787F69" w14:textId="77777777" w:rsidTr="00BF4242">
        <w:tc>
          <w:tcPr>
            <w:tcW w:w="666" w:type="dxa"/>
            <w:shd w:val="clear" w:color="auto" w:fill="auto"/>
          </w:tcPr>
          <w:p w14:paraId="7900B4DC" w14:textId="77777777" w:rsidR="000C78BC" w:rsidRPr="00DD1D4D" w:rsidRDefault="000C78BC" w:rsidP="00BF4242">
            <w:pPr>
              <w:keepNext/>
              <w:keepLines/>
              <w:suppressAutoHyphens w:val="0"/>
              <w:spacing w:before="57" w:after="24" w:line="240" w:lineRule="auto"/>
              <w:jc w:val="center"/>
              <w:rPr>
                <w:sz w:val="18"/>
                <w:szCs w:val="18"/>
              </w:rPr>
            </w:pPr>
            <w:r w:rsidRPr="00DD1D4D">
              <w:rPr>
                <w:sz w:val="18"/>
                <w:szCs w:val="18"/>
              </w:rPr>
              <w:lastRenderedPageBreak/>
              <w:t>26-Rev.1</w:t>
            </w:r>
          </w:p>
        </w:tc>
        <w:tc>
          <w:tcPr>
            <w:tcW w:w="6705" w:type="dxa"/>
            <w:shd w:val="clear" w:color="auto" w:fill="auto"/>
          </w:tcPr>
          <w:p w14:paraId="2B275C5A" w14:textId="77777777" w:rsidR="000C78BC" w:rsidRPr="000C78BC" w:rsidRDefault="000C78BC" w:rsidP="00BF4242">
            <w:pPr>
              <w:keepNext/>
              <w:keepLines/>
              <w:suppressAutoHyphens w:val="0"/>
              <w:spacing w:before="57" w:after="24" w:line="240" w:lineRule="auto"/>
              <w:ind w:left="113"/>
              <w:rPr>
                <w:sz w:val="18"/>
                <w:szCs w:val="18"/>
                <w:lang w:val="en-US"/>
              </w:rPr>
            </w:pPr>
            <w:r w:rsidRPr="000C78BC">
              <w:rPr>
                <w:sz w:val="18"/>
                <w:szCs w:val="18"/>
                <w:lang w:val="en-US"/>
              </w:rPr>
              <w:t>(OICA) Proposal for the 01 series of amendments to UN Regulation No. 35 (Foot controls)</w:t>
            </w:r>
          </w:p>
        </w:tc>
        <w:tc>
          <w:tcPr>
            <w:tcW w:w="1134" w:type="dxa"/>
            <w:shd w:val="clear" w:color="auto" w:fill="auto"/>
          </w:tcPr>
          <w:p w14:paraId="200EA91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(b)</w:t>
            </w:r>
          </w:p>
        </w:tc>
      </w:tr>
      <w:tr w:rsidR="000C78BC" w:rsidRPr="00DD1D4D" w14:paraId="2A76378A" w14:textId="77777777" w:rsidTr="00BF4242">
        <w:tc>
          <w:tcPr>
            <w:tcW w:w="666" w:type="dxa"/>
            <w:shd w:val="clear" w:color="auto" w:fill="auto"/>
          </w:tcPr>
          <w:p w14:paraId="42BCCC9D"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27-Rev.1</w:t>
            </w:r>
          </w:p>
        </w:tc>
        <w:tc>
          <w:tcPr>
            <w:tcW w:w="6705" w:type="dxa"/>
            <w:shd w:val="clear" w:color="auto" w:fill="auto"/>
          </w:tcPr>
          <w:p w14:paraId="60028B69" w14:textId="77777777" w:rsidR="000C78BC" w:rsidRPr="000C78BC" w:rsidRDefault="000C78BC" w:rsidP="00BF4242">
            <w:pPr>
              <w:keepNext/>
              <w:keepLines/>
              <w:suppressAutoHyphens w:val="0"/>
              <w:spacing w:before="57" w:after="24" w:line="240" w:lineRule="auto"/>
              <w:ind w:left="113"/>
              <w:rPr>
                <w:sz w:val="18"/>
                <w:szCs w:val="18"/>
                <w:lang w:val="en-US"/>
              </w:rPr>
            </w:pPr>
            <w:r w:rsidRPr="000C78BC">
              <w:rPr>
                <w:sz w:val="18"/>
                <w:szCs w:val="18"/>
                <w:lang w:val="en-US"/>
              </w:rPr>
              <w:t>(OICA) Revised proposal for amendments to UN Regulation No. 46 (Devices for indirect vision)</w:t>
            </w:r>
          </w:p>
        </w:tc>
        <w:tc>
          <w:tcPr>
            <w:tcW w:w="1134" w:type="dxa"/>
            <w:shd w:val="clear" w:color="auto" w:fill="auto"/>
          </w:tcPr>
          <w:p w14:paraId="5CAB15F5"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37A0D816" w14:textId="77777777" w:rsidTr="00BF4242">
        <w:tc>
          <w:tcPr>
            <w:tcW w:w="666" w:type="dxa"/>
            <w:shd w:val="clear" w:color="auto" w:fill="auto"/>
          </w:tcPr>
          <w:p w14:paraId="143D7351"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28</w:t>
            </w:r>
          </w:p>
        </w:tc>
        <w:tc>
          <w:tcPr>
            <w:tcW w:w="6705" w:type="dxa"/>
            <w:shd w:val="clear" w:color="auto" w:fill="auto"/>
          </w:tcPr>
          <w:p w14:paraId="147D9729"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lang w:val="en-US"/>
              </w:rPr>
              <w:t>(OICA) Proposal for a Supplement to the 03 series of amendments to UN Regulation No. 58</w:t>
            </w:r>
          </w:p>
        </w:tc>
        <w:tc>
          <w:tcPr>
            <w:tcW w:w="1134" w:type="dxa"/>
            <w:shd w:val="clear" w:color="auto" w:fill="auto"/>
          </w:tcPr>
          <w:p w14:paraId="311CC43B"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141A95E8" w14:textId="77777777" w:rsidTr="00BF4242">
        <w:tc>
          <w:tcPr>
            <w:tcW w:w="666" w:type="dxa"/>
            <w:shd w:val="clear" w:color="auto" w:fill="auto"/>
          </w:tcPr>
          <w:p w14:paraId="308E96DD"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29</w:t>
            </w:r>
          </w:p>
        </w:tc>
        <w:tc>
          <w:tcPr>
            <w:tcW w:w="6705" w:type="dxa"/>
            <w:shd w:val="clear" w:color="auto" w:fill="auto"/>
          </w:tcPr>
          <w:p w14:paraId="693E7213" w14:textId="77777777" w:rsidR="000C78BC" w:rsidRPr="00DD1D4D" w:rsidRDefault="000C78BC" w:rsidP="00BF4242">
            <w:pPr>
              <w:widowControl w:val="0"/>
              <w:suppressAutoHyphens w:val="0"/>
              <w:spacing w:before="57" w:after="24" w:line="240" w:lineRule="auto"/>
              <w:ind w:left="113"/>
              <w:rPr>
                <w:sz w:val="18"/>
                <w:szCs w:val="18"/>
              </w:rPr>
            </w:pPr>
            <w:r w:rsidRPr="00DD1D4D">
              <w:rPr>
                <w:sz w:val="18"/>
                <w:szCs w:val="18"/>
              </w:rPr>
              <w:t>(OICA) Aerodynamic devices</w:t>
            </w:r>
          </w:p>
        </w:tc>
        <w:tc>
          <w:tcPr>
            <w:tcW w:w="1134" w:type="dxa"/>
            <w:shd w:val="clear" w:color="auto" w:fill="auto"/>
          </w:tcPr>
          <w:p w14:paraId="1BAB4248"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1B260908" w14:textId="77777777" w:rsidTr="00BF4242">
        <w:tc>
          <w:tcPr>
            <w:tcW w:w="666" w:type="dxa"/>
            <w:shd w:val="clear" w:color="auto" w:fill="auto"/>
          </w:tcPr>
          <w:p w14:paraId="5AF59F46"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30</w:t>
            </w:r>
          </w:p>
        </w:tc>
        <w:tc>
          <w:tcPr>
            <w:tcW w:w="6705" w:type="dxa"/>
            <w:shd w:val="clear" w:color="auto" w:fill="auto"/>
          </w:tcPr>
          <w:p w14:paraId="1BEC30E6"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(Republic of Korea) Proposal for amendments to GTR No. 6</w:t>
            </w:r>
          </w:p>
        </w:tc>
        <w:tc>
          <w:tcPr>
            <w:tcW w:w="1134" w:type="dxa"/>
            <w:shd w:val="clear" w:color="auto" w:fill="auto"/>
          </w:tcPr>
          <w:p w14:paraId="4F1CB3AE"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0F8D57A2" w14:textId="77777777" w:rsidTr="00BF4242">
        <w:tc>
          <w:tcPr>
            <w:tcW w:w="666" w:type="dxa"/>
            <w:shd w:val="clear" w:color="auto" w:fill="auto"/>
          </w:tcPr>
          <w:p w14:paraId="1D354430"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31</w:t>
            </w:r>
          </w:p>
        </w:tc>
        <w:tc>
          <w:tcPr>
            <w:tcW w:w="6705" w:type="dxa"/>
            <w:shd w:val="clear" w:color="auto" w:fill="auto"/>
          </w:tcPr>
          <w:p w14:paraId="1F859578"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(Republic of Korea) Proposal for GTR No. 6 (Safety glazing)</w:t>
            </w:r>
          </w:p>
        </w:tc>
        <w:tc>
          <w:tcPr>
            <w:tcW w:w="1134" w:type="dxa"/>
            <w:shd w:val="clear" w:color="auto" w:fill="auto"/>
          </w:tcPr>
          <w:p w14:paraId="62C3E0A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17F48FFF" w14:textId="77777777" w:rsidTr="00BF4242">
        <w:tc>
          <w:tcPr>
            <w:tcW w:w="666" w:type="dxa"/>
            <w:shd w:val="clear" w:color="auto" w:fill="auto"/>
          </w:tcPr>
          <w:p w14:paraId="3C679ED8"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32</w:t>
            </w:r>
          </w:p>
        </w:tc>
        <w:tc>
          <w:tcPr>
            <w:tcW w:w="6705" w:type="dxa"/>
            <w:shd w:val="clear" w:color="auto" w:fill="auto"/>
          </w:tcPr>
          <w:p w14:paraId="6E4598C3"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(Republic of Korea) Progress report by PSG IWG</w:t>
            </w:r>
          </w:p>
        </w:tc>
        <w:tc>
          <w:tcPr>
            <w:tcW w:w="1134" w:type="dxa"/>
            <w:shd w:val="clear" w:color="auto" w:fill="auto"/>
          </w:tcPr>
          <w:p w14:paraId="7F0257F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239772BC" w14:textId="77777777" w:rsidTr="00BF4242">
        <w:tc>
          <w:tcPr>
            <w:tcW w:w="666" w:type="dxa"/>
            <w:shd w:val="clear" w:color="auto" w:fill="auto"/>
          </w:tcPr>
          <w:p w14:paraId="1C44DC37"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33</w:t>
            </w:r>
          </w:p>
        </w:tc>
        <w:tc>
          <w:tcPr>
            <w:tcW w:w="6705" w:type="dxa"/>
            <w:shd w:val="clear" w:color="auto" w:fill="auto"/>
          </w:tcPr>
          <w:p w14:paraId="18C0F4C3"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UN Regulation No. 55: Examples of mechanical coupling devices of class A</w:t>
            </w:r>
          </w:p>
        </w:tc>
        <w:tc>
          <w:tcPr>
            <w:tcW w:w="1134" w:type="dxa"/>
            <w:shd w:val="clear" w:color="auto" w:fill="auto"/>
          </w:tcPr>
          <w:p w14:paraId="3D7A9AF5"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1A9628B6" w14:textId="77777777" w:rsidTr="00BF4242">
        <w:tc>
          <w:tcPr>
            <w:tcW w:w="666" w:type="dxa"/>
            <w:shd w:val="clear" w:color="auto" w:fill="auto"/>
          </w:tcPr>
          <w:p w14:paraId="041965F3"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34</w:t>
            </w:r>
          </w:p>
        </w:tc>
        <w:tc>
          <w:tcPr>
            <w:tcW w:w="6705" w:type="dxa"/>
            <w:shd w:val="clear" w:color="auto" w:fill="auto"/>
          </w:tcPr>
          <w:p w14:paraId="5D68D1F9"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(CLEPA) Comments on ECE/TRANS/WP.29/GRSG/2019/11 UN Regulation No. 26 (External projection for passenger cars)</w:t>
            </w:r>
          </w:p>
        </w:tc>
        <w:tc>
          <w:tcPr>
            <w:tcW w:w="1134" w:type="dxa"/>
            <w:shd w:val="clear" w:color="auto" w:fill="auto"/>
          </w:tcPr>
          <w:p w14:paraId="194C2E3A"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55CD4FCF" w14:textId="77777777" w:rsidTr="00BF4242">
        <w:tc>
          <w:tcPr>
            <w:tcW w:w="666" w:type="dxa"/>
            <w:shd w:val="clear" w:color="auto" w:fill="auto"/>
          </w:tcPr>
          <w:p w14:paraId="0DA48618"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35-Rev.1</w:t>
            </w:r>
          </w:p>
        </w:tc>
        <w:tc>
          <w:tcPr>
            <w:tcW w:w="6705" w:type="dxa"/>
            <w:shd w:val="clear" w:color="auto" w:fill="auto"/>
          </w:tcPr>
          <w:p w14:paraId="7BB8EE21"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(Turkey) Proposal for the 03 series of amendments to UN Regulation No. 67 (LPG vehicles)</w:t>
            </w:r>
          </w:p>
        </w:tc>
        <w:tc>
          <w:tcPr>
            <w:tcW w:w="1134" w:type="dxa"/>
            <w:shd w:val="clear" w:color="auto" w:fill="auto"/>
          </w:tcPr>
          <w:p w14:paraId="009456A9"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(b)</w:t>
            </w:r>
          </w:p>
        </w:tc>
      </w:tr>
      <w:tr w:rsidR="000C78BC" w:rsidRPr="00DD1D4D" w14:paraId="66CF5EE6" w14:textId="77777777" w:rsidTr="00BF4242">
        <w:tc>
          <w:tcPr>
            <w:tcW w:w="666" w:type="dxa"/>
            <w:shd w:val="clear" w:color="auto" w:fill="auto"/>
          </w:tcPr>
          <w:p w14:paraId="407B9DCE"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36</w:t>
            </w:r>
          </w:p>
        </w:tc>
        <w:tc>
          <w:tcPr>
            <w:tcW w:w="6705" w:type="dxa"/>
            <w:shd w:val="clear" w:color="auto" w:fill="auto"/>
          </w:tcPr>
          <w:p w14:paraId="6161B276"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(VRU-Proxi) Proposal for a new UN Regulation on uniform provisions concerning the approval of devices for reversing motion and motor vehicles with regard to the driver’s awareness of vulnerable road users behind vehicles</w:t>
            </w:r>
          </w:p>
        </w:tc>
        <w:tc>
          <w:tcPr>
            <w:tcW w:w="1134" w:type="dxa"/>
            <w:shd w:val="clear" w:color="auto" w:fill="auto"/>
          </w:tcPr>
          <w:p w14:paraId="7C0855C5"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03C0C345" w14:textId="77777777" w:rsidTr="00BF4242">
        <w:tc>
          <w:tcPr>
            <w:tcW w:w="666" w:type="dxa"/>
            <w:shd w:val="clear" w:color="auto" w:fill="auto"/>
          </w:tcPr>
          <w:p w14:paraId="3C7892F8"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37</w:t>
            </w:r>
          </w:p>
        </w:tc>
        <w:tc>
          <w:tcPr>
            <w:tcW w:w="6705" w:type="dxa"/>
            <w:shd w:val="clear" w:color="auto" w:fill="auto"/>
          </w:tcPr>
          <w:p w14:paraId="78AAFFC5"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(Germany) UN Regulation No. 46: Default view and temporary modified view</w:t>
            </w:r>
          </w:p>
        </w:tc>
        <w:tc>
          <w:tcPr>
            <w:tcW w:w="1134" w:type="dxa"/>
            <w:shd w:val="clear" w:color="auto" w:fill="auto"/>
          </w:tcPr>
          <w:p w14:paraId="532313F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49538EC3" w14:textId="77777777" w:rsidTr="00BF4242">
        <w:tc>
          <w:tcPr>
            <w:tcW w:w="666" w:type="dxa"/>
            <w:shd w:val="clear" w:color="auto" w:fill="auto"/>
          </w:tcPr>
          <w:p w14:paraId="150FE2D2"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38</w:t>
            </w:r>
          </w:p>
        </w:tc>
        <w:tc>
          <w:tcPr>
            <w:tcW w:w="6705" w:type="dxa"/>
            <w:shd w:val="clear" w:color="auto" w:fill="auto"/>
          </w:tcPr>
          <w:p w14:paraId="1D7D40F9"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(VRU-Proxi) Revised Terms of Reference and Rules of Procedure of the GRSG informal working group on awareness of Vulnerable Road Users proximity in low speed manoeuvres (VRU-Proxi)</w:t>
            </w:r>
          </w:p>
        </w:tc>
        <w:tc>
          <w:tcPr>
            <w:tcW w:w="1134" w:type="dxa"/>
            <w:shd w:val="clear" w:color="auto" w:fill="auto"/>
          </w:tcPr>
          <w:p w14:paraId="69324A26"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(a)</w:t>
            </w:r>
          </w:p>
        </w:tc>
      </w:tr>
      <w:tr w:rsidR="000C78BC" w:rsidRPr="00DD1D4D" w14:paraId="7F620EA6" w14:textId="77777777" w:rsidTr="00BF4242">
        <w:tc>
          <w:tcPr>
            <w:tcW w:w="666" w:type="dxa"/>
            <w:shd w:val="clear" w:color="auto" w:fill="auto"/>
          </w:tcPr>
          <w:p w14:paraId="2598AB74"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39</w:t>
            </w:r>
          </w:p>
        </w:tc>
        <w:tc>
          <w:tcPr>
            <w:tcW w:w="6705" w:type="dxa"/>
            <w:shd w:val="clear" w:color="auto" w:fill="auto"/>
          </w:tcPr>
          <w:p w14:paraId="6CF64818"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(LG Europe) Proposal for Supplement 1 to the 02 series of amendments to UN Regulation No. 67</w:t>
            </w:r>
          </w:p>
        </w:tc>
        <w:tc>
          <w:tcPr>
            <w:tcW w:w="1134" w:type="dxa"/>
            <w:shd w:val="clear" w:color="auto" w:fill="auto"/>
          </w:tcPr>
          <w:p w14:paraId="3F38C172"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(b)</w:t>
            </w:r>
          </w:p>
        </w:tc>
      </w:tr>
      <w:tr w:rsidR="000C78BC" w:rsidRPr="00DD1D4D" w14:paraId="0399164E" w14:textId="77777777" w:rsidTr="00BF4242">
        <w:tc>
          <w:tcPr>
            <w:tcW w:w="666" w:type="dxa"/>
            <w:shd w:val="clear" w:color="auto" w:fill="auto"/>
          </w:tcPr>
          <w:p w14:paraId="6FD8E725"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40-Rev.1</w:t>
            </w:r>
          </w:p>
        </w:tc>
        <w:tc>
          <w:tcPr>
            <w:tcW w:w="6705" w:type="dxa"/>
            <w:shd w:val="clear" w:color="auto" w:fill="auto"/>
          </w:tcPr>
          <w:p w14:paraId="6F28658F"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lang w:val="en-US"/>
              </w:rPr>
              <w:t>(OICA) UN Regulation No. 116: OICA's work summary</w:t>
            </w:r>
          </w:p>
        </w:tc>
        <w:tc>
          <w:tcPr>
            <w:tcW w:w="1134" w:type="dxa"/>
            <w:shd w:val="clear" w:color="auto" w:fill="auto"/>
          </w:tcPr>
          <w:p w14:paraId="7BCD072C"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3ABDF59F" w14:textId="77777777" w:rsidTr="00BF4242">
        <w:tc>
          <w:tcPr>
            <w:tcW w:w="666" w:type="dxa"/>
            <w:shd w:val="clear" w:color="auto" w:fill="auto"/>
          </w:tcPr>
          <w:p w14:paraId="22F9506E"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41</w:t>
            </w:r>
          </w:p>
        </w:tc>
        <w:tc>
          <w:tcPr>
            <w:tcW w:w="6705" w:type="dxa"/>
            <w:shd w:val="clear" w:color="auto" w:fill="auto"/>
          </w:tcPr>
          <w:p w14:paraId="518F583D"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(EC) Draft amendments to UN Regulation No. 93 (Front Underrun Protection)</w:t>
            </w:r>
          </w:p>
        </w:tc>
        <w:tc>
          <w:tcPr>
            <w:tcW w:w="1134" w:type="dxa"/>
            <w:shd w:val="clear" w:color="auto" w:fill="auto"/>
          </w:tcPr>
          <w:p w14:paraId="0338F28E"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(c)</w:t>
            </w:r>
          </w:p>
        </w:tc>
      </w:tr>
      <w:tr w:rsidR="000C78BC" w:rsidRPr="00DD1D4D" w14:paraId="1DD0A9BF" w14:textId="77777777" w:rsidTr="00BF4242">
        <w:tc>
          <w:tcPr>
            <w:tcW w:w="666" w:type="dxa"/>
            <w:shd w:val="clear" w:color="auto" w:fill="auto"/>
          </w:tcPr>
          <w:p w14:paraId="2484ABE8"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42</w:t>
            </w:r>
          </w:p>
        </w:tc>
        <w:tc>
          <w:tcPr>
            <w:tcW w:w="6705" w:type="dxa"/>
            <w:shd w:val="clear" w:color="auto" w:fill="auto"/>
          </w:tcPr>
          <w:p w14:paraId="10C3B747"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lang w:val="en-US"/>
              </w:rPr>
              <w:t>(OICA) Event Data Recorder (EDR)</w:t>
            </w:r>
          </w:p>
        </w:tc>
        <w:tc>
          <w:tcPr>
            <w:tcW w:w="1134" w:type="dxa"/>
            <w:shd w:val="clear" w:color="auto" w:fill="auto"/>
          </w:tcPr>
          <w:p w14:paraId="3F5AEA05"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4D62243A" w14:textId="77777777" w:rsidTr="00BF4242">
        <w:tc>
          <w:tcPr>
            <w:tcW w:w="666" w:type="dxa"/>
            <w:shd w:val="clear" w:color="auto" w:fill="auto"/>
          </w:tcPr>
          <w:p w14:paraId="690CB563"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43-Rev.1</w:t>
            </w:r>
          </w:p>
        </w:tc>
        <w:tc>
          <w:tcPr>
            <w:tcW w:w="6705" w:type="dxa"/>
            <w:shd w:val="clear" w:color="auto" w:fill="auto"/>
          </w:tcPr>
          <w:p w14:paraId="27978F3A"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(Japan and The Netherlands) Informal Working Group on EDR/DSSAD: Terms of Reference</w:t>
            </w:r>
          </w:p>
        </w:tc>
        <w:tc>
          <w:tcPr>
            <w:tcW w:w="1134" w:type="dxa"/>
            <w:shd w:val="clear" w:color="auto" w:fill="auto"/>
          </w:tcPr>
          <w:p w14:paraId="7C5E6C0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(d/e)</w:t>
            </w:r>
          </w:p>
        </w:tc>
      </w:tr>
      <w:tr w:rsidR="000C78BC" w:rsidRPr="00DD1D4D" w14:paraId="0E7F7B47" w14:textId="77777777" w:rsidTr="00BF4242">
        <w:tc>
          <w:tcPr>
            <w:tcW w:w="666" w:type="dxa"/>
            <w:shd w:val="clear" w:color="auto" w:fill="auto"/>
          </w:tcPr>
          <w:p w14:paraId="49149205"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44</w:t>
            </w:r>
          </w:p>
        </w:tc>
        <w:tc>
          <w:tcPr>
            <w:tcW w:w="6705" w:type="dxa"/>
            <w:shd w:val="clear" w:color="auto" w:fill="auto"/>
          </w:tcPr>
          <w:p w14:paraId="3532B890"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(Belgium) The mass corresponding to the load on the front axle of articulated buses</w:t>
            </w:r>
          </w:p>
        </w:tc>
        <w:tc>
          <w:tcPr>
            <w:tcW w:w="1134" w:type="dxa"/>
            <w:shd w:val="clear" w:color="auto" w:fill="auto"/>
          </w:tcPr>
          <w:p w14:paraId="75DF319E"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0CA2EEC0" w14:textId="77777777" w:rsidTr="00BF4242">
        <w:tc>
          <w:tcPr>
            <w:tcW w:w="666" w:type="dxa"/>
            <w:shd w:val="clear" w:color="auto" w:fill="auto"/>
          </w:tcPr>
          <w:p w14:paraId="4BA91674"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45</w:t>
            </w:r>
          </w:p>
        </w:tc>
        <w:tc>
          <w:tcPr>
            <w:tcW w:w="6705" w:type="dxa"/>
            <w:shd w:val="clear" w:color="auto" w:fill="auto"/>
          </w:tcPr>
          <w:p w14:paraId="30CF3ACE"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(Secretariat) WP.29 and GRVA activities on Automated Vehicles</w:t>
            </w:r>
          </w:p>
        </w:tc>
        <w:tc>
          <w:tcPr>
            <w:tcW w:w="1134" w:type="dxa"/>
            <w:shd w:val="clear" w:color="auto" w:fill="auto"/>
          </w:tcPr>
          <w:p w14:paraId="190FC270"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3C76E375" w14:textId="77777777" w:rsidTr="00BF4242">
        <w:tc>
          <w:tcPr>
            <w:tcW w:w="666" w:type="dxa"/>
            <w:shd w:val="clear" w:color="auto" w:fill="auto"/>
          </w:tcPr>
          <w:p w14:paraId="61ADE7BB"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46</w:t>
            </w:r>
          </w:p>
        </w:tc>
        <w:tc>
          <w:tcPr>
            <w:tcW w:w="6705" w:type="dxa"/>
            <w:shd w:val="clear" w:color="auto" w:fill="auto"/>
          </w:tcPr>
          <w:p w14:paraId="679FE2AC"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(OICA) Report on Automated Vehicle activities</w:t>
            </w:r>
          </w:p>
        </w:tc>
        <w:tc>
          <w:tcPr>
            <w:tcW w:w="1134" w:type="dxa"/>
            <w:shd w:val="clear" w:color="auto" w:fill="auto"/>
          </w:tcPr>
          <w:p w14:paraId="7BC7D658"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(f)</w:t>
            </w:r>
          </w:p>
        </w:tc>
      </w:tr>
      <w:tr w:rsidR="000C78BC" w:rsidRPr="00DD1D4D" w14:paraId="1EE826DB" w14:textId="77777777" w:rsidTr="00BF4242">
        <w:tc>
          <w:tcPr>
            <w:tcW w:w="666" w:type="dxa"/>
            <w:tcBorders>
              <w:bottom w:val="single" w:sz="4" w:space="0" w:color="auto"/>
            </w:tcBorders>
            <w:shd w:val="clear" w:color="auto" w:fill="auto"/>
          </w:tcPr>
          <w:p w14:paraId="3800D227" w14:textId="77777777" w:rsidR="000C78BC" w:rsidRPr="00DD1D4D" w:rsidRDefault="000C78BC" w:rsidP="00BF4242">
            <w:pPr>
              <w:widowControl w:val="0"/>
              <w:suppressAutoHyphens w:val="0"/>
              <w:spacing w:before="57" w:after="24" w:line="240" w:lineRule="auto"/>
              <w:jc w:val="center"/>
              <w:rPr>
                <w:sz w:val="18"/>
                <w:szCs w:val="18"/>
              </w:rPr>
            </w:pPr>
            <w:r w:rsidRPr="00DD1D4D">
              <w:rPr>
                <w:sz w:val="18"/>
                <w:szCs w:val="18"/>
              </w:rPr>
              <w:t>47</w:t>
            </w:r>
          </w:p>
        </w:tc>
        <w:tc>
          <w:tcPr>
            <w:tcW w:w="6705" w:type="dxa"/>
            <w:tcBorders>
              <w:bottom w:val="single" w:sz="4" w:space="0" w:color="auto"/>
            </w:tcBorders>
            <w:shd w:val="clear" w:color="auto" w:fill="auto"/>
          </w:tcPr>
          <w:p w14:paraId="128AE30F" w14:textId="77777777" w:rsidR="000C78BC" w:rsidRPr="000C78BC" w:rsidRDefault="000C78BC" w:rsidP="00BF4242">
            <w:pPr>
              <w:widowControl w:val="0"/>
              <w:suppressAutoHyphens w:val="0"/>
              <w:spacing w:before="57" w:after="24" w:line="240" w:lineRule="auto"/>
              <w:ind w:left="113"/>
              <w:rPr>
                <w:sz w:val="18"/>
                <w:szCs w:val="18"/>
                <w:lang w:val="en-US"/>
              </w:rPr>
            </w:pPr>
            <w:r w:rsidRPr="000C78BC">
              <w:rPr>
                <w:sz w:val="18"/>
                <w:szCs w:val="18"/>
                <w:lang w:val="en-US"/>
              </w:rPr>
              <w:t>(Secretariat) Candidate items for technical regulations applicable to IWVTA Phase 2 (2018 – 2022) considered by GRSG at its April 2019 session</w:t>
            </w:r>
          </w:p>
        </w:tc>
        <w:tc>
          <w:tcPr>
            <w:tcW w:w="1134" w:type="dxa"/>
            <w:tcBorders>
              <w:bottom w:val="single" w:sz="4" w:space="0" w:color="auto"/>
            </w:tcBorders>
            <w:shd w:val="clear" w:color="auto" w:fill="auto"/>
          </w:tcPr>
          <w:p w14:paraId="75357576" w14:textId="77777777" w:rsidR="000C78BC" w:rsidRPr="00DD1D4D" w:rsidRDefault="000C78BC" w:rsidP="00BF4242">
            <w:pPr>
              <w:widowControl w:val="0"/>
              <w:suppressAutoHyphens w:val="0"/>
              <w:spacing w:before="57" w:line="240" w:lineRule="auto"/>
              <w:jc w:val="center"/>
              <w:rPr>
                <w:sz w:val="18"/>
                <w:szCs w:val="18"/>
              </w:rPr>
            </w:pPr>
            <w:r w:rsidRPr="00DD1D4D">
              <w:rPr>
                <w:sz w:val="18"/>
                <w:szCs w:val="18"/>
              </w:rPr>
              <w:t>(e)</w:t>
            </w:r>
          </w:p>
        </w:tc>
      </w:tr>
    </w:tbl>
    <w:p w14:paraId="4B27641E" w14:textId="77777777" w:rsidR="000C78BC" w:rsidRPr="000C78BC" w:rsidRDefault="000C78BC" w:rsidP="000C78BC">
      <w:pPr>
        <w:tabs>
          <w:tab w:val="right" w:pos="851"/>
        </w:tabs>
        <w:spacing w:before="360" w:after="240" w:line="270" w:lineRule="exact"/>
        <w:ind w:left="1134" w:right="1134" w:hanging="1134"/>
        <w:rPr>
          <w:b/>
          <w:sz w:val="24"/>
          <w:lang w:val="en-US"/>
        </w:rPr>
      </w:pPr>
      <w:r w:rsidRPr="000C78BC">
        <w:rPr>
          <w:b/>
          <w:sz w:val="24"/>
          <w:lang w:val="en-US"/>
        </w:rPr>
        <w:tab/>
      </w:r>
      <w:r w:rsidRPr="000C78BC">
        <w:rPr>
          <w:b/>
          <w:sz w:val="24"/>
          <w:lang w:val="en-US"/>
        </w:rPr>
        <w:tab/>
        <w:t>List of informal documents distributed at previous sessions of GRSG or WP.29</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0C78BC" w:rsidRPr="00DD1D4D" w14:paraId="72B7882C" w14:textId="77777777" w:rsidTr="00BF4242">
        <w:trPr>
          <w:tblHeader/>
        </w:trPr>
        <w:tc>
          <w:tcPr>
            <w:tcW w:w="1843" w:type="dxa"/>
            <w:tcBorders>
              <w:top w:val="single" w:sz="4" w:space="0" w:color="auto"/>
              <w:bottom w:val="single" w:sz="12" w:space="0" w:color="auto"/>
            </w:tcBorders>
            <w:shd w:val="clear" w:color="auto" w:fill="auto"/>
          </w:tcPr>
          <w:p w14:paraId="4138B475" w14:textId="77777777" w:rsidR="000C78BC" w:rsidRPr="00DD1D4D" w:rsidRDefault="000C78BC" w:rsidP="00BF4242">
            <w:pPr>
              <w:spacing w:line="220" w:lineRule="exact"/>
              <w:jc w:val="center"/>
              <w:rPr>
                <w:i/>
                <w:sz w:val="18"/>
              </w:rPr>
            </w:pPr>
            <w:r w:rsidRPr="00DD1D4D">
              <w:rPr>
                <w:i/>
                <w:sz w:val="18"/>
              </w:rPr>
              <w:t>No.</w:t>
            </w:r>
          </w:p>
        </w:tc>
        <w:tc>
          <w:tcPr>
            <w:tcW w:w="5528" w:type="dxa"/>
            <w:tcBorders>
              <w:top w:val="single" w:sz="4" w:space="0" w:color="auto"/>
              <w:bottom w:val="single" w:sz="12" w:space="0" w:color="auto"/>
            </w:tcBorders>
            <w:shd w:val="clear" w:color="auto" w:fill="auto"/>
          </w:tcPr>
          <w:p w14:paraId="376FB303" w14:textId="77777777" w:rsidR="000C78BC" w:rsidRPr="00DD1D4D" w:rsidRDefault="000C78BC" w:rsidP="00BF4242">
            <w:pPr>
              <w:tabs>
                <w:tab w:val="right" w:pos="1021"/>
              </w:tabs>
              <w:spacing w:line="220" w:lineRule="exact"/>
              <w:ind w:left="113" w:right="34"/>
              <w:rPr>
                <w:i/>
                <w:sz w:val="18"/>
              </w:rPr>
            </w:pPr>
            <w:r w:rsidRPr="00DD1D4D">
              <w:rPr>
                <w:i/>
                <w:sz w:val="18"/>
              </w:rPr>
              <w:t>(Author) Title</w:t>
            </w:r>
          </w:p>
        </w:tc>
        <w:tc>
          <w:tcPr>
            <w:tcW w:w="1134" w:type="dxa"/>
            <w:tcBorders>
              <w:top w:val="single" w:sz="4" w:space="0" w:color="auto"/>
              <w:bottom w:val="single" w:sz="12" w:space="0" w:color="auto"/>
            </w:tcBorders>
            <w:shd w:val="clear" w:color="auto" w:fill="auto"/>
          </w:tcPr>
          <w:p w14:paraId="53335101" w14:textId="77777777" w:rsidR="000C78BC" w:rsidRPr="00DD1D4D" w:rsidRDefault="000C78BC" w:rsidP="00BF4242">
            <w:pPr>
              <w:spacing w:line="220" w:lineRule="exact"/>
              <w:jc w:val="center"/>
              <w:rPr>
                <w:i/>
                <w:sz w:val="18"/>
              </w:rPr>
            </w:pPr>
            <w:r w:rsidRPr="00DD1D4D">
              <w:rPr>
                <w:i/>
                <w:sz w:val="18"/>
              </w:rPr>
              <w:t>Follow-up</w:t>
            </w:r>
          </w:p>
        </w:tc>
      </w:tr>
      <w:tr w:rsidR="000C78BC" w:rsidRPr="00DD1D4D" w14:paraId="644012C5" w14:textId="77777777" w:rsidTr="00BF4242">
        <w:tc>
          <w:tcPr>
            <w:tcW w:w="1843" w:type="dxa"/>
            <w:shd w:val="clear" w:color="auto" w:fill="auto"/>
          </w:tcPr>
          <w:p w14:paraId="05F00702" w14:textId="77777777" w:rsidR="000C78BC" w:rsidRPr="00DD1D4D" w:rsidRDefault="000C78BC" w:rsidP="00BF4242">
            <w:pPr>
              <w:suppressAutoHyphens w:val="0"/>
              <w:spacing w:before="57" w:after="24" w:line="240" w:lineRule="auto"/>
              <w:jc w:val="center"/>
              <w:rPr>
                <w:sz w:val="18"/>
              </w:rPr>
            </w:pPr>
            <w:r w:rsidRPr="00DD1D4D">
              <w:rPr>
                <w:sz w:val="18"/>
              </w:rPr>
              <w:t>GRSG-115-04</w:t>
            </w:r>
          </w:p>
        </w:tc>
        <w:tc>
          <w:tcPr>
            <w:tcW w:w="5528" w:type="dxa"/>
            <w:shd w:val="clear" w:color="auto" w:fill="auto"/>
          </w:tcPr>
          <w:p w14:paraId="6449977D" w14:textId="77777777" w:rsidR="000C78BC" w:rsidRPr="000C78BC" w:rsidRDefault="000C78BC" w:rsidP="00BF4242">
            <w:pPr>
              <w:suppressAutoHyphens w:val="0"/>
              <w:spacing w:before="57" w:after="24" w:line="240" w:lineRule="auto"/>
              <w:ind w:left="113"/>
              <w:rPr>
                <w:sz w:val="18"/>
                <w:lang w:val="en-US"/>
              </w:rPr>
            </w:pPr>
            <w:r w:rsidRPr="000C78BC">
              <w:rPr>
                <w:sz w:val="18"/>
                <w:lang w:val="en-US"/>
              </w:rPr>
              <w:t>(Norway) Collision protection of the front section on buses</w:t>
            </w:r>
          </w:p>
        </w:tc>
        <w:tc>
          <w:tcPr>
            <w:tcW w:w="1134" w:type="dxa"/>
            <w:shd w:val="clear" w:color="auto" w:fill="auto"/>
          </w:tcPr>
          <w:p w14:paraId="7645865A" w14:textId="77777777" w:rsidR="000C78BC" w:rsidRPr="00DD1D4D" w:rsidRDefault="000C78BC" w:rsidP="00BF4242">
            <w:pPr>
              <w:suppressAutoHyphens w:val="0"/>
              <w:spacing w:before="57" w:line="240" w:lineRule="auto"/>
              <w:jc w:val="center"/>
              <w:rPr>
                <w:sz w:val="18"/>
              </w:rPr>
            </w:pPr>
            <w:r w:rsidRPr="00DD1D4D">
              <w:rPr>
                <w:sz w:val="18"/>
              </w:rPr>
              <w:t>(f)</w:t>
            </w:r>
          </w:p>
        </w:tc>
      </w:tr>
      <w:tr w:rsidR="000C78BC" w:rsidRPr="00DD1D4D" w14:paraId="56B749DB" w14:textId="77777777" w:rsidTr="00BF4242">
        <w:tc>
          <w:tcPr>
            <w:tcW w:w="1843" w:type="dxa"/>
            <w:shd w:val="clear" w:color="auto" w:fill="auto"/>
          </w:tcPr>
          <w:p w14:paraId="091CF4F3" w14:textId="77777777" w:rsidR="000C78BC" w:rsidRPr="00DD1D4D" w:rsidRDefault="000C78BC" w:rsidP="00BF4242">
            <w:pPr>
              <w:suppressAutoHyphens w:val="0"/>
              <w:spacing w:before="57" w:after="24" w:line="240" w:lineRule="auto"/>
              <w:jc w:val="center"/>
              <w:rPr>
                <w:sz w:val="18"/>
              </w:rPr>
            </w:pPr>
            <w:r w:rsidRPr="00DD1D4D">
              <w:rPr>
                <w:sz w:val="18"/>
              </w:rPr>
              <w:t>GRSG-115-14-Rev.1</w:t>
            </w:r>
          </w:p>
        </w:tc>
        <w:tc>
          <w:tcPr>
            <w:tcW w:w="5528" w:type="dxa"/>
            <w:shd w:val="clear" w:color="auto" w:fill="auto"/>
          </w:tcPr>
          <w:p w14:paraId="36EDB88A" w14:textId="77777777" w:rsidR="000C78BC" w:rsidRPr="000C78BC" w:rsidRDefault="000C78BC" w:rsidP="00BF4242">
            <w:pPr>
              <w:suppressAutoHyphens w:val="0"/>
              <w:spacing w:before="57" w:after="24" w:line="240" w:lineRule="auto"/>
              <w:ind w:left="113"/>
              <w:rPr>
                <w:sz w:val="18"/>
                <w:szCs w:val="18"/>
                <w:lang w:val="en-US"/>
              </w:rPr>
            </w:pPr>
            <w:r w:rsidRPr="000C78BC">
              <w:rPr>
                <w:sz w:val="18"/>
                <w:szCs w:val="18"/>
                <w:lang w:val="en-US"/>
              </w:rPr>
              <w:t>(Republic of Korea) Proposal for Supplement 3 to the 01 series of amendments to UN Regulation No. 121 (Identification of controls, tell-tales and indicators)</w:t>
            </w:r>
          </w:p>
        </w:tc>
        <w:tc>
          <w:tcPr>
            <w:tcW w:w="1134" w:type="dxa"/>
            <w:shd w:val="clear" w:color="auto" w:fill="auto"/>
          </w:tcPr>
          <w:p w14:paraId="58CD4AB1" w14:textId="77777777" w:rsidR="000C78BC" w:rsidRPr="00DD1D4D" w:rsidRDefault="000C78BC" w:rsidP="00BF4242">
            <w:pPr>
              <w:suppressAutoHyphens w:val="0"/>
              <w:spacing w:before="57" w:line="240" w:lineRule="auto"/>
              <w:jc w:val="center"/>
              <w:rPr>
                <w:sz w:val="18"/>
              </w:rPr>
            </w:pPr>
            <w:r w:rsidRPr="00DD1D4D">
              <w:rPr>
                <w:sz w:val="18"/>
              </w:rPr>
              <w:t>(f)</w:t>
            </w:r>
          </w:p>
        </w:tc>
      </w:tr>
      <w:tr w:rsidR="000C78BC" w:rsidRPr="00DD1D4D" w14:paraId="08C47119" w14:textId="77777777" w:rsidTr="00BF4242">
        <w:tc>
          <w:tcPr>
            <w:tcW w:w="1843" w:type="dxa"/>
            <w:shd w:val="clear" w:color="auto" w:fill="auto"/>
          </w:tcPr>
          <w:p w14:paraId="5099436E" w14:textId="77777777" w:rsidR="000C78BC" w:rsidRPr="00DD1D4D" w:rsidRDefault="000C78BC" w:rsidP="00BF4242">
            <w:pPr>
              <w:suppressAutoHyphens w:val="0"/>
              <w:spacing w:before="57" w:after="24" w:line="240" w:lineRule="auto"/>
              <w:jc w:val="center"/>
              <w:rPr>
                <w:sz w:val="18"/>
              </w:rPr>
            </w:pPr>
            <w:r w:rsidRPr="00DD1D4D">
              <w:rPr>
                <w:sz w:val="18"/>
              </w:rPr>
              <w:t>GRSG-115-25</w:t>
            </w:r>
          </w:p>
        </w:tc>
        <w:tc>
          <w:tcPr>
            <w:tcW w:w="5528" w:type="dxa"/>
            <w:shd w:val="clear" w:color="auto" w:fill="auto"/>
          </w:tcPr>
          <w:p w14:paraId="22BCA9E1" w14:textId="77777777" w:rsidR="000C78BC" w:rsidRPr="000C78BC" w:rsidRDefault="000C78BC" w:rsidP="00BF4242">
            <w:pPr>
              <w:suppressAutoHyphens w:val="0"/>
              <w:spacing w:before="57" w:after="24" w:line="240" w:lineRule="auto"/>
              <w:ind w:left="113"/>
              <w:rPr>
                <w:sz w:val="18"/>
                <w:szCs w:val="18"/>
                <w:lang w:val="en-US"/>
              </w:rPr>
            </w:pPr>
            <w:r w:rsidRPr="000C78BC">
              <w:rPr>
                <w:sz w:val="18"/>
                <w:szCs w:val="18"/>
                <w:lang w:val="en-US"/>
              </w:rPr>
              <w:t>(EC) Draft amendments to UN Regulation No. 93 (Front Underrun Protection)</w:t>
            </w:r>
          </w:p>
        </w:tc>
        <w:tc>
          <w:tcPr>
            <w:tcW w:w="1134" w:type="dxa"/>
            <w:shd w:val="clear" w:color="auto" w:fill="auto"/>
          </w:tcPr>
          <w:p w14:paraId="3ACDEB30" w14:textId="77777777" w:rsidR="000C78BC" w:rsidRPr="00DD1D4D" w:rsidRDefault="000C78BC" w:rsidP="00BF4242">
            <w:pPr>
              <w:suppressAutoHyphens w:val="0"/>
              <w:spacing w:before="57" w:line="240" w:lineRule="auto"/>
              <w:jc w:val="center"/>
              <w:rPr>
                <w:sz w:val="18"/>
              </w:rPr>
            </w:pPr>
            <w:r w:rsidRPr="00DD1D4D">
              <w:rPr>
                <w:sz w:val="18"/>
              </w:rPr>
              <w:t>(f)</w:t>
            </w:r>
          </w:p>
        </w:tc>
      </w:tr>
      <w:tr w:rsidR="000C78BC" w:rsidRPr="00DD1D4D" w14:paraId="3EFE323E" w14:textId="77777777" w:rsidTr="00BF4242">
        <w:tc>
          <w:tcPr>
            <w:tcW w:w="1843" w:type="dxa"/>
            <w:tcBorders>
              <w:bottom w:val="single" w:sz="4" w:space="0" w:color="auto"/>
            </w:tcBorders>
            <w:shd w:val="clear" w:color="auto" w:fill="auto"/>
          </w:tcPr>
          <w:p w14:paraId="73338BB1" w14:textId="77777777" w:rsidR="000C78BC" w:rsidRPr="00DD1D4D" w:rsidRDefault="000C78BC" w:rsidP="00BF4242">
            <w:pPr>
              <w:suppressAutoHyphens w:val="0"/>
              <w:spacing w:before="57" w:after="24" w:line="240" w:lineRule="auto"/>
              <w:jc w:val="center"/>
              <w:rPr>
                <w:sz w:val="18"/>
              </w:rPr>
            </w:pPr>
            <w:r w:rsidRPr="00DD1D4D">
              <w:rPr>
                <w:sz w:val="18"/>
              </w:rPr>
              <w:t>WP.29-176-21</w:t>
            </w:r>
          </w:p>
        </w:tc>
        <w:tc>
          <w:tcPr>
            <w:tcW w:w="5528" w:type="dxa"/>
            <w:tcBorders>
              <w:bottom w:val="single" w:sz="4" w:space="0" w:color="auto"/>
            </w:tcBorders>
            <w:shd w:val="clear" w:color="auto" w:fill="auto"/>
          </w:tcPr>
          <w:p w14:paraId="1B830DAC" w14:textId="77777777" w:rsidR="000C78BC" w:rsidRPr="000C78BC" w:rsidRDefault="000C78BC" w:rsidP="00BF4242">
            <w:pPr>
              <w:suppressAutoHyphens w:val="0"/>
              <w:spacing w:before="57" w:after="24" w:line="240" w:lineRule="auto"/>
              <w:ind w:left="113"/>
              <w:rPr>
                <w:sz w:val="18"/>
                <w:szCs w:val="18"/>
                <w:lang w:val="en-US"/>
              </w:rPr>
            </w:pPr>
            <w:r w:rsidRPr="000C78BC">
              <w:rPr>
                <w:sz w:val="18"/>
                <w:szCs w:val="18"/>
                <w:lang w:val="en-US"/>
              </w:rPr>
              <w:t>(India) Request for authorization to develop an amendment to global technical regulation No. 6 (Safety Glazing)</w:t>
            </w:r>
          </w:p>
        </w:tc>
        <w:tc>
          <w:tcPr>
            <w:tcW w:w="1134" w:type="dxa"/>
            <w:tcBorders>
              <w:bottom w:val="single" w:sz="4" w:space="0" w:color="auto"/>
            </w:tcBorders>
            <w:shd w:val="clear" w:color="auto" w:fill="auto"/>
          </w:tcPr>
          <w:p w14:paraId="0DB04971" w14:textId="77777777" w:rsidR="000C78BC" w:rsidRPr="00DD1D4D" w:rsidRDefault="000C78BC" w:rsidP="00BF4242">
            <w:pPr>
              <w:suppressAutoHyphens w:val="0"/>
              <w:spacing w:before="57" w:line="240" w:lineRule="auto"/>
              <w:jc w:val="center"/>
              <w:rPr>
                <w:sz w:val="18"/>
              </w:rPr>
            </w:pPr>
            <w:r w:rsidRPr="00DD1D4D">
              <w:rPr>
                <w:sz w:val="18"/>
              </w:rPr>
              <w:t>(f)</w:t>
            </w:r>
          </w:p>
        </w:tc>
      </w:tr>
    </w:tbl>
    <w:p w14:paraId="38DA4539" w14:textId="77777777" w:rsidR="000C78BC" w:rsidRPr="00DD1D4D" w:rsidRDefault="000C78BC" w:rsidP="000C78BC">
      <w:pPr>
        <w:pStyle w:val="H1G"/>
        <w:spacing w:before="240" w:after="120"/>
        <w:rPr>
          <w:b w:val="0"/>
          <w:i/>
          <w:sz w:val="20"/>
        </w:rPr>
      </w:pPr>
      <w:r w:rsidRPr="00DD1D4D">
        <w:rPr>
          <w:b w:val="0"/>
          <w:sz w:val="20"/>
        </w:rPr>
        <w:tab/>
      </w:r>
      <w:r w:rsidRPr="00DD1D4D">
        <w:rPr>
          <w:b w:val="0"/>
          <w:sz w:val="20"/>
        </w:rPr>
        <w:tab/>
      </w:r>
      <w:r w:rsidRPr="00DD1D4D">
        <w:rPr>
          <w:b w:val="0"/>
          <w:i/>
          <w:sz w:val="20"/>
        </w:rPr>
        <w:t>Notes:</w:t>
      </w:r>
    </w:p>
    <w:p w14:paraId="289E673D" w14:textId="77777777" w:rsidR="000C78BC" w:rsidRPr="000C78BC" w:rsidRDefault="000C78BC" w:rsidP="000C78BC">
      <w:pPr>
        <w:pStyle w:val="SingleTxtG"/>
        <w:keepNext/>
        <w:keepLines/>
        <w:rPr>
          <w:sz w:val="18"/>
          <w:szCs w:val="18"/>
          <w:lang w:val="en-US"/>
        </w:rPr>
      </w:pPr>
      <w:r w:rsidRPr="000C78BC">
        <w:rPr>
          <w:sz w:val="18"/>
          <w:szCs w:val="18"/>
          <w:lang w:val="en-US"/>
        </w:rPr>
        <w:t>(a)</w:t>
      </w:r>
      <w:r w:rsidRPr="000C78BC">
        <w:rPr>
          <w:sz w:val="18"/>
          <w:szCs w:val="18"/>
          <w:lang w:val="en-US"/>
        </w:rPr>
        <w:tab/>
        <w:t>Adopted/endorsed with no change for consideration at WP.29.</w:t>
      </w:r>
    </w:p>
    <w:p w14:paraId="5FEB463B" w14:textId="77777777" w:rsidR="000C78BC" w:rsidRPr="000C78BC" w:rsidRDefault="000C78BC" w:rsidP="000C78BC">
      <w:pPr>
        <w:pStyle w:val="SingleTxtG"/>
        <w:rPr>
          <w:sz w:val="18"/>
          <w:szCs w:val="18"/>
          <w:lang w:val="en-US"/>
        </w:rPr>
      </w:pPr>
      <w:r w:rsidRPr="000C78BC">
        <w:rPr>
          <w:sz w:val="18"/>
          <w:szCs w:val="18"/>
          <w:lang w:val="en-US"/>
        </w:rPr>
        <w:t>(b)</w:t>
      </w:r>
      <w:r w:rsidRPr="000C78BC">
        <w:rPr>
          <w:sz w:val="18"/>
          <w:szCs w:val="18"/>
          <w:lang w:val="en-US"/>
        </w:rPr>
        <w:tab/>
        <w:t>Adopted/endorsed with changes for consideration at WP.29.</w:t>
      </w:r>
    </w:p>
    <w:p w14:paraId="5FF232AD" w14:textId="77777777" w:rsidR="000C78BC" w:rsidRPr="000C78BC" w:rsidRDefault="000C78BC" w:rsidP="000C78BC">
      <w:pPr>
        <w:pStyle w:val="SingleTxtG"/>
        <w:rPr>
          <w:sz w:val="18"/>
          <w:szCs w:val="18"/>
          <w:lang w:val="en-US"/>
        </w:rPr>
      </w:pPr>
      <w:r w:rsidRPr="000C78BC">
        <w:rPr>
          <w:sz w:val="18"/>
          <w:szCs w:val="18"/>
          <w:lang w:val="en-US"/>
        </w:rPr>
        <w:t>(c)</w:t>
      </w:r>
      <w:r w:rsidRPr="000C78BC">
        <w:rPr>
          <w:sz w:val="18"/>
          <w:szCs w:val="18"/>
          <w:lang w:val="en-US"/>
        </w:rPr>
        <w:tab/>
        <w:t>Resume consideration on the basis of an official document.</w:t>
      </w:r>
    </w:p>
    <w:p w14:paraId="698F109B" w14:textId="77777777" w:rsidR="000C78BC" w:rsidRPr="000C78BC" w:rsidRDefault="000C78BC" w:rsidP="000C78BC">
      <w:pPr>
        <w:pStyle w:val="SingleTxtG"/>
        <w:widowControl w:val="0"/>
        <w:rPr>
          <w:sz w:val="18"/>
          <w:szCs w:val="18"/>
          <w:lang w:val="en-US"/>
        </w:rPr>
      </w:pPr>
      <w:r w:rsidRPr="000C78BC">
        <w:rPr>
          <w:sz w:val="18"/>
          <w:szCs w:val="18"/>
          <w:lang w:val="en-US"/>
        </w:rPr>
        <w:lastRenderedPageBreak/>
        <w:t>(d)</w:t>
      </w:r>
      <w:r w:rsidRPr="000C78BC">
        <w:rPr>
          <w:sz w:val="18"/>
          <w:szCs w:val="18"/>
          <w:lang w:val="en-US"/>
        </w:rPr>
        <w:tab/>
        <w:t>Transmitted to GRVA for further consideration.</w:t>
      </w:r>
    </w:p>
    <w:p w14:paraId="307CEA85" w14:textId="77777777" w:rsidR="000C78BC" w:rsidRPr="000C78BC" w:rsidRDefault="000C78BC" w:rsidP="000C78BC">
      <w:pPr>
        <w:pStyle w:val="SingleTxtG"/>
        <w:widowControl w:val="0"/>
        <w:rPr>
          <w:sz w:val="18"/>
          <w:szCs w:val="18"/>
          <w:lang w:val="en-US"/>
        </w:rPr>
      </w:pPr>
      <w:r w:rsidRPr="000C78BC">
        <w:rPr>
          <w:sz w:val="18"/>
          <w:szCs w:val="18"/>
          <w:lang w:val="en-US"/>
        </w:rPr>
        <w:t>(e)</w:t>
      </w:r>
      <w:r w:rsidRPr="000C78BC">
        <w:rPr>
          <w:sz w:val="18"/>
          <w:szCs w:val="18"/>
          <w:lang w:val="en-US"/>
        </w:rPr>
        <w:tab/>
        <w:t>Transmitted to IWVTA for further consideration.</w:t>
      </w:r>
    </w:p>
    <w:p w14:paraId="433DAC7C" w14:textId="77777777" w:rsidR="000C78BC" w:rsidRPr="000C78BC" w:rsidRDefault="000C78BC" w:rsidP="000C78BC">
      <w:pPr>
        <w:pStyle w:val="SingleTxtG"/>
        <w:widowControl w:val="0"/>
        <w:rPr>
          <w:sz w:val="18"/>
          <w:szCs w:val="18"/>
          <w:lang w:val="en-US"/>
        </w:rPr>
      </w:pPr>
      <w:r w:rsidRPr="000C78BC">
        <w:rPr>
          <w:sz w:val="18"/>
          <w:szCs w:val="18"/>
          <w:lang w:val="en-US"/>
        </w:rPr>
        <w:t>(f)</w:t>
      </w:r>
      <w:r w:rsidRPr="000C78BC">
        <w:rPr>
          <w:sz w:val="18"/>
          <w:szCs w:val="18"/>
          <w:lang w:val="en-US"/>
        </w:rPr>
        <w:tab/>
        <w:t>Consideration completed or to be superseded.</w:t>
      </w:r>
    </w:p>
    <w:p w14:paraId="300EE56B" w14:textId="77777777" w:rsidR="00D82D13" w:rsidRDefault="00D82D13" w:rsidP="00A73F28">
      <w:pPr>
        <w:rPr>
          <w:lang w:val="en-US"/>
        </w:rPr>
        <w:sectPr w:rsidR="00D82D13" w:rsidSect="00F813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6840194" w14:textId="77777777" w:rsidR="00A73F28" w:rsidRPr="004A33C8" w:rsidRDefault="00A73F28" w:rsidP="00D82D13">
      <w:pPr>
        <w:pStyle w:val="HChG"/>
      </w:pPr>
      <w:r w:rsidRPr="004A33C8">
        <w:lastRenderedPageBreak/>
        <w:t>Annexe II</w:t>
      </w:r>
    </w:p>
    <w:p w14:paraId="513D5E16" w14:textId="77777777" w:rsidR="00A73F28" w:rsidRPr="001C6223" w:rsidRDefault="00D82D13" w:rsidP="00D82D13">
      <w:pPr>
        <w:pStyle w:val="HChG"/>
        <w:rPr>
          <w:i/>
        </w:rPr>
      </w:pPr>
      <w:r>
        <w:rPr>
          <w:lang w:val="fr-FR"/>
        </w:rPr>
        <w:tab/>
      </w:r>
      <w:r>
        <w:rPr>
          <w:lang w:val="fr-FR"/>
        </w:rPr>
        <w:tab/>
      </w:r>
      <w:r w:rsidR="00A73F28" w:rsidRPr="001C6223">
        <w:rPr>
          <w:lang w:val="fr-FR"/>
        </w:rPr>
        <w:t>Projet de série 01 d</w:t>
      </w:r>
      <w:r w:rsidR="00A73F28">
        <w:rPr>
          <w:lang w:val="fr-FR"/>
        </w:rPr>
        <w:t>’</w:t>
      </w:r>
      <w:r w:rsidR="00A73F28" w:rsidRPr="001C6223">
        <w:rPr>
          <w:lang w:val="fr-FR"/>
        </w:rPr>
        <w:t>amendements au Règlement ONU n</w:t>
      </w:r>
      <w:r w:rsidR="00A73F28" w:rsidRPr="00D82D13">
        <w:rPr>
          <w:vertAlign w:val="superscript"/>
          <w:lang w:val="fr-FR"/>
        </w:rPr>
        <w:t>o</w:t>
      </w:r>
      <w:r>
        <w:rPr>
          <w:lang w:val="fr-FR"/>
        </w:rPr>
        <w:t> </w:t>
      </w:r>
      <w:r w:rsidR="00A73F28" w:rsidRPr="001C6223">
        <w:rPr>
          <w:lang w:val="fr-FR"/>
        </w:rPr>
        <w:t>35 (Pédales de commande) (par.</w:t>
      </w:r>
      <w:r>
        <w:rPr>
          <w:lang w:val="fr-FR"/>
        </w:rPr>
        <w:t> </w:t>
      </w:r>
      <w:r w:rsidR="00A73F28" w:rsidRPr="001C6223">
        <w:rPr>
          <w:lang w:val="fr-FR"/>
        </w:rPr>
        <w:t>18)</w:t>
      </w:r>
    </w:p>
    <w:p w14:paraId="3A4F4B3C" w14:textId="77777777" w:rsidR="00A73F28" w:rsidRPr="00DD1D4D" w:rsidRDefault="00A73F28" w:rsidP="00D82D13">
      <w:pPr>
        <w:pStyle w:val="SingleTxtG"/>
        <w:keepNext/>
        <w:rPr>
          <w:rFonts w:eastAsia="DengXian"/>
        </w:rPr>
      </w:pPr>
      <w:r w:rsidRPr="001C6223">
        <w:rPr>
          <w:i/>
          <w:lang w:val="fr-FR"/>
        </w:rPr>
        <w:t>Paragraphe 4.2</w:t>
      </w:r>
      <w:r>
        <w:rPr>
          <w:lang w:val="fr-FR"/>
        </w:rPr>
        <w:t>, modifier comme suit</w:t>
      </w:r>
      <w:r w:rsidR="00D82D13">
        <w:rPr>
          <w:lang w:val="fr-FR"/>
        </w:rPr>
        <w:t> </w:t>
      </w:r>
      <w:r>
        <w:rPr>
          <w:lang w:val="fr-FR"/>
        </w:rPr>
        <w:t>:</w:t>
      </w:r>
    </w:p>
    <w:p w14:paraId="0F05FD17" w14:textId="77777777" w:rsidR="00A73F28" w:rsidRPr="00DD1D4D" w:rsidRDefault="00A73F28" w:rsidP="00D82D13">
      <w:pPr>
        <w:pStyle w:val="SingleTxtG"/>
        <w:ind w:left="2268" w:hanging="1134"/>
      </w:pPr>
      <w:r>
        <w:rPr>
          <w:lang w:val="fr-FR"/>
        </w:rPr>
        <w:t>« 4.2</w:t>
      </w:r>
      <w:r>
        <w:rPr>
          <w:lang w:val="fr-FR"/>
        </w:rPr>
        <w:tab/>
        <w:t xml:space="preserve">Un numéro d’homologation est attribué à chaque type homologué. Les deux premiers chiffres (actuellement </w:t>
      </w:r>
      <w:r>
        <w:rPr>
          <w:b/>
          <w:bCs/>
          <w:lang w:val="fr-FR"/>
        </w:rPr>
        <w:t>01</w:t>
      </w:r>
      <w:r>
        <w:rPr>
          <w:lang w:val="fr-FR"/>
        </w:rPr>
        <w:t xml:space="preserve">) indiquent la série d’amendements correspondant aux plus récentes modifications techniques apportées au Règlement </w:t>
      </w:r>
      <w:r>
        <w:rPr>
          <w:b/>
          <w:bCs/>
          <w:lang w:val="fr-FR"/>
        </w:rPr>
        <w:t>ONU</w:t>
      </w:r>
      <w:r>
        <w:rPr>
          <w:lang w:val="fr-FR"/>
        </w:rPr>
        <w:t xml:space="preserve"> à la date de délivrance de l’homologation. Une même Partie contractante ne peut pas attribuer ce numéro à un autre type de véhicule. »</w:t>
      </w:r>
      <w:r w:rsidR="00D82D13">
        <w:rPr>
          <w:lang w:val="fr-FR"/>
        </w:rPr>
        <w:t>.</w:t>
      </w:r>
    </w:p>
    <w:p w14:paraId="73CB08FC" w14:textId="77777777" w:rsidR="00A73F28" w:rsidRPr="00DD1D4D" w:rsidRDefault="00A73F28" w:rsidP="00D82D13">
      <w:pPr>
        <w:pStyle w:val="SingleTxtG"/>
        <w:keepNext/>
        <w:rPr>
          <w:rFonts w:eastAsia="DengXian"/>
        </w:rPr>
      </w:pPr>
      <w:r w:rsidRPr="001C6223">
        <w:rPr>
          <w:i/>
          <w:lang w:val="fr-FR"/>
        </w:rPr>
        <w:t>Paragraphe 5.7</w:t>
      </w:r>
      <w:r>
        <w:rPr>
          <w:lang w:val="fr-FR"/>
        </w:rPr>
        <w:t>, modifier comme suit</w:t>
      </w:r>
      <w:r w:rsidR="00D82D13">
        <w:rPr>
          <w:lang w:val="fr-FR"/>
        </w:rPr>
        <w:t> </w:t>
      </w:r>
      <w:r>
        <w:rPr>
          <w:lang w:val="fr-FR"/>
        </w:rPr>
        <w:t>:</w:t>
      </w:r>
    </w:p>
    <w:p w14:paraId="4F249D23" w14:textId="77777777" w:rsidR="00A73F28" w:rsidRPr="00DD1D4D" w:rsidRDefault="00A73F28" w:rsidP="00D82D13">
      <w:pPr>
        <w:pStyle w:val="SingleTxtG"/>
        <w:ind w:left="2268" w:hanging="1134"/>
        <w:rPr>
          <w:rFonts w:eastAsia="DengXian"/>
          <w:i/>
        </w:rPr>
      </w:pPr>
      <w:r>
        <w:rPr>
          <w:lang w:val="fr-FR"/>
        </w:rPr>
        <w:t>« 5.7</w:t>
      </w:r>
      <w:r>
        <w:rPr>
          <w:lang w:val="fr-FR"/>
        </w:rPr>
        <w:tab/>
        <w:t>Les distances entre la projection de la pédale du frein de service sur le plan de référence “P” et l’intersection de chacune des parois avec ce plan, indiquées respectivement comme “H” et “J” dans l’annexe</w:t>
      </w:r>
      <w:r w:rsidR="00D82D13">
        <w:rPr>
          <w:lang w:val="fr-FR"/>
        </w:rPr>
        <w:t> </w:t>
      </w:r>
      <w:r>
        <w:rPr>
          <w:lang w:val="fr-FR"/>
        </w:rPr>
        <w:t>4, doivent être ≥</w:t>
      </w:r>
      <w:r w:rsidR="00D82D13">
        <w:rPr>
          <w:lang w:val="fr-FR"/>
        </w:rPr>
        <w:t> </w:t>
      </w:r>
      <w:r>
        <w:rPr>
          <w:lang w:val="fr-FR"/>
        </w:rPr>
        <w:t>130</w:t>
      </w:r>
      <w:r w:rsidR="00D82D13">
        <w:rPr>
          <w:lang w:val="fr-FR"/>
        </w:rPr>
        <w:t> </w:t>
      </w:r>
      <w:r>
        <w:rPr>
          <w:lang w:val="fr-FR"/>
        </w:rPr>
        <w:t>mm vers la droite et ≥</w:t>
      </w:r>
      <w:r w:rsidR="00D82D13">
        <w:rPr>
          <w:lang w:val="fr-FR"/>
        </w:rPr>
        <w:t> </w:t>
      </w:r>
      <w:r>
        <w:rPr>
          <w:lang w:val="fr-FR"/>
        </w:rPr>
        <w:t>160</w:t>
      </w:r>
      <w:r w:rsidR="00D82D13">
        <w:rPr>
          <w:lang w:val="fr-FR"/>
        </w:rPr>
        <w:t> </w:t>
      </w:r>
      <w:r>
        <w:rPr>
          <w:lang w:val="fr-FR"/>
        </w:rPr>
        <w:t>mm vers la gauche pour les véhicules à trois pédales, et ≥</w:t>
      </w:r>
      <w:r w:rsidR="00D82D13">
        <w:rPr>
          <w:lang w:val="fr-FR"/>
        </w:rPr>
        <w:t> </w:t>
      </w:r>
      <w:r>
        <w:rPr>
          <w:lang w:val="fr-FR"/>
        </w:rPr>
        <w:t>130</w:t>
      </w:r>
      <w:r w:rsidR="00D82D13">
        <w:rPr>
          <w:lang w:val="fr-FR"/>
        </w:rPr>
        <w:t> </w:t>
      </w:r>
      <w:r>
        <w:rPr>
          <w:lang w:val="fr-FR"/>
        </w:rPr>
        <w:t>mm vers la droite et ≥</w:t>
      </w:r>
      <w:r w:rsidR="00D82D13">
        <w:rPr>
          <w:lang w:val="fr-FR"/>
        </w:rPr>
        <w:t> </w:t>
      </w:r>
      <w:r>
        <w:rPr>
          <w:lang w:val="fr-FR"/>
        </w:rPr>
        <w:t>120</w:t>
      </w:r>
      <w:r w:rsidR="00D82D13">
        <w:rPr>
          <w:lang w:val="fr-FR"/>
        </w:rPr>
        <w:t> </w:t>
      </w:r>
      <w:r>
        <w:rPr>
          <w:lang w:val="fr-FR"/>
        </w:rPr>
        <w:t>mm vers la gauche pour les véhicules à deux pédales.</w:t>
      </w:r>
    </w:p>
    <w:p w14:paraId="4AAD2FA4" w14:textId="77777777" w:rsidR="00A73F28" w:rsidRPr="00DD1D4D" w:rsidRDefault="00A73F28" w:rsidP="00D82D13">
      <w:pPr>
        <w:pStyle w:val="SingleTxtG"/>
        <w:ind w:left="2268"/>
        <w:rPr>
          <w:rFonts w:eastAsia="DengXian"/>
          <w:b/>
        </w:rPr>
      </w:pPr>
      <w:r>
        <w:rPr>
          <w:lang w:val="fr-FR"/>
        </w:rPr>
        <w:tab/>
      </w:r>
      <w:r>
        <w:rPr>
          <w:b/>
          <w:bCs/>
          <w:lang w:val="fr-FR"/>
        </w:rPr>
        <w:t xml:space="preserve">Dans le cas d’un repose-pied déclaré par le constructeur, installé pour le pied gauche du conducteur, les mesures pour </w:t>
      </w:r>
      <w:r w:rsidR="00D82D13" w:rsidRPr="00D82D13">
        <w:rPr>
          <w:b/>
          <w:lang w:val="fr-FR"/>
        </w:rPr>
        <w:t>“</w:t>
      </w:r>
      <w:r>
        <w:rPr>
          <w:b/>
          <w:bCs/>
          <w:lang w:val="fr-FR"/>
        </w:rPr>
        <w:t>J</w:t>
      </w:r>
      <w:r w:rsidR="00D82D13" w:rsidRPr="00D82D13">
        <w:rPr>
          <w:b/>
          <w:lang w:val="fr-FR"/>
        </w:rPr>
        <w:t>”</w:t>
      </w:r>
      <w:r>
        <w:rPr>
          <w:b/>
          <w:bCs/>
          <w:lang w:val="fr-FR"/>
        </w:rPr>
        <w:t xml:space="preserve"> et </w:t>
      </w:r>
      <w:r w:rsidR="00D82D13" w:rsidRPr="00D82D13">
        <w:rPr>
          <w:b/>
          <w:lang w:val="fr-FR"/>
        </w:rPr>
        <w:t>“</w:t>
      </w:r>
      <w:r>
        <w:rPr>
          <w:b/>
          <w:bCs/>
          <w:lang w:val="fr-FR"/>
        </w:rPr>
        <w:t>G</w:t>
      </w:r>
      <w:r w:rsidR="00D82D13" w:rsidRPr="00D82D13">
        <w:rPr>
          <w:b/>
          <w:lang w:val="fr-FR"/>
        </w:rPr>
        <w:t>”</w:t>
      </w:r>
      <w:r>
        <w:rPr>
          <w:b/>
          <w:bCs/>
          <w:lang w:val="fr-FR"/>
        </w:rPr>
        <w:t xml:space="preserve"> de l’annexe</w:t>
      </w:r>
      <w:r w:rsidR="00D82D13">
        <w:rPr>
          <w:b/>
          <w:bCs/>
          <w:lang w:val="fr-FR"/>
        </w:rPr>
        <w:t> </w:t>
      </w:r>
      <w:r>
        <w:rPr>
          <w:b/>
          <w:bCs/>
          <w:lang w:val="fr-FR"/>
        </w:rPr>
        <w:t>4 ne doivent pas tenir compte du repose-pied.</w:t>
      </w:r>
    </w:p>
    <w:p w14:paraId="71097DF1" w14:textId="77777777" w:rsidR="00A73F28" w:rsidRPr="00DD1D4D" w:rsidRDefault="00A73F28" w:rsidP="00D82D13">
      <w:pPr>
        <w:pStyle w:val="SingleTxtG"/>
        <w:ind w:left="2268"/>
        <w:rPr>
          <w:rFonts w:eastAsia="DengXian"/>
        </w:rPr>
      </w:pPr>
      <w:r>
        <w:rPr>
          <w:b/>
          <w:bCs/>
          <w:lang w:val="fr-FR"/>
        </w:rPr>
        <w:t>La distance entre le repose-pied et la pédale le plus à gauche doit être d’au moins 50</w:t>
      </w:r>
      <w:r w:rsidR="00636E92">
        <w:rPr>
          <w:b/>
          <w:bCs/>
          <w:lang w:val="fr-FR"/>
        </w:rPr>
        <w:t> </w:t>
      </w:r>
      <w:r>
        <w:rPr>
          <w:b/>
          <w:bCs/>
          <w:lang w:val="fr-FR"/>
        </w:rPr>
        <w:t>mm entre les deux plans verticaux passant par les bords les plus proches l’un de l’autre</w:t>
      </w:r>
      <w:r w:rsidR="00636E92">
        <w:rPr>
          <w:b/>
          <w:bCs/>
          <w:lang w:val="fr-FR"/>
        </w:rPr>
        <w:t>. </w:t>
      </w:r>
      <w:r w:rsidR="00636E92" w:rsidRPr="00EA14E1">
        <w:rPr>
          <w:bCs/>
          <w:lang w:val="fr-FR"/>
        </w:rPr>
        <w:t>»</w:t>
      </w:r>
      <w:r w:rsidRPr="00EA14E1">
        <w:rPr>
          <w:bCs/>
          <w:lang w:val="fr-FR"/>
        </w:rPr>
        <w:t>.</w:t>
      </w:r>
    </w:p>
    <w:p w14:paraId="14317ED0" w14:textId="77777777" w:rsidR="00A73F28" w:rsidRPr="00DD1D4D" w:rsidRDefault="00A73F28" w:rsidP="004E3980">
      <w:pPr>
        <w:pStyle w:val="SingleTxtG"/>
        <w:keepNext/>
        <w:rPr>
          <w:rFonts w:eastAsia="DengXian"/>
        </w:rPr>
      </w:pPr>
      <w:r w:rsidRPr="001C6223">
        <w:rPr>
          <w:i/>
          <w:lang w:val="fr-FR"/>
        </w:rPr>
        <w:t>Ajouter de nouveaux paragraphes</w:t>
      </w:r>
      <w:r w:rsidR="004E3980">
        <w:rPr>
          <w:i/>
          <w:lang w:val="fr-FR"/>
        </w:rPr>
        <w:t> </w:t>
      </w:r>
      <w:r w:rsidRPr="001C6223">
        <w:rPr>
          <w:i/>
          <w:lang w:val="fr-FR"/>
        </w:rPr>
        <w:t>10 à 10.4</w:t>
      </w:r>
      <w:r>
        <w:rPr>
          <w:lang w:val="fr-FR"/>
        </w:rPr>
        <w:t>, libellés comme suit</w:t>
      </w:r>
      <w:r w:rsidR="004E3980">
        <w:rPr>
          <w:lang w:val="fr-FR"/>
        </w:rPr>
        <w:t> </w:t>
      </w:r>
      <w:r>
        <w:rPr>
          <w:lang w:val="fr-FR"/>
        </w:rPr>
        <w:t>:</w:t>
      </w:r>
    </w:p>
    <w:p w14:paraId="49DAB991" w14:textId="77777777" w:rsidR="00A73F28" w:rsidRPr="00DD1D4D" w:rsidRDefault="004E3980" w:rsidP="004E3980">
      <w:pPr>
        <w:pStyle w:val="SingleTxtG"/>
        <w:ind w:left="2268" w:hanging="1134"/>
        <w:rPr>
          <w:rFonts w:eastAsia="DengXian"/>
          <w:b/>
        </w:rPr>
      </w:pPr>
      <w:r w:rsidRPr="00EA14E1">
        <w:rPr>
          <w:lang w:val="fr-FR"/>
        </w:rPr>
        <w:t>« </w:t>
      </w:r>
      <w:r w:rsidR="00A73F28" w:rsidRPr="001C6223">
        <w:rPr>
          <w:b/>
          <w:lang w:val="fr-FR"/>
        </w:rPr>
        <w:t>10.</w:t>
      </w:r>
      <w:r w:rsidR="00A73F28">
        <w:rPr>
          <w:lang w:val="fr-FR"/>
        </w:rPr>
        <w:tab/>
      </w:r>
      <w:r w:rsidR="00A73F28">
        <w:rPr>
          <w:b/>
          <w:bCs/>
          <w:lang w:val="fr-FR"/>
        </w:rPr>
        <w:t>DISPOSITIONS TRANSITOIRES</w:t>
      </w:r>
    </w:p>
    <w:p w14:paraId="670DDEDE" w14:textId="77777777" w:rsidR="00A73F28" w:rsidRPr="00DD1D4D" w:rsidRDefault="00A73F28" w:rsidP="004E3980">
      <w:pPr>
        <w:pStyle w:val="SingleTxtG"/>
        <w:ind w:left="2268" w:hanging="1134"/>
        <w:rPr>
          <w:rFonts w:eastAsia="DengXian"/>
          <w:b/>
        </w:rPr>
      </w:pPr>
      <w:r w:rsidRPr="001C6223">
        <w:rPr>
          <w:b/>
          <w:lang w:val="fr-FR"/>
        </w:rPr>
        <w:t>10.1</w:t>
      </w:r>
      <w:r>
        <w:rPr>
          <w:lang w:val="fr-FR"/>
        </w:rPr>
        <w:tab/>
      </w:r>
      <w:r>
        <w:rPr>
          <w:b/>
          <w:bCs/>
          <w:lang w:val="fr-FR"/>
        </w:rPr>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p>
    <w:p w14:paraId="1A2BD9C5" w14:textId="77777777" w:rsidR="00A73F28" w:rsidRPr="00DD1D4D" w:rsidRDefault="00A73F28" w:rsidP="004E3980">
      <w:pPr>
        <w:pStyle w:val="SingleTxtG"/>
        <w:ind w:left="2268" w:hanging="1134"/>
        <w:rPr>
          <w:rFonts w:eastAsia="DengXian"/>
          <w:b/>
        </w:rPr>
      </w:pPr>
      <w:r w:rsidRPr="001C6223">
        <w:rPr>
          <w:b/>
          <w:lang w:val="fr-FR"/>
        </w:rPr>
        <w:t>10.2</w:t>
      </w:r>
      <w:r>
        <w:rPr>
          <w:lang w:val="fr-FR"/>
        </w:rPr>
        <w:tab/>
      </w:r>
      <w:r>
        <w:rPr>
          <w:b/>
          <w:bCs/>
          <w:lang w:val="fr-FR"/>
        </w:rPr>
        <w:t>À compter du 1</w:t>
      </w:r>
      <w:r w:rsidRPr="004E3980">
        <w:rPr>
          <w:b/>
          <w:bCs/>
          <w:vertAlign w:val="superscript"/>
          <w:lang w:val="fr-FR"/>
        </w:rPr>
        <w:t>er</w:t>
      </w:r>
      <w:r w:rsidR="004E3980">
        <w:rPr>
          <w:b/>
          <w:bCs/>
          <w:lang w:val="fr-FR"/>
        </w:rPr>
        <w:t> </w:t>
      </w:r>
      <w:r>
        <w:rPr>
          <w:b/>
          <w:bCs/>
          <w:lang w:val="fr-FR"/>
        </w:rPr>
        <w:t>septembre 2020, les Parties contractantes appliquant le présent Règlement ne seront plus tenues d’accepter les homologations de type délivrées pour la première fois après le 1</w:t>
      </w:r>
      <w:r w:rsidRPr="004E3980">
        <w:rPr>
          <w:b/>
          <w:bCs/>
          <w:vertAlign w:val="superscript"/>
          <w:lang w:val="fr-FR"/>
        </w:rPr>
        <w:t>er</w:t>
      </w:r>
      <w:r w:rsidR="004E3980">
        <w:rPr>
          <w:b/>
          <w:bCs/>
          <w:lang w:val="fr-FR"/>
        </w:rPr>
        <w:t> </w:t>
      </w:r>
      <w:r>
        <w:rPr>
          <w:b/>
          <w:bCs/>
          <w:lang w:val="fr-FR"/>
        </w:rPr>
        <w:t>septembre 2020.</w:t>
      </w:r>
    </w:p>
    <w:p w14:paraId="1F4E1C5B" w14:textId="77777777" w:rsidR="00A73F28" w:rsidRPr="00DD1D4D" w:rsidRDefault="00A73F28" w:rsidP="004E3980">
      <w:pPr>
        <w:pStyle w:val="SingleTxtG"/>
        <w:ind w:left="2268" w:hanging="1134"/>
        <w:rPr>
          <w:rFonts w:eastAsia="DengXian"/>
          <w:b/>
        </w:rPr>
      </w:pPr>
      <w:r w:rsidRPr="001C6223">
        <w:rPr>
          <w:b/>
          <w:lang w:val="fr-FR"/>
        </w:rPr>
        <w:t>10.3</w:t>
      </w:r>
      <w:r>
        <w:rPr>
          <w:lang w:val="fr-FR"/>
        </w:rPr>
        <w:tab/>
      </w:r>
      <w:r>
        <w:rPr>
          <w:b/>
          <w:bCs/>
          <w:lang w:val="fr-FR"/>
        </w:rPr>
        <w:t>Les Parties contractantes appliquant le présent Règlement doivent continuer à reconnaître les homologations de type accordées au titre des séries précédentes d’amendements audit Règlement délivrées pour la première fois avant le 1</w:t>
      </w:r>
      <w:r w:rsidRPr="004E3980">
        <w:rPr>
          <w:b/>
          <w:bCs/>
          <w:vertAlign w:val="superscript"/>
          <w:lang w:val="fr-FR"/>
        </w:rPr>
        <w:t>er</w:t>
      </w:r>
      <w:r w:rsidR="004E3980">
        <w:rPr>
          <w:b/>
          <w:bCs/>
          <w:lang w:val="fr-FR"/>
        </w:rPr>
        <w:t> </w:t>
      </w:r>
      <w:r>
        <w:rPr>
          <w:b/>
          <w:bCs/>
          <w:lang w:val="fr-FR"/>
        </w:rPr>
        <w:t>septembre 2020.</w:t>
      </w:r>
    </w:p>
    <w:p w14:paraId="12A294F8" w14:textId="77777777" w:rsidR="00A73F28" w:rsidRPr="00DD1D4D" w:rsidRDefault="00A73F28" w:rsidP="004E3980">
      <w:pPr>
        <w:pStyle w:val="SingleTxtG"/>
        <w:ind w:left="2268" w:hanging="1134"/>
        <w:rPr>
          <w:rFonts w:eastAsia="DengXian"/>
        </w:rPr>
      </w:pPr>
      <w:r w:rsidRPr="001C6223">
        <w:rPr>
          <w:b/>
          <w:lang w:val="fr-FR"/>
        </w:rPr>
        <w:t>10.4</w:t>
      </w:r>
      <w:r>
        <w:rPr>
          <w:lang w:val="fr-FR"/>
        </w:rPr>
        <w:tab/>
      </w:r>
      <w:r>
        <w:rPr>
          <w:b/>
          <w:bCs/>
          <w:lang w:val="fr-FR"/>
        </w:rPr>
        <w:t>Les Parties contractantes qui appliquent le présent Règlement ne doivent pas refuser de délivrer des homologations de type au titre de l’une quelconque des précédentes séries d’amendements audit Règlement, ou d’accorder des extensions pour les homologations en question.</w:t>
      </w:r>
      <w:r w:rsidR="004E3980">
        <w:rPr>
          <w:b/>
          <w:bCs/>
          <w:lang w:val="fr-FR"/>
        </w:rPr>
        <w:t> </w:t>
      </w:r>
      <w:r w:rsidR="004E3980" w:rsidRPr="00EA14E1">
        <w:rPr>
          <w:bCs/>
          <w:lang w:val="fr-FR"/>
        </w:rPr>
        <w:t>».</w:t>
      </w:r>
    </w:p>
    <w:p w14:paraId="0239B3A2" w14:textId="77777777" w:rsidR="00A73F28" w:rsidRPr="00DD1D4D" w:rsidRDefault="00A73F28" w:rsidP="00135BAF">
      <w:pPr>
        <w:pStyle w:val="SingleTxtG"/>
        <w:keepNext/>
        <w:rPr>
          <w:rFonts w:eastAsia="DengXian"/>
        </w:rPr>
      </w:pPr>
      <w:r w:rsidRPr="00013C36">
        <w:rPr>
          <w:i/>
          <w:lang w:val="fr-FR"/>
        </w:rPr>
        <w:t>L</w:t>
      </w:r>
      <w:r>
        <w:rPr>
          <w:i/>
          <w:lang w:val="fr-FR"/>
        </w:rPr>
        <w:t>’</w:t>
      </w:r>
      <w:r w:rsidRPr="00013C36">
        <w:rPr>
          <w:i/>
          <w:lang w:val="fr-FR"/>
        </w:rPr>
        <w:t>ancien paragraphe</w:t>
      </w:r>
      <w:r w:rsidR="00135BAF">
        <w:rPr>
          <w:i/>
          <w:lang w:val="fr-FR"/>
        </w:rPr>
        <w:t> </w:t>
      </w:r>
      <w:r w:rsidRPr="00013C36">
        <w:rPr>
          <w:i/>
          <w:lang w:val="fr-FR"/>
        </w:rPr>
        <w:t>10</w:t>
      </w:r>
      <w:r>
        <w:rPr>
          <w:lang w:val="fr-FR"/>
        </w:rPr>
        <w:t xml:space="preserve"> devient le paragraphe</w:t>
      </w:r>
      <w:r w:rsidR="00135BAF">
        <w:rPr>
          <w:lang w:val="fr-FR"/>
        </w:rPr>
        <w:t> </w:t>
      </w:r>
      <w:r>
        <w:rPr>
          <w:lang w:val="fr-FR"/>
        </w:rPr>
        <w:t>11.</w:t>
      </w:r>
    </w:p>
    <w:p w14:paraId="7AACF08A" w14:textId="77777777" w:rsidR="00A73F28" w:rsidRPr="00DD1D4D" w:rsidRDefault="00A73F28" w:rsidP="00135BAF">
      <w:pPr>
        <w:pStyle w:val="SingleTxtG"/>
        <w:keepNext/>
        <w:rPr>
          <w:rFonts w:eastAsia="DengXian"/>
        </w:rPr>
      </w:pPr>
      <w:r w:rsidRPr="00013C36">
        <w:rPr>
          <w:i/>
          <w:lang w:val="fr-FR"/>
        </w:rPr>
        <w:t>Annexe</w:t>
      </w:r>
      <w:r w:rsidR="00135BAF">
        <w:rPr>
          <w:i/>
          <w:lang w:val="fr-FR"/>
        </w:rPr>
        <w:t> </w:t>
      </w:r>
      <w:r w:rsidRPr="00013C36">
        <w:rPr>
          <w:i/>
          <w:lang w:val="fr-FR"/>
        </w:rPr>
        <w:t>1, point</w:t>
      </w:r>
      <w:r w:rsidR="00135BAF">
        <w:rPr>
          <w:i/>
          <w:lang w:val="fr-FR"/>
        </w:rPr>
        <w:t> </w:t>
      </w:r>
      <w:r w:rsidRPr="00013C36">
        <w:rPr>
          <w:i/>
          <w:lang w:val="fr-FR"/>
        </w:rPr>
        <w:t>5</w:t>
      </w:r>
      <w:r>
        <w:rPr>
          <w:lang w:val="fr-FR"/>
        </w:rPr>
        <w:t>, modifier comme suit</w:t>
      </w:r>
      <w:r w:rsidR="00135BAF">
        <w:rPr>
          <w:lang w:val="fr-FR"/>
        </w:rPr>
        <w:t> </w:t>
      </w:r>
      <w:r>
        <w:rPr>
          <w:lang w:val="fr-FR"/>
        </w:rPr>
        <w:t>:</w:t>
      </w:r>
    </w:p>
    <w:p w14:paraId="5794E228" w14:textId="77777777" w:rsidR="00A73F28" w:rsidRPr="00DD1D4D" w:rsidRDefault="00333B77" w:rsidP="00333B77">
      <w:pPr>
        <w:pStyle w:val="SingleTxtG"/>
        <w:ind w:left="2268" w:hanging="1134"/>
      </w:pPr>
      <w:r>
        <w:rPr>
          <w:lang w:val="fr-FR"/>
        </w:rPr>
        <w:t>« </w:t>
      </w:r>
      <w:r w:rsidR="00A73F28">
        <w:rPr>
          <w:lang w:val="fr-FR"/>
        </w:rPr>
        <w:t>5.</w:t>
      </w:r>
      <w:r w:rsidR="00A73F28">
        <w:rPr>
          <w:lang w:val="fr-FR"/>
        </w:rPr>
        <w:tab/>
        <w:t xml:space="preserve">Description sommaire du type de véhicule en ce qui concerne la disposition des pédales de commande </w:t>
      </w:r>
      <w:r w:rsidR="00A73F28">
        <w:rPr>
          <w:b/>
          <w:bCs/>
          <w:lang w:val="fr-FR"/>
        </w:rPr>
        <w:t>et du repose-pied</w:t>
      </w:r>
      <w:r w:rsidR="00C130B9">
        <w:rPr>
          <w:b/>
          <w:bCs/>
          <w:lang w:val="fr-FR"/>
        </w:rPr>
        <w:t xml:space="preserve"> </w:t>
      </w:r>
      <w:r w:rsidR="00A73F28" w:rsidRPr="00013C36">
        <w:rPr>
          <w:bCs/>
          <w:lang w:val="fr-FR"/>
        </w:rPr>
        <w:t>…………………………</w:t>
      </w:r>
      <w:r w:rsidR="00C130B9">
        <w:rPr>
          <w:bCs/>
          <w:lang w:val="fr-FR"/>
        </w:rPr>
        <w:t>...</w:t>
      </w:r>
      <w:r w:rsidR="00A73F28" w:rsidRPr="00013C36">
        <w:rPr>
          <w:bCs/>
          <w:lang w:val="fr-FR"/>
        </w:rPr>
        <w:t>…. </w:t>
      </w:r>
      <w:r w:rsidR="00A73F28">
        <w:rPr>
          <w:b/>
          <w:bCs/>
          <w:lang w:val="fr-FR"/>
        </w:rPr>
        <w:t>»</w:t>
      </w:r>
    </w:p>
    <w:p w14:paraId="05B50B66" w14:textId="77777777" w:rsidR="00A73F28" w:rsidRPr="00DD1D4D" w:rsidRDefault="00A73F28" w:rsidP="00C130B9">
      <w:pPr>
        <w:pStyle w:val="SingleTxtG"/>
        <w:keepNext/>
        <w:rPr>
          <w:rFonts w:eastAsia="DengXian"/>
        </w:rPr>
      </w:pPr>
      <w:r w:rsidRPr="00013C36">
        <w:rPr>
          <w:i/>
          <w:lang w:val="fr-FR"/>
        </w:rPr>
        <w:lastRenderedPageBreak/>
        <w:t>Annexe 2</w:t>
      </w:r>
      <w:r>
        <w:rPr>
          <w:lang w:val="fr-FR"/>
        </w:rPr>
        <w:t>, lire</w:t>
      </w:r>
      <w:r w:rsidR="00C130B9">
        <w:rPr>
          <w:lang w:val="fr-FR"/>
        </w:rPr>
        <w:t> </w:t>
      </w:r>
      <w:r>
        <w:rPr>
          <w:lang w:val="fr-FR"/>
        </w:rPr>
        <w:t>:</w:t>
      </w:r>
    </w:p>
    <w:p w14:paraId="0D830CFE" w14:textId="77777777" w:rsidR="00A73F28" w:rsidRPr="00013C36" w:rsidRDefault="00A73F28" w:rsidP="009C6E0C">
      <w:pPr>
        <w:pStyle w:val="HChG"/>
      </w:pPr>
      <w:r>
        <w:rPr>
          <w:lang w:val="fr-FR"/>
        </w:rPr>
        <w:tab/>
      </w:r>
      <w:r w:rsidRPr="00013C36">
        <w:rPr>
          <w:lang w:val="fr-FR"/>
        </w:rPr>
        <w:tab/>
      </w:r>
      <w:r w:rsidRPr="00203033">
        <w:rPr>
          <w:b w:val="0"/>
          <w:lang w:val="fr-FR"/>
        </w:rPr>
        <w:t>« </w:t>
      </w:r>
      <w:r w:rsidRPr="00013C36">
        <w:rPr>
          <w:lang w:val="fr-FR"/>
        </w:rPr>
        <w:t>Exemples de marque d</w:t>
      </w:r>
      <w:r>
        <w:rPr>
          <w:lang w:val="fr-FR"/>
        </w:rPr>
        <w:t>’</w:t>
      </w:r>
      <w:r w:rsidRPr="00013C36">
        <w:rPr>
          <w:lang w:val="fr-FR"/>
        </w:rPr>
        <w:t>homologation</w:t>
      </w:r>
    </w:p>
    <w:p w14:paraId="779623F1" w14:textId="77777777" w:rsidR="00A73F28" w:rsidRPr="00DD1D4D" w:rsidRDefault="00A73F28" w:rsidP="009C6E0C">
      <w:pPr>
        <w:pStyle w:val="SingleTxtG"/>
      </w:pPr>
      <w:r>
        <w:rPr>
          <w:lang w:val="fr-FR"/>
        </w:rPr>
        <w:t>Modèle A</w:t>
      </w:r>
    </w:p>
    <w:p w14:paraId="55EDD32E" w14:textId="77777777" w:rsidR="00A73F28" w:rsidRDefault="00A73F28" w:rsidP="009C6E0C">
      <w:pPr>
        <w:pStyle w:val="SingleTxtG"/>
        <w:rPr>
          <w:lang w:val="fr-FR"/>
        </w:rPr>
      </w:pPr>
      <w:r>
        <w:rPr>
          <w:lang w:val="fr-FR"/>
        </w:rPr>
        <w:t xml:space="preserve">(Voir </w:t>
      </w:r>
      <w:r w:rsidR="00DD1F9F">
        <w:rPr>
          <w:lang w:val="fr-FR"/>
        </w:rPr>
        <w:t xml:space="preserve">le </w:t>
      </w:r>
      <w:r>
        <w:rPr>
          <w:lang w:val="fr-FR"/>
        </w:rPr>
        <w:t>paragraphe</w:t>
      </w:r>
      <w:r w:rsidR="009C6E0C">
        <w:rPr>
          <w:lang w:val="fr-FR"/>
        </w:rPr>
        <w:t> </w:t>
      </w:r>
      <w:r>
        <w:rPr>
          <w:lang w:val="fr-FR"/>
        </w:rPr>
        <w:t>4.4 du présent Règlement)</w:t>
      </w:r>
    </w:p>
    <w:p w14:paraId="1FCB64A7" w14:textId="77777777" w:rsidR="009C6E0C" w:rsidRDefault="00DD1F9F" w:rsidP="001014E5">
      <w:pPr>
        <w:spacing w:after="120"/>
        <w:ind w:left="1134"/>
      </w:pPr>
      <w:r>
        <w:rPr>
          <w:noProof/>
        </w:rPr>
        <mc:AlternateContent>
          <mc:Choice Requires="wps">
            <w:drawing>
              <wp:anchor distT="0" distB="0" distL="114300" distR="114300" simplePos="0" relativeHeight="251656192" behindDoc="0" locked="0" layoutInCell="1" allowOverlap="1" wp14:anchorId="5F3E0C0C" wp14:editId="6A61209E">
                <wp:simplePos x="0" y="0"/>
                <wp:positionH relativeFrom="column">
                  <wp:posOffset>1531765</wp:posOffset>
                </wp:positionH>
                <wp:positionV relativeFrom="paragraph">
                  <wp:posOffset>379544</wp:posOffset>
                </wp:positionV>
                <wp:extent cx="190500" cy="2857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255F9" w14:textId="77777777" w:rsidR="00DD1F9F" w:rsidRPr="00A10E91" w:rsidRDefault="00DD1F9F" w:rsidP="00DD1F9F">
                            <w:pPr>
                              <w:rPr>
                                <w:b/>
                                <w:sz w:val="36"/>
                                <w:szCs w:val="36"/>
                              </w:rPr>
                            </w:pPr>
                            <w:r w:rsidRPr="00A10E91">
                              <w:rPr>
                                <w:b/>
                                <w:sz w:val="36"/>
                                <w:szCs w:val="36"/>
                              </w:rPr>
                              <w:t>4</w:t>
                            </w:r>
                          </w:p>
                        </w:txbxContent>
                      </wps:txbx>
                      <wps:bodyPr rot="0" vert="horz" wrap="square" lIns="0" tIns="0" rIns="0" bIns="0" anchor="t" anchorCtr="0" upright="1">
                        <a:noAutofit/>
                      </wps:bodyPr>
                    </wps:wsp>
                  </a:graphicData>
                </a:graphic>
              </wp:anchor>
            </w:drawing>
          </mc:Choice>
          <mc:Fallback>
            <w:pict>
              <v:shapetype w14:anchorId="5F3E0C0C" id="_x0000_t202" coordsize="21600,21600" o:spt="202" path="m,l,21600r21600,l21600,xe">
                <v:stroke joinstyle="miter"/>
                <v:path gradientshapeok="t" o:connecttype="rect"/>
              </v:shapetype>
              <v:shape id="Text Box 6" o:spid="_x0000_s1026" type="#_x0000_t202" style="position:absolute;left:0;text-align:left;margin-left:120.6pt;margin-top:29.9pt;width:15pt;height:2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" stroked="f">
                <v:textbox inset="0,0,0,0">
                  <w:txbxContent>
                    <w:p w14:paraId="1FA255F9" w14:textId="77777777" w:rsidR="00DD1F9F" w:rsidRPr="00A10E91" w:rsidRDefault="00DD1F9F" w:rsidP="00DD1F9F">
                      <w:pPr>
                        <w:rPr>
                          <w:b/>
                          <w:sz w:val="36"/>
                          <w:szCs w:val="36"/>
                        </w:rPr>
                      </w:pPr>
                      <w:r w:rsidRPr="00A10E91">
                        <w:rPr>
                          <w:b/>
                          <w:sz w:val="36"/>
                          <w:szCs w:val="36"/>
                        </w:rPr>
                        <w:t>4</w:t>
                      </w:r>
                    </w:p>
                  </w:txbxContent>
                </v:textbox>
              </v:shape>
            </w:pict>
          </mc:Fallback>
        </mc:AlternateContent>
      </w:r>
      <w:r w:rsidR="009C6E0C">
        <w:rPr>
          <w:noProof/>
        </w:rPr>
        <mc:AlternateContent>
          <mc:Choice Requires="wps">
            <w:drawing>
              <wp:anchor distT="0" distB="0" distL="114300" distR="114300" simplePos="0" relativeHeight="251666432" behindDoc="0" locked="0" layoutInCell="1" allowOverlap="1" wp14:anchorId="057144B9" wp14:editId="656629D2">
                <wp:simplePos x="0" y="0"/>
                <wp:positionH relativeFrom="column">
                  <wp:posOffset>2456706</wp:posOffset>
                </wp:positionH>
                <wp:positionV relativeFrom="paragraph">
                  <wp:posOffset>309880</wp:posOffset>
                </wp:positionV>
                <wp:extent cx="1567815" cy="3098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B7E8A" w14:textId="77777777" w:rsidR="0022389D" w:rsidRPr="002C2352" w:rsidRDefault="0022389D" w:rsidP="009C6E0C">
                            <w:pPr>
                              <w:rPr>
                                <w:rFonts w:ascii="Calibri" w:hAnsi="Calibri" w:cs="Calibri"/>
                                <w:b/>
                                <w:bCs/>
                                <w:sz w:val="40"/>
                                <w:szCs w:val="40"/>
                              </w:rPr>
                            </w:pPr>
                            <w:r w:rsidRPr="002C2352">
                              <w:rPr>
                                <w:rFonts w:ascii="Calibri" w:hAnsi="Calibri" w:cs="Calibri"/>
                                <w:b/>
                                <w:bCs/>
                                <w:sz w:val="40"/>
                                <w:szCs w:val="40"/>
                              </w:rPr>
                              <w:t>35 R - 01 2439</w:t>
                            </w:r>
                          </w:p>
                        </w:txbxContent>
                      </wps:txbx>
                      <wps:bodyPr rot="0" vert="horz" wrap="square" lIns="0" tIns="0" rIns="0" bIns="0" anchor="t" anchorCtr="0" upright="1">
                        <a:noAutofit/>
                      </wps:bodyPr>
                    </wps:wsp>
                  </a:graphicData>
                </a:graphic>
              </wp:anchor>
            </w:drawing>
          </mc:Choice>
          <mc:Fallback>
            <w:pict>
              <v:shape w14:anchorId="057144B9" id="Text Box 10" o:spid="_x0000_s1027" type="#_x0000_t202" style="position:absolute;left:0;text-align:left;margin-left:193.45pt;margin-top:24.4pt;width:123.45pt;height:2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" stroked="f">
                <v:textbox inset="0,0,0,0">
                  <w:txbxContent>
                    <w:p w14:paraId="02FB7E8A" w14:textId="77777777" w:rsidR="0022389D" w:rsidRPr="002C2352" w:rsidRDefault="0022389D" w:rsidP="009C6E0C">
                      <w:pPr>
                        <w:rPr>
                          <w:rFonts w:ascii="Calibri" w:hAnsi="Calibri" w:cs="Calibri"/>
                          <w:b/>
                          <w:bCs/>
                          <w:sz w:val="40"/>
                          <w:szCs w:val="40"/>
                        </w:rPr>
                      </w:pPr>
                      <w:r w:rsidRPr="002C2352">
                        <w:rPr>
                          <w:rFonts w:ascii="Calibri" w:hAnsi="Calibri" w:cs="Calibri"/>
                          <w:b/>
                          <w:bCs/>
                          <w:sz w:val="40"/>
                          <w:szCs w:val="40"/>
                        </w:rPr>
                        <w:t>35 R - 01 2439</w:t>
                      </w:r>
                    </w:p>
                  </w:txbxContent>
                </v:textbox>
              </v:shape>
            </w:pict>
          </mc:Fallback>
        </mc:AlternateContent>
      </w:r>
      <w:r w:rsidR="009C6E0C" w:rsidRPr="00DD1D4D">
        <w:rPr>
          <w:noProof/>
          <w:lang w:eastAsia="ru-RU"/>
        </w:rPr>
        <w:drawing>
          <wp:inline distT="0" distB="0" distL="0" distR="0" wp14:anchorId="1B5F5B79" wp14:editId="3444DFF0">
            <wp:extent cx="3927475" cy="925830"/>
            <wp:effectExtent l="0" t="0" r="0" b="76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58E12572" w14:textId="77777777" w:rsidR="00A73F28" w:rsidRPr="00DD1D4D" w:rsidRDefault="00A73F28" w:rsidP="001014E5">
      <w:pPr>
        <w:pStyle w:val="SingleTxtG"/>
        <w:ind w:right="3402"/>
        <w:jc w:val="right"/>
      </w:pPr>
      <w:r>
        <w:rPr>
          <w:lang w:val="fr-FR"/>
        </w:rPr>
        <w:t>a = 8 mm min</w:t>
      </w:r>
    </w:p>
    <w:p w14:paraId="50666AE4" w14:textId="77777777" w:rsidR="00A73F28" w:rsidRDefault="00A73F28" w:rsidP="001014E5">
      <w:pPr>
        <w:pStyle w:val="SingleTxtG"/>
        <w:ind w:firstLine="567"/>
      </w:pPr>
      <w:r>
        <w:rPr>
          <w:lang w:val="fr-FR"/>
        </w:rPr>
        <w:t xml:space="preserve">La marque d’homologation ci-dessus, apposée sur un véhicule, indique que le type de ce véhicule a été homologué aux Pays-Bas (E4), en ce qui concerne la disposition des pédales de commande, sous le numéro d’homologation </w:t>
      </w:r>
      <w:r>
        <w:rPr>
          <w:b/>
          <w:bCs/>
          <w:lang w:val="fr-FR"/>
        </w:rPr>
        <w:t>012439</w:t>
      </w:r>
      <w:r>
        <w:rPr>
          <w:lang w:val="fr-FR"/>
        </w:rPr>
        <w:t xml:space="preserve">. Les deux premiers chiffres de ce numéro indiquent que l’homologation a été délivrée conformément aux dispositions du </w:t>
      </w:r>
      <w:r w:rsidRPr="00013C36">
        <w:rPr>
          <w:b/>
          <w:lang w:val="fr-FR"/>
        </w:rPr>
        <w:t>Règlement ONU n</w:t>
      </w:r>
      <w:r w:rsidRPr="001014E5">
        <w:rPr>
          <w:b/>
          <w:vertAlign w:val="superscript"/>
          <w:lang w:val="fr-FR"/>
        </w:rPr>
        <w:t>o</w:t>
      </w:r>
      <w:r w:rsidR="001014E5">
        <w:rPr>
          <w:b/>
          <w:lang w:val="fr-FR"/>
        </w:rPr>
        <w:t> </w:t>
      </w:r>
      <w:r w:rsidRPr="00013C36">
        <w:rPr>
          <w:b/>
          <w:lang w:val="fr-FR"/>
        </w:rPr>
        <w:t xml:space="preserve">35 tel que modifié par la série </w:t>
      </w:r>
      <w:r w:rsidR="00BB3029">
        <w:rPr>
          <w:b/>
          <w:lang w:val="fr-FR"/>
        </w:rPr>
        <w:t>0</w:t>
      </w:r>
      <w:r w:rsidRPr="00013C36">
        <w:rPr>
          <w:b/>
          <w:lang w:val="fr-FR"/>
        </w:rPr>
        <w:t>1 d</w:t>
      </w:r>
      <w:r>
        <w:rPr>
          <w:b/>
          <w:lang w:val="fr-FR"/>
        </w:rPr>
        <w:t>’</w:t>
      </w:r>
      <w:r w:rsidRPr="00013C36">
        <w:rPr>
          <w:b/>
          <w:lang w:val="fr-FR"/>
        </w:rPr>
        <w:t>amendements</w:t>
      </w:r>
      <w:r>
        <w:rPr>
          <w:lang w:val="fr-FR"/>
        </w:rPr>
        <w:t>.</w:t>
      </w:r>
    </w:p>
    <w:p w14:paraId="041F9CED" w14:textId="77777777" w:rsidR="00A73F28" w:rsidRPr="00DD1D4D" w:rsidRDefault="00A73F28" w:rsidP="001014E5">
      <w:pPr>
        <w:pStyle w:val="SingleTxtG"/>
      </w:pPr>
      <w:r>
        <w:rPr>
          <w:lang w:val="fr-FR"/>
        </w:rPr>
        <w:t>Modèle B</w:t>
      </w:r>
    </w:p>
    <w:p w14:paraId="4BD3D962" w14:textId="77777777" w:rsidR="00A73F28" w:rsidRDefault="00A73F28" w:rsidP="001014E5">
      <w:pPr>
        <w:pStyle w:val="SingleTxtG"/>
        <w:rPr>
          <w:lang w:val="fr-FR"/>
        </w:rPr>
      </w:pPr>
      <w:r>
        <w:rPr>
          <w:lang w:val="fr-FR"/>
        </w:rPr>
        <w:t>(Voir le paragraphe</w:t>
      </w:r>
      <w:r w:rsidR="001014E5">
        <w:rPr>
          <w:lang w:val="fr-FR"/>
        </w:rPr>
        <w:t> </w:t>
      </w:r>
      <w:r>
        <w:rPr>
          <w:lang w:val="fr-FR"/>
        </w:rPr>
        <w:t>4.5 du présent Règlement</w:t>
      </w:r>
      <w:r w:rsidR="00BB3029">
        <w:rPr>
          <w:lang w:val="fr-FR"/>
        </w:rPr>
        <w:t xml:space="preserve"> ONU</w:t>
      </w:r>
      <w:r>
        <w:rPr>
          <w:lang w:val="fr-FR"/>
        </w:rPr>
        <w:t>)</w:t>
      </w:r>
    </w:p>
    <w:p w14:paraId="194761AA" w14:textId="77777777" w:rsidR="001014E5" w:rsidRPr="004A33C8" w:rsidRDefault="001014E5" w:rsidP="001014E5">
      <w:pPr>
        <w:kinsoku/>
        <w:overflowPunct/>
        <w:autoSpaceDE/>
        <w:autoSpaceDN/>
        <w:adjustRightInd/>
        <w:snapToGrid/>
        <w:spacing w:after="480"/>
        <w:ind w:left="2835" w:right="1134" w:hanging="1701"/>
        <w:jc w:val="both"/>
        <w:rPr>
          <w:rFonts w:eastAsia="Calibri" w:cs="Arial"/>
          <w:szCs w:val="22"/>
        </w:rPr>
      </w:pPr>
      <w:r w:rsidRPr="001014E5">
        <w:rPr>
          <w:rFonts w:eastAsia="Calibri" w:cs="Arial"/>
          <w:noProof/>
          <w:szCs w:val="22"/>
          <w:lang w:val="ru-RU" w:eastAsia="ru-RU"/>
        </w:rPr>
        <mc:AlternateContent>
          <mc:Choice Requires="wpg">
            <w:drawing>
              <wp:anchor distT="0" distB="0" distL="114300" distR="114300" simplePos="0" relativeHeight="251668480" behindDoc="0" locked="0" layoutInCell="1" allowOverlap="1" wp14:anchorId="514FCFC1" wp14:editId="7DE20995">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6FD5E0F7" w14:textId="77777777" w:rsidR="0022389D" w:rsidRDefault="0022389D" w:rsidP="001014E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73868" w14:textId="77777777" w:rsidR="0022389D" w:rsidRPr="00D03A27" w:rsidRDefault="0022389D" w:rsidP="001014E5">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CF36"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715F39BC" w14:textId="77777777" w:rsidR="0022389D" w:rsidRPr="00D03A27" w:rsidRDefault="0022389D" w:rsidP="001014E5">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DE6A1" w14:textId="77777777" w:rsidR="0022389D" w:rsidRPr="001014E5" w:rsidRDefault="0022389D" w:rsidP="001014E5">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Calibri" w:hAnsi="Calibri" w:cs="Calibri"/>
                                  <w:b/>
                                  <w:bCs/>
                                  <w:sz w:val="40"/>
                                  <w:szCs w:val="40"/>
                                </w:rPr>
                              </w:pPr>
                              <w:r w:rsidRPr="001014E5">
                                <w:rPr>
                                  <w:rFonts w:ascii="Calibri" w:hAnsi="Calibri" w:cs="Calibri"/>
                                  <w:b/>
                                  <w:bCs/>
                                  <w:sz w:val="40"/>
                                  <w:szCs w:val="40"/>
                                </w:rPr>
                                <w:t xml:space="preserve"> 35</w:t>
                              </w:r>
                              <w:r w:rsidRPr="00F21E8A">
                                <w:rPr>
                                  <w:rFonts w:ascii="Arial" w:hAnsi="Arial" w:cs="Arial"/>
                                  <w:b/>
                                  <w:bCs/>
                                  <w:sz w:val="52"/>
                                </w:rPr>
                                <w:tab/>
                              </w:r>
                              <w:r>
                                <w:rPr>
                                  <w:rFonts w:ascii="Arial" w:hAnsi="Arial" w:cs="Arial"/>
                                  <w:b/>
                                  <w:bCs/>
                                  <w:sz w:val="52"/>
                                </w:rPr>
                                <w:t xml:space="preserve"> </w:t>
                              </w:r>
                              <w:r w:rsidRPr="001014E5">
                                <w:rPr>
                                  <w:rFonts w:ascii="Calibri" w:hAnsi="Calibri" w:cs="Calibri"/>
                                  <w:b/>
                                  <w:bCs/>
                                  <w:sz w:val="40"/>
                                  <w:szCs w:val="40"/>
                                </w:rPr>
                                <w:t>01 2439</w:t>
                              </w:r>
                            </w:p>
                            <w:p w14:paraId="00E59D50" w14:textId="77777777" w:rsidR="0022389D" w:rsidRPr="001014E5" w:rsidRDefault="0022389D" w:rsidP="001014E5">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Calibri" w:hAnsi="Calibri" w:cs="Calibri"/>
                                  <w:sz w:val="40"/>
                                  <w:szCs w:val="40"/>
                                </w:rPr>
                              </w:pPr>
                              <w:r w:rsidRPr="001014E5">
                                <w:rPr>
                                  <w:rFonts w:ascii="Calibri" w:hAnsi="Calibri" w:cs="Calibri"/>
                                  <w:sz w:val="40"/>
                                  <w:szCs w:val="40"/>
                                </w:rPr>
                                <w:t xml:space="preserve">24 </w:t>
                              </w:r>
                              <w:r w:rsidRPr="001014E5">
                                <w:rPr>
                                  <w:rFonts w:ascii="Calibri" w:hAnsi="Calibri" w:cs="Calibri"/>
                                  <w:sz w:val="40"/>
                                  <w:szCs w:val="40"/>
                                  <w:vertAlign w:val="subscript"/>
                                </w:rPr>
                                <w:t>*</w:t>
                              </w:r>
                              <w:r w:rsidRPr="001014E5">
                                <w:rPr>
                                  <w:rFonts w:ascii="Calibri" w:hAnsi="Calibri" w:cs="Calibri"/>
                                  <w:sz w:val="40"/>
                                  <w:szCs w:val="40"/>
                                </w:rPr>
                                <w:t xml:space="preserve"> 1.30</w:t>
                              </w:r>
                              <w:r>
                                <w:rPr>
                                  <w:rFonts w:ascii="Arial" w:hAnsi="Arial" w:cs="Arial"/>
                                  <w:sz w:val="52"/>
                                </w:rPr>
                                <w:tab/>
                                <w:t xml:space="preserve"> </w:t>
                              </w:r>
                              <w:r w:rsidRPr="001014E5">
                                <w:rPr>
                                  <w:rFonts w:ascii="Calibri" w:hAnsi="Calibri" w:cs="Calibri"/>
                                  <w:sz w:val="40"/>
                                  <w:szCs w:val="40"/>
                                </w:rPr>
                                <w:t>03 1628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26C36"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15DE4984" w14:textId="77777777" w:rsidR="0022389D" w:rsidRPr="00D03A27" w:rsidRDefault="0022389D" w:rsidP="001014E5">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F0623"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17DB16E7" w14:textId="77777777" w:rsidR="0022389D" w:rsidRPr="00D03A27" w:rsidRDefault="0022389D" w:rsidP="001014E5">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8B5E7"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3A074B6A" w14:textId="77777777" w:rsidR="0022389D" w:rsidRPr="00D03A27" w:rsidRDefault="0022389D" w:rsidP="001014E5">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FCFC1" id="Group 50" o:spid="_x0000_s1028" style="position:absolute;left:0;text-align:left;margin-left:42.8pt;margin-top:2.95pt;width:6in;height:78.9pt;z-index:251668480"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">
                <v:oval id="Oval 396" o:spid="_x0000_s1029"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14:paraId="6FD5E0F7" w14:textId="77777777" w:rsidR="0022389D" w:rsidRDefault="0022389D" w:rsidP="001014E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0"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1"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2"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3"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4"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35"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36"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3BC73868" w14:textId="77777777" w:rsidR="0022389D" w:rsidRPr="00D03A27" w:rsidRDefault="0022389D" w:rsidP="001014E5">
                        <w:pPr>
                          <w:spacing w:line="240" w:lineRule="auto"/>
                          <w:ind w:right="-539"/>
                          <w:rPr>
                            <w:rFonts w:ascii="Arial" w:hAnsi="Arial" w:cs="Arial"/>
                          </w:rPr>
                        </w:pPr>
                        <w:r w:rsidRPr="00D03A27">
                          <w:rPr>
                            <w:rFonts w:ascii="Arial" w:hAnsi="Arial" w:cs="Arial"/>
                          </w:rPr>
                          <w:t>a</w:t>
                        </w:r>
                      </w:p>
                    </w:txbxContent>
                  </v:textbox>
                </v:shape>
                <v:line id="Line 404" o:spid="_x0000_s1037"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38"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39"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0"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1"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2"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7609CF36"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715F39BC" w14:textId="77777777" w:rsidR="0022389D" w:rsidRPr="00D03A27" w:rsidRDefault="0022389D" w:rsidP="001014E5">
                        <w:pPr>
                          <w:spacing w:line="240" w:lineRule="auto"/>
                          <w:rPr>
                            <w:rFonts w:ascii="Arial" w:hAnsi="Arial" w:cs="Arial"/>
                          </w:rPr>
                        </w:pPr>
                        <w:r w:rsidRPr="00D03A27">
                          <w:rPr>
                            <w:rFonts w:ascii="Arial" w:hAnsi="Arial" w:cs="Arial"/>
                          </w:rPr>
                          <w:t>3</w:t>
                        </w:r>
                      </w:p>
                    </w:txbxContent>
                  </v:textbox>
                </v:shape>
                <v:shape id="Text Box 410" o:spid="_x0000_s1043"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14:paraId="69DDE6A1" w14:textId="77777777" w:rsidR="0022389D" w:rsidRPr="001014E5" w:rsidRDefault="0022389D" w:rsidP="001014E5">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Calibri" w:hAnsi="Calibri" w:cs="Calibri"/>
                            <w:b/>
                            <w:bCs/>
                            <w:sz w:val="40"/>
                            <w:szCs w:val="40"/>
                          </w:rPr>
                        </w:pPr>
                        <w:r w:rsidRPr="001014E5">
                          <w:rPr>
                            <w:rFonts w:ascii="Calibri" w:hAnsi="Calibri" w:cs="Calibri"/>
                            <w:b/>
                            <w:bCs/>
                            <w:sz w:val="40"/>
                            <w:szCs w:val="40"/>
                          </w:rPr>
                          <w:t xml:space="preserve"> 35</w:t>
                        </w:r>
                        <w:r w:rsidRPr="00F21E8A">
                          <w:rPr>
                            <w:rFonts w:ascii="Arial" w:hAnsi="Arial" w:cs="Arial"/>
                            <w:b/>
                            <w:bCs/>
                            <w:sz w:val="52"/>
                          </w:rPr>
                          <w:tab/>
                        </w:r>
                        <w:r>
                          <w:rPr>
                            <w:rFonts w:ascii="Arial" w:hAnsi="Arial" w:cs="Arial"/>
                            <w:b/>
                            <w:bCs/>
                            <w:sz w:val="52"/>
                          </w:rPr>
                          <w:t xml:space="preserve"> </w:t>
                        </w:r>
                        <w:r w:rsidRPr="001014E5">
                          <w:rPr>
                            <w:rFonts w:ascii="Calibri" w:hAnsi="Calibri" w:cs="Calibri"/>
                            <w:b/>
                            <w:bCs/>
                            <w:sz w:val="40"/>
                            <w:szCs w:val="40"/>
                          </w:rPr>
                          <w:t>01 2439</w:t>
                        </w:r>
                      </w:p>
                      <w:p w14:paraId="00E59D50" w14:textId="77777777" w:rsidR="0022389D" w:rsidRPr="001014E5" w:rsidRDefault="0022389D" w:rsidP="001014E5">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Calibri" w:hAnsi="Calibri" w:cs="Calibri"/>
                            <w:sz w:val="40"/>
                            <w:szCs w:val="40"/>
                          </w:rPr>
                        </w:pPr>
                        <w:r w:rsidRPr="001014E5">
                          <w:rPr>
                            <w:rFonts w:ascii="Calibri" w:hAnsi="Calibri" w:cs="Calibri"/>
                            <w:sz w:val="40"/>
                            <w:szCs w:val="40"/>
                          </w:rPr>
                          <w:t xml:space="preserve">24 </w:t>
                        </w:r>
                        <w:r w:rsidRPr="001014E5">
                          <w:rPr>
                            <w:rFonts w:ascii="Calibri" w:hAnsi="Calibri" w:cs="Calibri"/>
                            <w:sz w:val="40"/>
                            <w:szCs w:val="40"/>
                            <w:vertAlign w:val="subscript"/>
                          </w:rPr>
                          <w:t>*</w:t>
                        </w:r>
                        <w:r w:rsidRPr="001014E5">
                          <w:rPr>
                            <w:rFonts w:ascii="Calibri" w:hAnsi="Calibri" w:cs="Calibri"/>
                            <w:sz w:val="40"/>
                            <w:szCs w:val="40"/>
                          </w:rPr>
                          <w:t xml:space="preserve"> 1.30</w:t>
                        </w:r>
                        <w:r>
                          <w:rPr>
                            <w:rFonts w:ascii="Arial" w:hAnsi="Arial" w:cs="Arial"/>
                            <w:sz w:val="52"/>
                          </w:rPr>
                          <w:tab/>
                          <w:t xml:space="preserve"> </w:t>
                        </w:r>
                        <w:r w:rsidRPr="001014E5">
                          <w:rPr>
                            <w:rFonts w:ascii="Calibri" w:hAnsi="Calibri" w:cs="Calibri"/>
                            <w:sz w:val="40"/>
                            <w:szCs w:val="40"/>
                          </w:rPr>
                          <w:t>03 1628</w:t>
                        </w:r>
                      </w:p>
                    </w:txbxContent>
                  </v:textbox>
                </v:shape>
                <v:line id="Line 411" o:spid="_x0000_s1044"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45"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46"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47"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48"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49"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0"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1"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2"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3"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4"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14:paraId="77626C36"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15DE4984" w14:textId="77777777" w:rsidR="0022389D" w:rsidRPr="00D03A27" w:rsidRDefault="0022389D" w:rsidP="001014E5">
                        <w:pPr>
                          <w:spacing w:line="240" w:lineRule="auto"/>
                          <w:rPr>
                            <w:rFonts w:ascii="Arial" w:hAnsi="Arial" w:cs="Arial"/>
                          </w:rPr>
                        </w:pPr>
                        <w:r w:rsidRPr="00D03A27">
                          <w:rPr>
                            <w:rFonts w:ascii="Arial" w:hAnsi="Arial" w:cs="Arial"/>
                          </w:rPr>
                          <w:t>3</w:t>
                        </w:r>
                      </w:p>
                    </w:txbxContent>
                  </v:textbox>
                </v:shape>
                <v:line id="Line 422" o:spid="_x0000_s1055"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56"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57"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_x0000_s1058"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14:paraId="073F0623"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17DB16E7" w14:textId="77777777" w:rsidR="0022389D" w:rsidRPr="00D03A27" w:rsidRDefault="0022389D" w:rsidP="001014E5">
                        <w:pPr>
                          <w:spacing w:line="240" w:lineRule="auto"/>
                          <w:rPr>
                            <w:rFonts w:ascii="Arial" w:hAnsi="Arial" w:cs="Arial"/>
                          </w:rPr>
                        </w:pPr>
                        <w:r w:rsidRPr="00D03A27">
                          <w:rPr>
                            <w:rFonts w:ascii="Arial" w:hAnsi="Arial" w:cs="Arial"/>
                          </w:rPr>
                          <w:t>2</w:t>
                        </w:r>
                      </w:p>
                    </w:txbxContent>
                  </v:textbox>
                </v:shape>
                <v:shape id="Text Box 429" o:spid="_x0000_s1059"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14:paraId="6718B5E7" w14:textId="77777777" w:rsidR="0022389D" w:rsidRPr="00D03A27" w:rsidRDefault="0022389D" w:rsidP="001014E5">
                        <w:pPr>
                          <w:spacing w:line="240" w:lineRule="auto"/>
                          <w:rPr>
                            <w:rFonts w:ascii="Arial" w:hAnsi="Arial" w:cs="Arial"/>
                            <w:u w:val="single"/>
                          </w:rPr>
                        </w:pPr>
                        <w:r w:rsidRPr="00D03A27">
                          <w:rPr>
                            <w:rFonts w:ascii="Arial" w:hAnsi="Arial" w:cs="Arial"/>
                            <w:u w:val="single"/>
                          </w:rPr>
                          <w:t>a</w:t>
                        </w:r>
                      </w:p>
                      <w:p w14:paraId="3A074B6A" w14:textId="77777777" w:rsidR="0022389D" w:rsidRPr="00D03A27" w:rsidRDefault="0022389D" w:rsidP="001014E5">
                        <w:pPr>
                          <w:spacing w:line="240" w:lineRule="auto"/>
                          <w:rPr>
                            <w:rFonts w:ascii="Arial" w:hAnsi="Arial" w:cs="Arial"/>
                          </w:rPr>
                        </w:pPr>
                        <w:r w:rsidRPr="00D03A27">
                          <w:rPr>
                            <w:rFonts w:ascii="Arial" w:hAnsi="Arial" w:cs="Arial"/>
                          </w:rPr>
                          <w:t>2</w:t>
                        </w:r>
                      </w:p>
                    </w:txbxContent>
                  </v:textbox>
                </v:shape>
              </v:group>
            </w:pict>
          </mc:Fallback>
        </mc:AlternateContent>
      </w:r>
      <w:r w:rsidRPr="001014E5">
        <w:rPr>
          <w:rFonts w:eastAsia="Calibri" w:cs="Arial"/>
          <w:noProof/>
          <w:szCs w:val="22"/>
          <w:lang w:val="ru-RU" w:eastAsia="ru-RU"/>
        </w:rPr>
        <mc:AlternateContent>
          <mc:Choice Requires="wps">
            <w:drawing>
              <wp:anchor distT="0" distB="0" distL="114300" distR="114300" simplePos="0" relativeHeight="251669504" behindDoc="0" locked="0" layoutInCell="1" allowOverlap="1" wp14:anchorId="63969D9A" wp14:editId="2428FC2E">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B48F7C" id="Line 42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" strokeweight=".5pt"/>
            </w:pict>
          </mc:Fallback>
        </mc:AlternateContent>
      </w:r>
    </w:p>
    <w:p w14:paraId="627A8129" w14:textId="77777777" w:rsidR="001014E5" w:rsidRPr="004A33C8" w:rsidRDefault="004C1875" w:rsidP="001014E5">
      <w:pPr>
        <w:kinsoku/>
        <w:overflowPunct/>
        <w:autoSpaceDE/>
        <w:autoSpaceDN/>
        <w:adjustRightInd/>
        <w:snapToGrid/>
        <w:spacing w:after="240"/>
        <w:ind w:left="2835" w:right="1134" w:hanging="1701"/>
        <w:jc w:val="both"/>
        <w:rPr>
          <w:rFonts w:eastAsia="Calibri" w:cs="Arial"/>
          <w:szCs w:val="22"/>
        </w:rPr>
      </w:pPr>
      <w:r>
        <w:rPr>
          <w:noProof/>
        </w:rPr>
        <mc:AlternateContent>
          <mc:Choice Requires="wps">
            <w:drawing>
              <wp:anchor distT="0" distB="0" distL="114300" distR="114300" simplePos="0" relativeHeight="251659264" behindDoc="0" locked="0" layoutInCell="1" allowOverlap="1" wp14:anchorId="22DA50EC" wp14:editId="2C5F2F26">
                <wp:simplePos x="0" y="0"/>
                <wp:positionH relativeFrom="column">
                  <wp:posOffset>2940794</wp:posOffset>
                </wp:positionH>
                <wp:positionV relativeFrom="paragraph">
                  <wp:posOffset>164465</wp:posOffset>
                </wp:positionV>
                <wp:extent cx="111760" cy="383540"/>
                <wp:effectExtent l="0" t="0" r="2540" b="0"/>
                <wp:wrapNone/>
                <wp:docPr id="6"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12DF7" w14:textId="77777777" w:rsidR="004C1875" w:rsidRPr="00D03A27" w:rsidRDefault="004C1875" w:rsidP="004C1875">
                            <w:pPr>
                              <w:spacing w:line="240" w:lineRule="auto"/>
                              <w:rPr>
                                <w:rFonts w:ascii="Arial" w:hAnsi="Arial" w:cs="Arial"/>
                                <w:u w:val="single"/>
                              </w:rPr>
                            </w:pPr>
                            <w:r w:rsidRPr="00D03A27">
                              <w:rPr>
                                <w:rFonts w:ascii="Arial" w:hAnsi="Arial" w:cs="Arial"/>
                                <w:u w:val="single"/>
                              </w:rPr>
                              <w:t>a</w:t>
                            </w:r>
                          </w:p>
                          <w:p w14:paraId="250D0C50" w14:textId="77777777" w:rsidR="004C1875" w:rsidRPr="00D03A27" w:rsidRDefault="004C1875" w:rsidP="004C1875">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22DA50EC" id="Text Box 428" o:spid="_x0000_s1060" type="#_x0000_t202" style="position:absolute;left:0;text-align:left;margin-left:231.55pt;margin-top:12.95pt;width:8.8pt;height: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" stroked="f">
                <v:textbox inset="0,0,0,0">
                  <w:txbxContent>
                    <w:p w14:paraId="03C12DF7" w14:textId="77777777" w:rsidR="004C1875" w:rsidRPr="00D03A27" w:rsidRDefault="004C1875" w:rsidP="004C1875">
                      <w:pPr>
                        <w:spacing w:line="240" w:lineRule="auto"/>
                        <w:rPr>
                          <w:rFonts w:ascii="Arial" w:hAnsi="Arial" w:cs="Arial"/>
                          <w:u w:val="single"/>
                        </w:rPr>
                      </w:pPr>
                      <w:r w:rsidRPr="00D03A27">
                        <w:rPr>
                          <w:rFonts w:ascii="Arial" w:hAnsi="Arial" w:cs="Arial"/>
                          <w:u w:val="single"/>
                        </w:rPr>
                        <w:t>a</w:t>
                      </w:r>
                    </w:p>
                    <w:p w14:paraId="250D0C50" w14:textId="77777777" w:rsidR="004C1875" w:rsidRPr="00D03A27" w:rsidRDefault="004C1875" w:rsidP="004C1875">
                      <w:pPr>
                        <w:spacing w:line="240" w:lineRule="auto"/>
                        <w:rPr>
                          <w:rFonts w:ascii="Arial" w:hAnsi="Arial" w:cs="Arial"/>
                        </w:rPr>
                      </w:pPr>
                      <w:r w:rsidRPr="00D03A27">
                        <w:rPr>
                          <w:rFonts w:ascii="Arial" w:hAnsi="Arial" w:cs="Arial"/>
                        </w:rPr>
                        <w:t>2</w:t>
                      </w:r>
                    </w:p>
                  </w:txbxContent>
                </v:textbox>
              </v:shape>
            </w:pict>
          </mc:Fallback>
        </mc:AlternateContent>
      </w:r>
    </w:p>
    <w:p w14:paraId="10B9E9E6" w14:textId="77777777" w:rsidR="001014E5" w:rsidRPr="004A33C8" w:rsidRDefault="001014E5" w:rsidP="001014E5">
      <w:pPr>
        <w:kinsoku/>
        <w:overflowPunct/>
        <w:autoSpaceDE/>
        <w:autoSpaceDN/>
        <w:adjustRightInd/>
        <w:snapToGrid/>
        <w:spacing w:after="240"/>
        <w:ind w:left="2835" w:right="1134" w:hanging="1701"/>
        <w:jc w:val="both"/>
        <w:rPr>
          <w:rFonts w:eastAsia="Calibri" w:cs="Arial"/>
          <w:szCs w:val="22"/>
        </w:rPr>
      </w:pPr>
    </w:p>
    <w:p w14:paraId="474ED487" w14:textId="77777777" w:rsidR="00A73F28" w:rsidRPr="00DD1D4D" w:rsidRDefault="00A73F28" w:rsidP="001014E5">
      <w:pPr>
        <w:pStyle w:val="SingleTxtG"/>
        <w:spacing w:before="240"/>
        <w:ind w:right="3402"/>
        <w:jc w:val="right"/>
      </w:pPr>
      <w:r>
        <w:rPr>
          <w:lang w:val="fr-FR"/>
        </w:rPr>
        <w:t>a = 8 mm min.</w:t>
      </w:r>
    </w:p>
    <w:p w14:paraId="363C0CD2" w14:textId="77777777" w:rsidR="00A73F28" w:rsidRPr="00DD1D4D" w:rsidRDefault="00A73F28" w:rsidP="001014E5">
      <w:pPr>
        <w:pStyle w:val="SingleTxtG"/>
        <w:ind w:firstLine="567"/>
      </w:pPr>
      <w:r>
        <w:rPr>
          <w:lang w:val="fr-FR"/>
        </w:rPr>
        <w:t xml:space="preserve">La marque d’homologation ci-dessus, apposée sur un véhicule, indique que le type de ce véhicule a été homologué aux Pays-Bas (E4), en application des Règlements </w:t>
      </w:r>
      <w:r w:rsidR="004C1875">
        <w:rPr>
          <w:lang w:val="fr-FR"/>
        </w:rPr>
        <w:t xml:space="preserve">ONU </w:t>
      </w:r>
      <w:r>
        <w:rPr>
          <w:lang w:val="fr-FR"/>
        </w:rPr>
        <w:t>n</w:t>
      </w:r>
      <w:r w:rsidRPr="001014E5">
        <w:rPr>
          <w:vertAlign w:val="superscript"/>
          <w:lang w:val="fr-FR"/>
        </w:rPr>
        <w:t>o</w:t>
      </w:r>
      <w:r w:rsidR="004C1875">
        <w:rPr>
          <w:vertAlign w:val="superscript"/>
          <w:lang w:val="fr-FR"/>
        </w:rPr>
        <w:t>s</w:t>
      </w:r>
      <w:r w:rsidR="001014E5">
        <w:rPr>
          <w:lang w:val="fr-FR"/>
        </w:rPr>
        <w:t> </w:t>
      </w:r>
      <w:r>
        <w:rPr>
          <w:lang w:val="fr-FR"/>
        </w:rPr>
        <w:t>35 et</w:t>
      </w:r>
      <w:r w:rsidR="004C1875">
        <w:rPr>
          <w:lang w:val="fr-FR"/>
        </w:rPr>
        <w:t xml:space="preserve"> </w:t>
      </w:r>
      <w:r>
        <w:rPr>
          <w:lang w:val="fr-FR"/>
        </w:rPr>
        <w:t>24</w:t>
      </w:r>
      <w:r w:rsidRPr="001014E5">
        <w:rPr>
          <w:sz w:val="18"/>
          <w:szCs w:val="18"/>
          <w:vertAlign w:val="superscript"/>
          <w:lang w:val="fr-FR"/>
        </w:rPr>
        <w:t>1</w:t>
      </w:r>
      <w:r w:rsidR="001014E5">
        <w:rPr>
          <w:lang w:val="fr-FR"/>
        </w:rPr>
        <w:t xml:space="preserve">. </w:t>
      </w:r>
      <w:r>
        <w:rPr>
          <w:lang w:val="fr-FR"/>
        </w:rPr>
        <w:t>(Dans le cas de ce dernier Règlement</w:t>
      </w:r>
      <w:r w:rsidR="004C1875">
        <w:rPr>
          <w:lang w:val="fr-FR"/>
        </w:rPr>
        <w:t xml:space="preserve"> ONU</w:t>
      </w:r>
      <w:r>
        <w:rPr>
          <w:lang w:val="fr-FR"/>
        </w:rPr>
        <w:t>, la valeur corrigée du coefficient d’absorption est 1,30</w:t>
      </w:r>
      <w:r w:rsidR="001014E5">
        <w:rPr>
          <w:lang w:val="fr-FR"/>
        </w:rPr>
        <w:t> </w:t>
      </w:r>
      <w:r>
        <w:rPr>
          <w:lang w:val="fr-FR"/>
        </w:rPr>
        <w:t>m</w:t>
      </w:r>
      <w:r w:rsidRPr="00013C36">
        <w:rPr>
          <w:vertAlign w:val="superscript"/>
          <w:lang w:val="fr-FR"/>
        </w:rPr>
        <w:t>-1</w:t>
      </w:r>
      <w:r>
        <w:rPr>
          <w:lang w:val="fr-FR"/>
        </w:rPr>
        <w:t xml:space="preserve">.) </w:t>
      </w:r>
      <w:r>
        <w:rPr>
          <w:b/>
          <w:bCs/>
          <w:lang w:val="fr-FR"/>
        </w:rPr>
        <w:t xml:space="preserve">Les deux premiers chiffres des numéros d’homologation signifient qu’aux dates de délivrance des homologations respectives, le Règlement </w:t>
      </w:r>
      <w:r w:rsidR="004C1875">
        <w:rPr>
          <w:b/>
          <w:bCs/>
          <w:lang w:val="fr-FR"/>
        </w:rPr>
        <w:t xml:space="preserve">ONU </w:t>
      </w:r>
      <w:r>
        <w:rPr>
          <w:b/>
          <w:bCs/>
          <w:lang w:val="fr-FR"/>
        </w:rPr>
        <w:t>n</w:t>
      </w:r>
      <w:r w:rsidRPr="001014E5">
        <w:rPr>
          <w:b/>
          <w:bCs/>
          <w:vertAlign w:val="superscript"/>
          <w:lang w:val="fr-FR"/>
        </w:rPr>
        <w:t>o</w:t>
      </w:r>
      <w:r w:rsidR="001014E5">
        <w:rPr>
          <w:b/>
          <w:bCs/>
          <w:lang w:val="fr-FR"/>
        </w:rPr>
        <w:t> </w:t>
      </w:r>
      <w:r>
        <w:rPr>
          <w:b/>
          <w:bCs/>
          <w:lang w:val="fr-FR"/>
        </w:rPr>
        <w:t>35 comprenait la série 01 d’amendements</w:t>
      </w:r>
      <w:r>
        <w:rPr>
          <w:lang w:val="fr-FR"/>
        </w:rPr>
        <w:t xml:space="preserve"> et le Règlement </w:t>
      </w:r>
      <w:r w:rsidR="004C1875">
        <w:rPr>
          <w:lang w:val="fr-FR"/>
        </w:rPr>
        <w:t xml:space="preserve">ONU </w:t>
      </w:r>
      <w:r>
        <w:rPr>
          <w:lang w:val="fr-FR"/>
        </w:rPr>
        <w:t>n</w:t>
      </w:r>
      <w:r w:rsidRPr="001014E5">
        <w:rPr>
          <w:vertAlign w:val="superscript"/>
          <w:lang w:val="fr-FR"/>
        </w:rPr>
        <w:t>o</w:t>
      </w:r>
      <w:r w:rsidR="001014E5">
        <w:rPr>
          <w:lang w:val="fr-FR"/>
        </w:rPr>
        <w:t> </w:t>
      </w:r>
      <w:r>
        <w:rPr>
          <w:lang w:val="fr-FR"/>
        </w:rPr>
        <w:t>24 la série</w:t>
      </w:r>
      <w:r w:rsidR="004C1875">
        <w:rPr>
          <w:lang w:val="fr-FR"/>
        </w:rPr>
        <w:t> </w:t>
      </w:r>
      <w:r>
        <w:rPr>
          <w:lang w:val="fr-FR"/>
        </w:rPr>
        <w:t>03 d’amendements.</w:t>
      </w:r>
    </w:p>
    <w:p w14:paraId="38C49C98" w14:textId="77777777" w:rsidR="00A73F28" w:rsidRPr="00DD1D4D" w:rsidRDefault="00A73F28" w:rsidP="001014E5">
      <w:pPr>
        <w:ind w:left="1134"/>
      </w:pPr>
      <w:r w:rsidRPr="00DD1D4D">
        <w:t>_____________</w:t>
      </w:r>
    </w:p>
    <w:p w14:paraId="69B857EC" w14:textId="77777777" w:rsidR="00A73F28" w:rsidRPr="00F0590B" w:rsidRDefault="00A73F28" w:rsidP="001014E5">
      <w:pPr>
        <w:spacing w:before="120" w:after="240"/>
        <w:ind w:left="1134" w:right="1134"/>
        <w:rPr>
          <w:sz w:val="18"/>
          <w:szCs w:val="18"/>
        </w:rPr>
      </w:pPr>
      <w:r w:rsidRPr="001014E5">
        <w:rPr>
          <w:sz w:val="18"/>
          <w:szCs w:val="18"/>
          <w:vertAlign w:val="superscript"/>
          <w:lang w:val="fr-FR"/>
        </w:rPr>
        <w:t>1</w:t>
      </w:r>
      <w:r w:rsidR="001014E5">
        <w:rPr>
          <w:sz w:val="18"/>
          <w:szCs w:val="18"/>
          <w:lang w:val="fr-FR"/>
        </w:rPr>
        <w:tab/>
      </w:r>
      <w:r w:rsidRPr="001014E5">
        <w:rPr>
          <w:sz w:val="18"/>
          <w:szCs w:val="18"/>
          <w:lang w:val="fr-FR"/>
        </w:rPr>
        <w:t>Le deuxième numéro n’est donné qu’à titre d’exemple. »</w:t>
      </w:r>
      <w:r w:rsidR="00F0590B">
        <w:rPr>
          <w:sz w:val="18"/>
          <w:szCs w:val="18"/>
          <w:lang w:val="fr-FR"/>
        </w:rPr>
        <w:t>.</w:t>
      </w:r>
    </w:p>
    <w:p w14:paraId="6011D75E" w14:textId="77777777" w:rsidR="00A73F28" w:rsidRPr="00DD1D4D" w:rsidRDefault="00A73F28" w:rsidP="005E3812">
      <w:pPr>
        <w:pStyle w:val="HChG"/>
      </w:pPr>
      <w:r w:rsidRPr="00DD1D4D">
        <w:br w:type="page"/>
      </w:r>
      <w:r>
        <w:rPr>
          <w:lang w:val="fr-FR"/>
        </w:rPr>
        <w:lastRenderedPageBreak/>
        <w:t>Annexe III</w:t>
      </w:r>
    </w:p>
    <w:p w14:paraId="27801ACD" w14:textId="77777777" w:rsidR="00A73F28" w:rsidRPr="00013C36" w:rsidRDefault="005E3812" w:rsidP="005E3812">
      <w:pPr>
        <w:pStyle w:val="HChG"/>
        <w:rPr>
          <w:i/>
        </w:rPr>
      </w:pPr>
      <w:r>
        <w:rPr>
          <w:lang w:val="fr-FR"/>
        </w:rPr>
        <w:tab/>
      </w:r>
      <w:r>
        <w:rPr>
          <w:lang w:val="fr-FR"/>
        </w:rPr>
        <w:tab/>
      </w:r>
      <w:r w:rsidR="00A73F28" w:rsidRPr="00013C36">
        <w:rPr>
          <w:lang w:val="fr-FR"/>
        </w:rPr>
        <w:t>Projet de complément 2 à la série 02 d</w:t>
      </w:r>
      <w:r w:rsidR="00A73F28">
        <w:rPr>
          <w:lang w:val="fr-FR"/>
        </w:rPr>
        <w:t>’</w:t>
      </w:r>
      <w:r w:rsidR="00A73F28" w:rsidRPr="00013C36">
        <w:rPr>
          <w:lang w:val="fr-FR"/>
        </w:rPr>
        <w:t>amendements</w:t>
      </w:r>
      <w:r>
        <w:rPr>
          <w:lang w:val="fr-FR"/>
        </w:rPr>
        <w:br/>
      </w:r>
      <w:r w:rsidR="00A73F28" w:rsidRPr="00013C36">
        <w:rPr>
          <w:lang w:val="fr-FR"/>
        </w:rPr>
        <w:t>au Règlement ONU n</w:t>
      </w:r>
      <w:r w:rsidR="00A73F28" w:rsidRPr="005E3812">
        <w:rPr>
          <w:vertAlign w:val="superscript"/>
          <w:lang w:val="fr-FR"/>
        </w:rPr>
        <w:t>o</w:t>
      </w:r>
      <w:r>
        <w:rPr>
          <w:lang w:val="fr-FR"/>
        </w:rPr>
        <w:t> </w:t>
      </w:r>
      <w:r w:rsidR="00A73F28" w:rsidRPr="00013C36">
        <w:rPr>
          <w:lang w:val="fr-FR"/>
        </w:rPr>
        <w:t>67 (Véhicules alimentés au GPL)</w:t>
      </w:r>
      <w:r>
        <w:rPr>
          <w:lang w:val="fr-FR"/>
        </w:rPr>
        <w:br/>
      </w:r>
      <w:r w:rsidR="00A73F28" w:rsidRPr="00013C36">
        <w:rPr>
          <w:lang w:val="fr-FR"/>
        </w:rPr>
        <w:t>(par</w:t>
      </w:r>
      <w:r>
        <w:rPr>
          <w:lang w:val="fr-FR"/>
        </w:rPr>
        <w:t> </w:t>
      </w:r>
      <w:r w:rsidR="00A73F28" w:rsidRPr="00013C36">
        <w:rPr>
          <w:lang w:val="fr-FR"/>
        </w:rPr>
        <w:t>38)</w:t>
      </w:r>
    </w:p>
    <w:p w14:paraId="7890E24B" w14:textId="77777777" w:rsidR="00A73F28" w:rsidRPr="00DD1D4D" w:rsidRDefault="00A73F28" w:rsidP="005E3812">
      <w:pPr>
        <w:pStyle w:val="SingleTxtG"/>
        <w:keepNext/>
        <w:rPr>
          <w:i/>
        </w:rPr>
      </w:pPr>
      <w:r w:rsidRPr="00013C36">
        <w:rPr>
          <w:i/>
          <w:lang w:val="fr-FR"/>
        </w:rPr>
        <w:t>Ajouter un nouveau paragraphe</w:t>
      </w:r>
      <w:r w:rsidR="005E3812">
        <w:rPr>
          <w:i/>
          <w:lang w:val="fr-FR"/>
        </w:rPr>
        <w:t> </w:t>
      </w:r>
      <w:r w:rsidRPr="00013C36">
        <w:rPr>
          <w:i/>
          <w:lang w:val="fr-FR"/>
        </w:rPr>
        <w:t>11.6 (Dispositions transitoires)</w:t>
      </w:r>
      <w:r>
        <w:rPr>
          <w:lang w:val="fr-FR"/>
        </w:rPr>
        <w:t>, libellé comme suit</w:t>
      </w:r>
      <w:r w:rsidR="005E3812">
        <w:rPr>
          <w:lang w:val="fr-FR"/>
        </w:rPr>
        <w:t> </w:t>
      </w:r>
      <w:r>
        <w:rPr>
          <w:lang w:val="fr-FR"/>
        </w:rPr>
        <w:t>:</w:t>
      </w:r>
    </w:p>
    <w:p w14:paraId="69463D72" w14:textId="77777777" w:rsidR="00A73F28" w:rsidRPr="004734EB" w:rsidRDefault="001639FF" w:rsidP="001639FF">
      <w:pPr>
        <w:pStyle w:val="SingleTxtG"/>
        <w:ind w:left="2268" w:hanging="1134"/>
        <w:rPr>
          <w:b/>
          <w:iCs/>
        </w:rPr>
      </w:pPr>
      <w:r>
        <w:rPr>
          <w:lang w:val="fr-FR"/>
        </w:rPr>
        <w:t>« </w:t>
      </w:r>
      <w:r w:rsidR="00A73F28" w:rsidRPr="004734EB">
        <w:rPr>
          <w:b/>
          <w:lang w:val="fr-FR"/>
        </w:rPr>
        <w:t>11.6</w:t>
      </w:r>
      <w:r w:rsidR="00A73F28" w:rsidRPr="004734EB">
        <w:rPr>
          <w:b/>
          <w:lang w:val="fr-FR"/>
        </w:rPr>
        <w:tab/>
        <w:t>À partir du 1</w:t>
      </w:r>
      <w:r w:rsidR="00A73F28" w:rsidRPr="001639FF">
        <w:rPr>
          <w:b/>
          <w:vertAlign w:val="superscript"/>
          <w:lang w:val="fr-FR"/>
        </w:rPr>
        <w:t>er</w:t>
      </w:r>
      <w:r>
        <w:rPr>
          <w:b/>
          <w:lang w:val="fr-FR"/>
        </w:rPr>
        <w:t> </w:t>
      </w:r>
      <w:r w:rsidR="00A73F28" w:rsidRPr="004734EB">
        <w:rPr>
          <w:b/>
          <w:lang w:val="fr-FR"/>
        </w:rPr>
        <w:t>septembre 2022, les Parties contractantes appliquant le présent Règlement pourront refuser la vente d</w:t>
      </w:r>
      <w:r w:rsidR="00A73F28">
        <w:rPr>
          <w:b/>
          <w:lang w:val="fr-FR"/>
        </w:rPr>
        <w:t>’</w:t>
      </w:r>
      <w:r w:rsidR="00A73F28" w:rsidRPr="004734EB">
        <w:rPr>
          <w:b/>
          <w:lang w:val="fr-FR"/>
        </w:rPr>
        <w:t>un type de composant ne satisfaisant pas aux prescriptions de la série 02 d</w:t>
      </w:r>
      <w:r w:rsidR="00A73F28">
        <w:rPr>
          <w:b/>
          <w:lang w:val="fr-FR"/>
        </w:rPr>
        <w:t>’</w:t>
      </w:r>
      <w:r w:rsidR="00A73F28" w:rsidRPr="004734EB">
        <w:rPr>
          <w:b/>
          <w:lang w:val="fr-FR"/>
        </w:rPr>
        <w:t>amendements au présent Règlement, sauf si ledit composant est conçu comme un élément de remplacement devant être monté sur des véhicules en service.</w:t>
      </w:r>
      <w:r>
        <w:rPr>
          <w:b/>
          <w:lang w:val="fr-FR"/>
        </w:rPr>
        <w:t> </w:t>
      </w:r>
      <w:r w:rsidRPr="001639FF">
        <w:rPr>
          <w:lang w:val="fr-FR"/>
        </w:rPr>
        <w:t>».</w:t>
      </w:r>
    </w:p>
    <w:p w14:paraId="46B03553" w14:textId="77777777" w:rsidR="00A73F28" w:rsidRPr="004734EB" w:rsidRDefault="00A73F28" w:rsidP="001639FF">
      <w:pPr>
        <w:pStyle w:val="SingleTxtG"/>
        <w:keepNext/>
        <w:rPr>
          <w:i/>
        </w:rPr>
      </w:pPr>
      <w:r w:rsidRPr="004734EB">
        <w:rPr>
          <w:i/>
          <w:lang w:val="fr-FR"/>
        </w:rPr>
        <w:t>Annexe</w:t>
      </w:r>
      <w:r w:rsidR="001639FF">
        <w:rPr>
          <w:i/>
          <w:lang w:val="fr-FR"/>
        </w:rPr>
        <w:t> </w:t>
      </w:r>
      <w:r w:rsidRPr="004734EB">
        <w:rPr>
          <w:i/>
          <w:lang w:val="fr-FR"/>
        </w:rPr>
        <w:t>3</w:t>
      </w:r>
    </w:p>
    <w:p w14:paraId="70FA951B" w14:textId="77777777" w:rsidR="00A73F28" w:rsidRPr="00DD1D4D" w:rsidRDefault="00A73F28" w:rsidP="001639FF">
      <w:pPr>
        <w:pStyle w:val="SingleTxtG"/>
        <w:keepNext/>
        <w:rPr>
          <w:i/>
        </w:rPr>
      </w:pPr>
      <w:r w:rsidRPr="004734EB">
        <w:rPr>
          <w:i/>
          <w:lang w:val="fr-FR"/>
        </w:rPr>
        <w:t>Paragraphe</w:t>
      </w:r>
      <w:r w:rsidR="001639FF">
        <w:rPr>
          <w:i/>
          <w:lang w:val="fr-FR"/>
        </w:rPr>
        <w:t> </w:t>
      </w:r>
      <w:r w:rsidRPr="004734EB">
        <w:rPr>
          <w:i/>
          <w:lang w:val="fr-FR"/>
        </w:rPr>
        <w:t>3</w:t>
      </w:r>
      <w:r>
        <w:rPr>
          <w:lang w:val="fr-FR"/>
        </w:rPr>
        <w:t>, lire</w:t>
      </w:r>
      <w:r w:rsidR="001639FF">
        <w:rPr>
          <w:lang w:val="fr-FR"/>
        </w:rPr>
        <w:t> </w:t>
      </w:r>
      <w:r>
        <w:rPr>
          <w:lang w:val="fr-FR"/>
        </w:rPr>
        <w:t>:</w:t>
      </w:r>
    </w:p>
    <w:p w14:paraId="5837127C" w14:textId="77777777" w:rsidR="00A73F28" w:rsidRPr="00DD1D4D" w:rsidRDefault="001639FF" w:rsidP="001639FF">
      <w:pPr>
        <w:pStyle w:val="SingleTxtG"/>
        <w:ind w:left="2268" w:hanging="1134"/>
        <w:rPr>
          <w:b/>
          <w:bCs/>
          <w:iCs/>
        </w:rPr>
      </w:pPr>
      <w:r>
        <w:rPr>
          <w:lang w:val="fr-FR"/>
        </w:rPr>
        <w:t>« </w:t>
      </w:r>
      <w:r w:rsidR="00A73F28">
        <w:rPr>
          <w:lang w:val="fr-FR"/>
        </w:rPr>
        <w:t>3.</w:t>
      </w:r>
      <w:r w:rsidR="00A73F28">
        <w:rPr>
          <w:lang w:val="fr-FR"/>
        </w:rPr>
        <w:tab/>
        <w:t xml:space="preserve">Soupape de surpression (soupape de décharge) </w:t>
      </w:r>
      <w:r w:rsidR="00A73F28">
        <w:rPr>
          <w:b/>
          <w:bCs/>
          <w:lang w:val="fr-FR"/>
        </w:rPr>
        <w:t>et composants reliant la soupape de surpression à la phase gazeuse à l’intérieur du réservoir de GPL</w:t>
      </w:r>
      <w:r>
        <w:rPr>
          <w:b/>
          <w:bCs/>
          <w:lang w:val="fr-FR"/>
        </w:rPr>
        <w:t>.</w:t>
      </w:r>
      <w:r>
        <w:rPr>
          <w:lang w:val="fr-FR"/>
        </w:rPr>
        <w:t> »</w:t>
      </w:r>
      <w:r w:rsidR="00A73F28">
        <w:rPr>
          <w:lang w:val="fr-FR"/>
        </w:rPr>
        <w:t>.</w:t>
      </w:r>
    </w:p>
    <w:p w14:paraId="53CD0B9E" w14:textId="77777777" w:rsidR="00A73F28" w:rsidRPr="00DD1D4D" w:rsidRDefault="00A73F28" w:rsidP="001639FF">
      <w:pPr>
        <w:pStyle w:val="SingleTxtG"/>
        <w:keepNext/>
        <w:rPr>
          <w:i/>
        </w:rPr>
      </w:pPr>
      <w:r w:rsidRPr="004734EB">
        <w:rPr>
          <w:i/>
          <w:lang w:val="fr-FR"/>
        </w:rPr>
        <w:t>Paragraphe</w:t>
      </w:r>
      <w:r w:rsidR="001639FF">
        <w:rPr>
          <w:i/>
          <w:lang w:val="fr-FR"/>
        </w:rPr>
        <w:t> </w:t>
      </w:r>
      <w:r w:rsidRPr="004734EB">
        <w:rPr>
          <w:i/>
          <w:lang w:val="fr-FR"/>
        </w:rPr>
        <w:t>3.6</w:t>
      </w:r>
      <w:r>
        <w:rPr>
          <w:lang w:val="fr-FR"/>
        </w:rPr>
        <w:t>, modifier comme suit (en ajoutant en outre un appel de la note existante**)</w:t>
      </w:r>
      <w:r w:rsidR="001639FF">
        <w:rPr>
          <w:lang w:val="fr-FR"/>
        </w:rPr>
        <w:t> </w:t>
      </w:r>
      <w:r>
        <w:rPr>
          <w:lang w:val="fr-FR"/>
        </w:rPr>
        <w:t>:</w:t>
      </w:r>
    </w:p>
    <w:p w14:paraId="7C438DCD" w14:textId="77777777" w:rsidR="00A73F28" w:rsidRPr="00DD1D4D" w:rsidRDefault="00A73F28" w:rsidP="001639FF">
      <w:pPr>
        <w:pStyle w:val="SingleTxtG"/>
        <w:ind w:left="2268" w:hanging="1134"/>
        <w:rPr>
          <w:iCs/>
        </w:rPr>
      </w:pPr>
      <w:r>
        <w:rPr>
          <w:lang w:val="fr-FR"/>
        </w:rPr>
        <w:t>«</w:t>
      </w:r>
      <w:r w:rsidR="00F73B49">
        <w:rPr>
          <w:lang w:val="fr-FR"/>
        </w:rPr>
        <w:t> </w:t>
      </w:r>
      <w:r>
        <w:rPr>
          <w:lang w:val="fr-FR"/>
        </w:rPr>
        <w:t>3.6</w:t>
      </w:r>
      <w:r>
        <w:rPr>
          <w:lang w:val="fr-FR"/>
        </w:rPr>
        <w:tab/>
        <w:t>Méthodes d’essai applicables</w:t>
      </w:r>
      <w:r w:rsidR="001639FF">
        <w:rPr>
          <w:lang w:val="fr-FR"/>
        </w:rPr>
        <w:t> </w:t>
      </w:r>
      <w:r>
        <w:rPr>
          <w:lang w:val="fr-FR"/>
        </w:rPr>
        <w:t>:</w:t>
      </w:r>
    </w:p>
    <w:p w14:paraId="46A3F6C5" w14:textId="77777777" w:rsidR="00A73F28" w:rsidRPr="00DD1D4D" w:rsidRDefault="00A73F28" w:rsidP="00F73B49">
      <w:pPr>
        <w:pStyle w:val="SingleTxtG"/>
        <w:tabs>
          <w:tab w:val="left" w:pos="6379"/>
        </w:tabs>
        <w:ind w:left="6662" w:hanging="4394"/>
        <w:rPr>
          <w:iCs/>
        </w:rPr>
      </w:pPr>
      <w:r>
        <w:rPr>
          <w:lang w:val="fr-FR"/>
        </w:rPr>
        <w:t>Surpression</w:t>
      </w:r>
      <w:r>
        <w:rPr>
          <w:lang w:val="fr-FR"/>
        </w:rPr>
        <w:tab/>
        <w:t>Annexe</w:t>
      </w:r>
      <w:r w:rsidR="00F73B49">
        <w:rPr>
          <w:lang w:val="fr-FR"/>
        </w:rPr>
        <w:t> </w:t>
      </w:r>
      <w:r>
        <w:rPr>
          <w:lang w:val="fr-FR"/>
        </w:rPr>
        <w:t>15, par.</w:t>
      </w:r>
      <w:r w:rsidR="00F73B49">
        <w:rPr>
          <w:lang w:val="fr-FR"/>
        </w:rPr>
        <w:t> </w:t>
      </w:r>
      <w:r>
        <w:rPr>
          <w:lang w:val="fr-FR"/>
        </w:rPr>
        <w:t>4.</w:t>
      </w:r>
    </w:p>
    <w:p w14:paraId="1B3EC2CE" w14:textId="77777777" w:rsidR="00A73F28" w:rsidRPr="00DD1D4D" w:rsidRDefault="00A73F28" w:rsidP="00F73B49">
      <w:pPr>
        <w:pStyle w:val="SingleTxtG"/>
        <w:ind w:left="5103" w:hanging="2835"/>
        <w:rPr>
          <w:iCs/>
        </w:rPr>
      </w:pPr>
      <w:r w:rsidRPr="00DD1D4D">
        <w:rPr>
          <w:iCs/>
        </w:rPr>
        <w:t>...</w:t>
      </w:r>
    </w:p>
    <w:p w14:paraId="51C40724" w14:textId="77777777" w:rsidR="00A73F28" w:rsidRPr="00DD1D4D" w:rsidRDefault="00A73F28" w:rsidP="00F73B49">
      <w:pPr>
        <w:pStyle w:val="SingleTxtG"/>
        <w:tabs>
          <w:tab w:val="left" w:pos="6379"/>
        </w:tabs>
        <w:ind w:left="6662" w:hanging="4394"/>
        <w:rPr>
          <w:iCs/>
        </w:rPr>
      </w:pPr>
      <w:r>
        <w:rPr>
          <w:lang w:val="fr-FR"/>
        </w:rPr>
        <w:t>Cycle thermique</w:t>
      </w:r>
      <w:r>
        <w:rPr>
          <w:lang w:val="fr-FR"/>
        </w:rPr>
        <w:tab/>
        <w:t>Annexe</w:t>
      </w:r>
      <w:r w:rsidR="00F73B49">
        <w:rPr>
          <w:lang w:val="fr-FR"/>
        </w:rPr>
        <w:t> </w:t>
      </w:r>
      <w:r>
        <w:rPr>
          <w:lang w:val="fr-FR"/>
        </w:rPr>
        <w:t>15, par.</w:t>
      </w:r>
      <w:r w:rsidR="00F73B49">
        <w:rPr>
          <w:lang w:val="fr-FR"/>
        </w:rPr>
        <w:t> </w:t>
      </w:r>
      <w:r>
        <w:rPr>
          <w:lang w:val="fr-FR"/>
        </w:rPr>
        <w:t>16**.</w:t>
      </w:r>
    </w:p>
    <w:p w14:paraId="6852D3A8" w14:textId="77777777" w:rsidR="00A73F28" w:rsidRPr="004734EB" w:rsidRDefault="00A73F28" w:rsidP="00F73B49">
      <w:pPr>
        <w:pStyle w:val="SingleTxtG"/>
        <w:tabs>
          <w:tab w:val="left" w:pos="6379"/>
        </w:tabs>
        <w:ind w:left="2268"/>
        <w:jc w:val="left"/>
        <w:rPr>
          <w:iCs/>
        </w:rPr>
      </w:pPr>
      <w:r>
        <w:rPr>
          <w:b/>
          <w:bCs/>
          <w:lang w:val="fr-FR"/>
        </w:rPr>
        <w:t>Essai sur un matériau non métallique</w:t>
      </w:r>
      <w:r w:rsidR="00F73B49">
        <w:rPr>
          <w:b/>
          <w:bCs/>
          <w:lang w:val="fr-FR"/>
        </w:rPr>
        <w:br/>
      </w:r>
      <w:r>
        <w:rPr>
          <w:b/>
          <w:bCs/>
          <w:lang w:val="fr-FR"/>
        </w:rPr>
        <w:t>à l’intérieur</w:t>
      </w:r>
      <w:r w:rsidR="00F73B49">
        <w:rPr>
          <w:b/>
          <w:bCs/>
          <w:lang w:val="fr-FR"/>
        </w:rPr>
        <w:t xml:space="preserve"> </w:t>
      </w:r>
      <w:r>
        <w:rPr>
          <w:b/>
          <w:bCs/>
          <w:lang w:val="fr-FR"/>
        </w:rPr>
        <w:t>d’un réservoir</w:t>
      </w:r>
      <w:r>
        <w:rPr>
          <w:lang w:val="fr-FR"/>
        </w:rPr>
        <w:tab/>
      </w:r>
      <w:r>
        <w:rPr>
          <w:b/>
          <w:bCs/>
          <w:lang w:val="fr-FR"/>
        </w:rPr>
        <w:t>Annexe 15, par. 18</w:t>
      </w:r>
      <w:r w:rsidRPr="004734EB">
        <w:rPr>
          <w:bCs/>
          <w:lang w:val="fr-FR"/>
        </w:rPr>
        <w:t>**</w:t>
      </w:r>
      <w:r w:rsidR="00EE35B9">
        <w:rPr>
          <w:bCs/>
          <w:lang w:val="fr-FR"/>
        </w:rPr>
        <w:t>.</w:t>
      </w:r>
      <w:r w:rsidRPr="004734EB">
        <w:rPr>
          <w:bCs/>
          <w:lang w:val="fr-FR"/>
        </w:rPr>
        <w:t> »</w:t>
      </w:r>
      <w:r w:rsidR="00F73B49">
        <w:rPr>
          <w:bCs/>
          <w:lang w:val="fr-FR"/>
        </w:rPr>
        <w:t>.</w:t>
      </w:r>
    </w:p>
    <w:p w14:paraId="4C8EBD3B" w14:textId="77777777" w:rsidR="00A73F28" w:rsidRPr="00DD1D4D" w:rsidRDefault="00A73F28" w:rsidP="001639FF">
      <w:pPr>
        <w:pStyle w:val="SingleTxtG"/>
        <w:keepNext/>
        <w:rPr>
          <w:i/>
        </w:rPr>
      </w:pPr>
      <w:r w:rsidRPr="004734EB">
        <w:rPr>
          <w:i/>
          <w:lang w:val="fr-FR"/>
        </w:rPr>
        <w:t>Paragraphe 7</w:t>
      </w:r>
      <w:r>
        <w:rPr>
          <w:lang w:val="fr-FR"/>
        </w:rPr>
        <w:t>, lire</w:t>
      </w:r>
      <w:r w:rsidR="00F73B49">
        <w:rPr>
          <w:lang w:val="fr-FR"/>
        </w:rPr>
        <w:t> </w:t>
      </w:r>
      <w:r>
        <w:rPr>
          <w:lang w:val="fr-FR"/>
        </w:rPr>
        <w:t>:</w:t>
      </w:r>
    </w:p>
    <w:p w14:paraId="1AFE5B2D" w14:textId="77777777" w:rsidR="00A73F28" w:rsidRPr="008F3A08" w:rsidRDefault="00F73B49" w:rsidP="00F73B49">
      <w:pPr>
        <w:pStyle w:val="SingleTxtG"/>
        <w:ind w:left="2268" w:hanging="1134"/>
        <w:rPr>
          <w:bCs/>
          <w:iCs/>
        </w:rPr>
      </w:pPr>
      <w:r>
        <w:rPr>
          <w:lang w:val="fr-FR"/>
        </w:rPr>
        <w:t>« </w:t>
      </w:r>
      <w:r w:rsidR="00A73F28">
        <w:rPr>
          <w:lang w:val="fr-FR"/>
        </w:rPr>
        <w:t>7.</w:t>
      </w:r>
      <w:r w:rsidR="00A73F28">
        <w:rPr>
          <w:lang w:val="fr-FR"/>
        </w:rPr>
        <w:tab/>
      </w:r>
      <w:r w:rsidR="00A73F28">
        <w:rPr>
          <w:lang w:val="fr-FR"/>
        </w:rPr>
        <w:tab/>
        <w:t xml:space="preserve">Prescriptions relatives à l’homologation du dispositif de décompression (fusible) </w:t>
      </w:r>
      <w:r w:rsidR="00A73F28">
        <w:rPr>
          <w:b/>
          <w:bCs/>
          <w:lang w:val="fr-FR"/>
        </w:rPr>
        <w:t>et des composants reliant le dispositif de décompression à la phase gazeuse à l’intérieur du réservoir de GPL</w:t>
      </w:r>
      <w:r w:rsidR="008F3A08">
        <w:rPr>
          <w:bCs/>
          <w:lang w:val="fr-FR"/>
        </w:rPr>
        <w:t> ».</w:t>
      </w:r>
    </w:p>
    <w:p w14:paraId="2AFC7F8D" w14:textId="77777777" w:rsidR="00A73F28" w:rsidRPr="00DD1D4D" w:rsidRDefault="00A73F28" w:rsidP="001639FF">
      <w:pPr>
        <w:pStyle w:val="SingleTxtG"/>
        <w:keepNext/>
        <w:rPr>
          <w:i/>
        </w:rPr>
      </w:pPr>
      <w:r w:rsidRPr="004734EB">
        <w:rPr>
          <w:i/>
          <w:lang w:val="fr-FR"/>
        </w:rPr>
        <w:t>Paragraphe 7.6</w:t>
      </w:r>
      <w:r w:rsidRPr="00F73B49">
        <w:rPr>
          <w:lang w:val="fr-FR"/>
        </w:rPr>
        <w:t xml:space="preserve">, </w:t>
      </w:r>
      <w:r>
        <w:rPr>
          <w:lang w:val="fr-FR"/>
        </w:rPr>
        <w:t>modifier comme suit (en insérant aussi un nouvel appel de note existante</w:t>
      </w:r>
      <w:r w:rsidR="00F73B49">
        <w:rPr>
          <w:lang w:val="fr-FR"/>
        </w:rPr>
        <w:t> </w:t>
      </w:r>
      <w:r>
        <w:rPr>
          <w:lang w:val="fr-FR"/>
        </w:rPr>
        <w:t>**)</w:t>
      </w:r>
      <w:r w:rsidR="00F73B49">
        <w:rPr>
          <w:lang w:val="fr-FR"/>
        </w:rPr>
        <w:t> </w:t>
      </w:r>
      <w:r>
        <w:rPr>
          <w:lang w:val="fr-FR"/>
        </w:rPr>
        <w:t>:</w:t>
      </w:r>
    </w:p>
    <w:p w14:paraId="33B61286" w14:textId="77777777" w:rsidR="00A73F28" w:rsidRPr="00DD1D4D" w:rsidRDefault="00F73B49" w:rsidP="00F73B49">
      <w:pPr>
        <w:pStyle w:val="SingleTxtG"/>
        <w:ind w:left="2268" w:hanging="1134"/>
        <w:rPr>
          <w:iCs/>
        </w:rPr>
      </w:pPr>
      <w:r>
        <w:rPr>
          <w:lang w:val="fr-FR"/>
        </w:rPr>
        <w:t>« </w:t>
      </w:r>
      <w:r w:rsidR="00A73F28">
        <w:rPr>
          <w:lang w:val="fr-FR"/>
        </w:rPr>
        <w:t>7.6</w:t>
      </w:r>
      <w:r w:rsidR="00A73F28">
        <w:rPr>
          <w:lang w:val="fr-FR"/>
        </w:rPr>
        <w:tab/>
        <w:t>Procédures d’essai à appliquer</w:t>
      </w:r>
      <w:r>
        <w:rPr>
          <w:lang w:val="fr-FR"/>
        </w:rPr>
        <w:t> </w:t>
      </w:r>
      <w:r w:rsidR="00A73F28">
        <w:rPr>
          <w:lang w:val="fr-FR"/>
        </w:rPr>
        <w:t>:</w:t>
      </w:r>
    </w:p>
    <w:p w14:paraId="6AF17166" w14:textId="77777777" w:rsidR="00A73F28" w:rsidRPr="00DD1D4D" w:rsidRDefault="00A73F28" w:rsidP="00F73B49">
      <w:pPr>
        <w:pStyle w:val="SingleTxtG"/>
        <w:tabs>
          <w:tab w:val="left" w:pos="6379"/>
        </w:tabs>
        <w:ind w:left="6662" w:hanging="4394"/>
        <w:rPr>
          <w:iCs/>
        </w:rPr>
      </w:pPr>
      <w:r>
        <w:rPr>
          <w:lang w:val="fr-FR"/>
        </w:rPr>
        <w:t>Surpression</w:t>
      </w:r>
      <w:r>
        <w:rPr>
          <w:lang w:val="fr-FR"/>
        </w:rPr>
        <w:tab/>
        <w:t>Annexe</w:t>
      </w:r>
      <w:r w:rsidR="00F73B49">
        <w:rPr>
          <w:lang w:val="fr-FR"/>
        </w:rPr>
        <w:t> </w:t>
      </w:r>
      <w:r>
        <w:rPr>
          <w:lang w:val="fr-FR"/>
        </w:rPr>
        <w:t>15, par.</w:t>
      </w:r>
      <w:r w:rsidR="00F73B49">
        <w:rPr>
          <w:lang w:val="fr-FR"/>
        </w:rPr>
        <w:t> </w:t>
      </w:r>
      <w:r>
        <w:rPr>
          <w:lang w:val="fr-FR"/>
        </w:rPr>
        <w:t>4.</w:t>
      </w:r>
    </w:p>
    <w:p w14:paraId="4B984446" w14:textId="77777777" w:rsidR="00A73F28" w:rsidRPr="00DD1D4D" w:rsidRDefault="00A73F28" w:rsidP="00F73B49">
      <w:pPr>
        <w:pStyle w:val="SingleTxtG"/>
        <w:ind w:left="5103" w:hanging="2835"/>
        <w:rPr>
          <w:iCs/>
        </w:rPr>
      </w:pPr>
      <w:r w:rsidRPr="00DD1D4D">
        <w:rPr>
          <w:iCs/>
        </w:rPr>
        <w:t>...</w:t>
      </w:r>
    </w:p>
    <w:p w14:paraId="2B8012C3" w14:textId="77777777" w:rsidR="00A73F28" w:rsidRPr="00DD1D4D" w:rsidRDefault="00A73F28" w:rsidP="00F73B49">
      <w:pPr>
        <w:pStyle w:val="SingleTxtG"/>
        <w:tabs>
          <w:tab w:val="left" w:pos="6379"/>
        </w:tabs>
        <w:ind w:left="6662" w:hanging="4394"/>
        <w:rPr>
          <w:iCs/>
        </w:rPr>
      </w:pPr>
      <w:r>
        <w:rPr>
          <w:lang w:val="fr-FR"/>
        </w:rPr>
        <w:t>Cycles de température</w:t>
      </w:r>
      <w:r>
        <w:rPr>
          <w:lang w:val="fr-FR"/>
        </w:rPr>
        <w:tab/>
        <w:t>Annexe</w:t>
      </w:r>
      <w:r w:rsidR="00F73B49">
        <w:rPr>
          <w:lang w:val="fr-FR"/>
        </w:rPr>
        <w:t> </w:t>
      </w:r>
      <w:r>
        <w:rPr>
          <w:lang w:val="fr-FR"/>
        </w:rPr>
        <w:t>15, par.</w:t>
      </w:r>
      <w:r w:rsidR="00F73B49">
        <w:rPr>
          <w:lang w:val="fr-FR"/>
        </w:rPr>
        <w:t> </w:t>
      </w:r>
      <w:r>
        <w:rPr>
          <w:lang w:val="fr-FR"/>
        </w:rPr>
        <w:t>16**.</w:t>
      </w:r>
    </w:p>
    <w:p w14:paraId="6B5C9ACE" w14:textId="77777777" w:rsidR="00A73F28" w:rsidRPr="00DD1D4D" w:rsidRDefault="00A73F28" w:rsidP="00F73B49">
      <w:pPr>
        <w:pStyle w:val="SingleTxtG"/>
        <w:tabs>
          <w:tab w:val="left" w:pos="6379"/>
        </w:tabs>
        <w:ind w:left="2268"/>
        <w:jc w:val="left"/>
        <w:rPr>
          <w:b/>
          <w:bCs/>
          <w:iCs/>
        </w:rPr>
      </w:pPr>
      <w:r w:rsidRPr="001B4610">
        <w:rPr>
          <w:b/>
          <w:lang w:val="fr-FR"/>
        </w:rPr>
        <w:t>Essai sur un matériau non métallique</w:t>
      </w:r>
      <w:r w:rsidR="00F73B49">
        <w:rPr>
          <w:b/>
          <w:lang w:val="fr-FR"/>
        </w:rPr>
        <w:br/>
      </w:r>
      <w:r w:rsidRPr="001B4610">
        <w:rPr>
          <w:b/>
          <w:lang w:val="fr-FR"/>
        </w:rPr>
        <w:t>à l</w:t>
      </w:r>
      <w:r>
        <w:rPr>
          <w:b/>
          <w:lang w:val="fr-FR"/>
        </w:rPr>
        <w:t>’</w:t>
      </w:r>
      <w:r w:rsidRPr="001B4610">
        <w:rPr>
          <w:b/>
          <w:lang w:val="fr-FR"/>
        </w:rPr>
        <w:t>intérieur d</w:t>
      </w:r>
      <w:r>
        <w:rPr>
          <w:b/>
          <w:lang w:val="fr-FR"/>
        </w:rPr>
        <w:t>’</w:t>
      </w:r>
      <w:r w:rsidRPr="001B4610">
        <w:rPr>
          <w:b/>
          <w:lang w:val="fr-FR"/>
        </w:rPr>
        <w:t>un réservoir</w:t>
      </w:r>
      <w:r w:rsidRPr="001B4610">
        <w:rPr>
          <w:b/>
          <w:lang w:val="fr-FR"/>
        </w:rPr>
        <w:tab/>
        <w:t>Annexe</w:t>
      </w:r>
      <w:r w:rsidR="00F73B49">
        <w:rPr>
          <w:b/>
          <w:lang w:val="fr-FR"/>
        </w:rPr>
        <w:t> </w:t>
      </w:r>
      <w:r w:rsidRPr="001B4610">
        <w:rPr>
          <w:b/>
          <w:lang w:val="fr-FR"/>
        </w:rPr>
        <w:t>15, par</w:t>
      </w:r>
      <w:r>
        <w:rPr>
          <w:b/>
          <w:lang w:val="fr-FR"/>
        </w:rPr>
        <w:t>.</w:t>
      </w:r>
      <w:r w:rsidR="00F73B49">
        <w:rPr>
          <w:b/>
          <w:lang w:val="fr-FR"/>
        </w:rPr>
        <w:t> </w:t>
      </w:r>
      <w:r w:rsidRPr="001B4610">
        <w:rPr>
          <w:b/>
          <w:lang w:val="fr-FR"/>
        </w:rPr>
        <w:t>18</w:t>
      </w:r>
      <w:r>
        <w:rPr>
          <w:lang w:val="fr-FR"/>
        </w:rPr>
        <w:t>**</w:t>
      </w:r>
      <w:r w:rsidR="008F3A08">
        <w:rPr>
          <w:lang w:val="fr-FR"/>
        </w:rPr>
        <w:t>.</w:t>
      </w:r>
      <w:r w:rsidR="00F73B49">
        <w:rPr>
          <w:lang w:val="fr-FR"/>
        </w:rPr>
        <w:t> ».</w:t>
      </w:r>
    </w:p>
    <w:p w14:paraId="5AABB41D" w14:textId="77777777" w:rsidR="00A73F28" w:rsidRPr="00DD1D4D" w:rsidRDefault="00A73F28" w:rsidP="001639FF">
      <w:pPr>
        <w:pStyle w:val="SingleTxtG"/>
        <w:keepNext/>
        <w:rPr>
          <w:b/>
          <w:bCs/>
          <w:iCs/>
        </w:rPr>
      </w:pPr>
      <w:r w:rsidRPr="001B4610">
        <w:rPr>
          <w:i/>
          <w:lang w:val="fr-FR"/>
        </w:rPr>
        <w:t>Annexe</w:t>
      </w:r>
      <w:r w:rsidR="00F73B49">
        <w:rPr>
          <w:i/>
          <w:lang w:val="fr-FR"/>
        </w:rPr>
        <w:t> </w:t>
      </w:r>
      <w:r w:rsidRPr="001B4610">
        <w:rPr>
          <w:i/>
          <w:lang w:val="fr-FR"/>
        </w:rPr>
        <w:t>15, ajouter les nouveaux paragraphes</w:t>
      </w:r>
      <w:r w:rsidR="00F73B49">
        <w:rPr>
          <w:i/>
          <w:lang w:val="fr-FR"/>
        </w:rPr>
        <w:t> </w:t>
      </w:r>
      <w:r w:rsidRPr="001B4610">
        <w:rPr>
          <w:i/>
          <w:lang w:val="fr-FR"/>
        </w:rPr>
        <w:t>18 à 18.3.2</w:t>
      </w:r>
      <w:r w:rsidRPr="00F73B49">
        <w:rPr>
          <w:lang w:val="fr-FR"/>
        </w:rPr>
        <w:t xml:space="preserve">, </w:t>
      </w:r>
      <w:r>
        <w:rPr>
          <w:lang w:val="fr-FR"/>
        </w:rPr>
        <w:t>libellés comme suit</w:t>
      </w:r>
      <w:r w:rsidR="00F73B49">
        <w:rPr>
          <w:lang w:val="fr-FR"/>
        </w:rPr>
        <w:t> </w:t>
      </w:r>
      <w:r>
        <w:rPr>
          <w:lang w:val="fr-FR"/>
        </w:rPr>
        <w:t>:</w:t>
      </w:r>
    </w:p>
    <w:p w14:paraId="0829B04E" w14:textId="77777777" w:rsidR="00A73F28" w:rsidRPr="00DD1D4D" w:rsidRDefault="00A73F28" w:rsidP="0099442A">
      <w:pPr>
        <w:pStyle w:val="SingleTxtG"/>
        <w:ind w:left="2268" w:hanging="1134"/>
        <w:rPr>
          <w:b/>
          <w:bCs/>
          <w:iCs/>
        </w:rPr>
      </w:pPr>
      <w:r>
        <w:rPr>
          <w:lang w:val="fr-FR"/>
        </w:rPr>
        <w:t>« </w:t>
      </w:r>
      <w:r w:rsidRPr="001B4610">
        <w:rPr>
          <w:b/>
          <w:lang w:val="fr-FR"/>
        </w:rPr>
        <w:t>18.</w:t>
      </w:r>
      <w:r>
        <w:rPr>
          <w:lang w:val="fr-FR"/>
        </w:rPr>
        <w:tab/>
      </w:r>
      <w:r>
        <w:rPr>
          <w:lang w:val="fr-FR"/>
        </w:rPr>
        <w:tab/>
      </w:r>
      <w:r>
        <w:rPr>
          <w:b/>
          <w:bCs/>
          <w:lang w:val="fr-FR"/>
        </w:rPr>
        <w:t>Essai sur un matériau non métallique à l’intérieur d’un réservoir</w:t>
      </w:r>
    </w:p>
    <w:p w14:paraId="425D45CD" w14:textId="77777777" w:rsidR="00A73F28" w:rsidRPr="00DD1D4D" w:rsidRDefault="00A73F28" w:rsidP="0099442A">
      <w:pPr>
        <w:pStyle w:val="SingleTxtG"/>
        <w:ind w:left="2268"/>
        <w:rPr>
          <w:b/>
          <w:bCs/>
          <w:iCs/>
        </w:rPr>
      </w:pPr>
      <w:r>
        <w:rPr>
          <w:lang w:val="fr-FR"/>
        </w:rPr>
        <w:tab/>
      </w:r>
      <w:r>
        <w:rPr>
          <w:b/>
          <w:bCs/>
          <w:lang w:val="fr-FR"/>
        </w:rPr>
        <w:t>Tous les composants raccordant la soupape de surpression et/ou le dispositif de surpression à la phase gazeuse du réservoir de GPL doivent être éprouvés conformément à la procédure suivante.</w:t>
      </w:r>
    </w:p>
    <w:p w14:paraId="0F4B9C6C" w14:textId="77777777" w:rsidR="00A73F28" w:rsidRPr="00DD1D4D" w:rsidRDefault="00A73F28" w:rsidP="0099442A">
      <w:pPr>
        <w:pStyle w:val="SingleTxtG"/>
        <w:ind w:left="2268"/>
        <w:rPr>
          <w:b/>
          <w:bCs/>
          <w:iCs/>
        </w:rPr>
      </w:pPr>
      <w:r>
        <w:rPr>
          <w:lang w:val="fr-FR"/>
        </w:rPr>
        <w:tab/>
      </w:r>
      <w:r>
        <w:rPr>
          <w:b/>
          <w:bCs/>
          <w:lang w:val="fr-FR"/>
        </w:rPr>
        <w:t xml:space="preserve">Les essais seront effectués sur deux échantillons, </w:t>
      </w:r>
      <w:r w:rsidR="0099442A" w:rsidRPr="0099442A">
        <w:rPr>
          <w:b/>
          <w:bCs/>
        </w:rPr>
        <w:t>“</w:t>
      </w:r>
      <w:r>
        <w:rPr>
          <w:b/>
          <w:bCs/>
          <w:lang w:val="fr-FR"/>
        </w:rPr>
        <w:t>a</w:t>
      </w:r>
      <w:r w:rsidR="0099442A" w:rsidRPr="0099442A">
        <w:rPr>
          <w:b/>
          <w:bCs/>
        </w:rPr>
        <w:t>”</w:t>
      </w:r>
      <w:r>
        <w:rPr>
          <w:b/>
          <w:bCs/>
          <w:lang w:val="fr-FR"/>
        </w:rPr>
        <w:t xml:space="preserve"> et </w:t>
      </w:r>
      <w:r w:rsidR="0099442A" w:rsidRPr="0099442A">
        <w:rPr>
          <w:b/>
          <w:bCs/>
        </w:rPr>
        <w:t>“</w:t>
      </w:r>
      <w:r>
        <w:rPr>
          <w:b/>
          <w:bCs/>
          <w:lang w:val="fr-FR"/>
        </w:rPr>
        <w:t>b</w:t>
      </w:r>
      <w:r w:rsidR="0099442A" w:rsidRPr="0099442A">
        <w:rPr>
          <w:b/>
          <w:bCs/>
        </w:rPr>
        <w:t>”</w:t>
      </w:r>
      <w:r w:rsidR="0099442A">
        <w:rPr>
          <w:b/>
          <w:bCs/>
          <w:lang w:val="fr-FR"/>
        </w:rPr>
        <w:t> </w:t>
      </w:r>
      <w:r>
        <w:rPr>
          <w:b/>
          <w:bCs/>
          <w:lang w:val="fr-FR"/>
        </w:rPr>
        <w:t>:</w:t>
      </w:r>
    </w:p>
    <w:p w14:paraId="62BC91A1" w14:textId="77777777" w:rsidR="00A73F28" w:rsidRPr="00DD1D4D" w:rsidRDefault="00A73F28" w:rsidP="0099442A">
      <w:pPr>
        <w:pStyle w:val="SingleTxtG"/>
        <w:ind w:left="2268"/>
        <w:rPr>
          <w:b/>
          <w:bCs/>
          <w:iCs/>
        </w:rPr>
      </w:pPr>
      <w:r>
        <w:rPr>
          <w:lang w:val="fr-FR"/>
        </w:rPr>
        <w:tab/>
      </w:r>
      <w:r>
        <w:rPr>
          <w:b/>
          <w:bCs/>
          <w:lang w:val="fr-FR"/>
        </w:rPr>
        <w:t xml:space="preserve">L’échantillon </w:t>
      </w:r>
      <w:r w:rsidR="0099442A" w:rsidRPr="0099442A">
        <w:rPr>
          <w:b/>
          <w:bCs/>
        </w:rPr>
        <w:t>“</w:t>
      </w:r>
      <w:r w:rsidR="0099442A">
        <w:rPr>
          <w:b/>
          <w:bCs/>
          <w:lang w:val="fr-FR"/>
        </w:rPr>
        <w:t>a</w:t>
      </w:r>
      <w:r w:rsidR="0099442A" w:rsidRPr="0099442A">
        <w:rPr>
          <w:b/>
          <w:bCs/>
        </w:rPr>
        <w:t>”</w:t>
      </w:r>
      <w:r w:rsidR="0099442A">
        <w:rPr>
          <w:b/>
          <w:bCs/>
          <w:lang w:val="fr-FR"/>
        </w:rPr>
        <w:t xml:space="preserve"> </w:t>
      </w:r>
      <w:r>
        <w:rPr>
          <w:b/>
          <w:bCs/>
          <w:lang w:val="fr-FR"/>
        </w:rPr>
        <w:t>est vieilli conformément au paragraphe</w:t>
      </w:r>
      <w:r w:rsidR="0099442A">
        <w:rPr>
          <w:b/>
          <w:bCs/>
          <w:lang w:val="fr-FR"/>
        </w:rPr>
        <w:t> </w:t>
      </w:r>
      <w:r>
        <w:rPr>
          <w:b/>
          <w:bCs/>
          <w:lang w:val="fr-FR"/>
        </w:rPr>
        <w:t>18.1.1 ou 18.1.2.</w:t>
      </w:r>
    </w:p>
    <w:p w14:paraId="772BC8BE" w14:textId="77777777" w:rsidR="00A73F28" w:rsidRPr="00DD1D4D" w:rsidRDefault="00A73F28" w:rsidP="0099442A">
      <w:pPr>
        <w:pStyle w:val="SingleTxtG"/>
        <w:ind w:left="2268"/>
        <w:rPr>
          <w:b/>
          <w:bCs/>
          <w:iCs/>
        </w:rPr>
      </w:pPr>
      <w:r>
        <w:rPr>
          <w:lang w:val="fr-FR"/>
        </w:rPr>
        <w:lastRenderedPageBreak/>
        <w:tab/>
      </w:r>
      <w:r>
        <w:rPr>
          <w:b/>
          <w:bCs/>
          <w:lang w:val="fr-FR"/>
        </w:rPr>
        <w:t xml:space="preserve">L’échantillon vieilli </w:t>
      </w:r>
      <w:r w:rsidR="0099442A" w:rsidRPr="0099442A">
        <w:rPr>
          <w:b/>
          <w:bCs/>
        </w:rPr>
        <w:t>“</w:t>
      </w:r>
      <w:r w:rsidR="0099442A">
        <w:rPr>
          <w:b/>
          <w:bCs/>
          <w:lang w:val="fr-FR"/>
        </w:rPr>
        <w:t>a</w:t>
      </w:r>
      <w:r w:rsidR="0099442A" w:rsidRPr="0099442A">
        <w:rPr>
          <w:b/>
          <w:bCs/>
        </w:rPr>
        <w:t>”</w:t>
      </w:r>
      <w:r w:rsidR="0099442A">
        <w:rPr>
          <w:b/>
          <w:bCs/>
          <w:lang w:val="fr-FR"/>
        </w:rPr>
        <w:t xml:space="preserve"> </w:t>
      </w:r>
      <w:r>
        <w:rPr>
          <w:b/>
          <w:bCs/>
          <w:lang w:val="fr-FR"/>
        </w:rPr>
        <w:t>doit subir l’essai de vibration conformément au paragraphe</w:t>
      </w:r>
      <w:r w:rsidR="0099442A">
        <w:rPr>
          <w:b/>
          <w:bCs/>
          <w:lang w:val="fr-FR"/>
        </w:rPr>
        <w:t> </w:t>
      </w:r>
      <w:r>
        <w:rPr>
          <w:b/>
          <w:bCs/>
          <w:lang w:val="fr-FR"/>
        </w:rPr>
        <w:t>18.2.</w:t>
      </w:r>
    </w:p>
    <w:p w14:paraId="65C11982" w14:textId="77777777" w:rsidR="00A73F28" w:rsidRPr="00DD1D4D" w:rsidRDefault="00A73F28" w:rsidP="0099442A">
      <w:pPr>
        <w:pStyle w:val="SingleTxtG"/>
        <w:ind w:left="2268"/>
        <w:rPr>
          <w:b/>
          <w:bCs/>
          <w:iCs/>
        </w:rPr>
      </w:pPr>
      <w:r>
        <w:rPr>
          <w:lang w:val="fr-FR"/>
        </w:rPr>
        <w:tab/>
      </w:r>
      <w:r>
        <w:rPr>
          <w:b/>
          <w:bCs/>
          <w:lang w:val="fr-FR"/>
        </w:rPr>
        <w:t xml:space="preserve">L’échantillon vierge </w:t>
      </w:r>
      <w:r w:rsidR="0099442A" w:rsidRPr="0099442A">
        <w:rPr>
          <w:b/>
          <w:bCs/>
        </w:rPr>
        <w:t>“</w:t>
      </w:r>
      <w:r w:rsidR="0099442A">
        <w:rPr>
          <w:b/>
          <w:bCs/>
          <w:lang w:val="fr-FR"/>
        </w:rPr>
        <w:t>b</w:t>
      </w:r>
      <w:r w:rsidR="0099442A" w:rsidRPr="0099442A">
        <w:rPr>
          <w:b/>
          <w:bCs/>
        </w:rPr>
        <w:t>”</w:t>
      </w:r>
      <w:r w:rsidR="0099442A">
        <w:rPr>
          <w:b/>
          <w:bCs/>
        </w:rPr>
        <w:t xml:space="preserve"> </w:t>
      </w:r>
      <w:r>
        <w:rPr>
          <w:b/>
          <w:bCs/>
          <w:lang w:val="fr-FR"/>
        </w:rPr>
        <w:t>est utilisé comme référence pour l’essai de débit conformément au paragraphe</w:t>
      </w:r>
      <w:r w:rsidR="0099442A">
        <w:rPr>
          <w:b/>
          <w:bCs/>
          <w:lang w:val="fr-FR"/>
        </w:rPr>
        <w:t> </w:t>
      </w:r>
      <w:r>
        <w:rPr>
          <w:b/>
          <w:bCs/>
          <w:lang w:val="fr-FR"/>
        </w:rPr>
        <w:t>18.3.</w:t>
      </w:r>
    </w:p>
    <w:p w14:paraId="3BFC6D10" w14:textId="77777777" w:rsidR="00A73F28" w:rsidRPr="00DD1D4D" w:rsidRDefault="00A73F28" w:rsidP="0099442A">
      <w:pPr>
        <w:pStyle w:val="SingleTxtG"/>
        <w:ind w:left="2268" w:hanging="1134"/>
        <w:rPr>
          <w:b/>
          <w:bCs/>
          <w:iCs/>
        </w:rPr>
      </w:pPr>
      <w:r w:rsidRPr="007705AA">
        <w:rPr>
          <w:b/>
          <w:lang w:val="fr-FR"/>
        </w:rPr>
        <w:t>18.1</w:t>
      </w:r>
      <w:r>
        <w:rPr>
          <w:lang w:val="fr-FR"/>
        </w:rPr>
        <w:tab/>
      </w:r>
      <w:r>
        <w:rPr>
          <w:lang w:val="fr-FR"/>
        </w:rPr>
        <w:tab/>
      </w:r>
      <w:r>
        <w:rPr>
          <w:b/>
          <w:bCs/>
          <w:lang w:val="fr-FR"/>
        </w:rPr>
        <w:t xml:space="preserve">Essais de vieillissement sur l’échantillon </w:t>
      </w:r>
      <w:r w:rsidR="0099442A" w:rsidRPr="0099442A">
        <w:rPr>
          <w:b/>
          <w:bCs/>
        </w:rPr>
        <w:t>“</w:t>
      </w:r>
      <w:r w:rsidR="0099442A">
        <w:rPr>
          <w:b/>
          <w:bCs/>
          <w:lang w:val="fr-FR"/>
        </w:rPr>
        <w:t>a</w:t>
      </w:r>
      <w:r w:rsidR="0099442A" w:rsidRPr="0099442A">
        <w:rPr>
          <w:b/>
          <w:bCs/>
        </w:rPr>
        <w:t>”</w:t>
      </w:r>
      <w:r w:rsidR="0099442A">
        <w:rPr>
          <w:b/>
          <w:bCs/>
        </w:rPr>
        <w:t>.</w:t>
      </w:r>
    </w:p>
    <w:p w14:paraId="5DF0DAAC" w14:textId="77777777" w:rsidR="00A73F28" w:rsidRPr="00DD1D4D" w:rsidRDefault="00A73F28" w:rsidP="00650C6C">
      <w:pPr>
        <w:pStyle w:val="SingleTxtG"/>
        <w:ind w:left="2268" w:hanging="1134"/>
        <w:rPr>
          <w:b/>
          <w:bCs/>
          <w:iCs/>
        </w:rPr>
      </w:pPr>
      <w:r w:rsidRPr="007705AA">
        <w:rPr>
          <w:b/>
          <w:lang w:val="fr-FR"/>
        </w:rPr>
        <w:t>18.1.1</w:t>
      </w:r>
      <w:r>
        <w:rPr>
          <w:lang w:val="fr-FR"/>
        </w:rPr>
        <w:tab/>
      </w:r>
      <w:r>
        <w:rPr>
          <w:b/>
          <w:bCs/>
          <w:lang w:val="fr-FR"/>
        </w:rPr>
        <w:t>Procédure de vieillissement 1 (composant démonté)</w:t>
      </w:r>
    </w:p>
    <w:p w14:paraId="7C01ECD8" w14:textId="77777777" w:rsidR="00A73F28" w:rsidRPr="00DD1D4D" w:rsidRDefault="00A73F28" w:rsidP="00864139">
      <w:pPr>
        <w:pStyle w:val="SingleTxtG"/>
        <w:ind w:left="2268" w:hanging="1134"/>
        <w:rPr>
          <w:b/>
          <w:bCs/>
          <w:iCs/>
        </w:rPr>
      </w:pPr>
      <w:r w:rsidRPr="007705AA">
        <w:rPr>
          <w:b/>
          <w:lang w:val="fr-FR"/>
        </w:rPr>
        <w:t>18.1.1.1</w:t>
      </w:r>
      <w:r>
        <w:rPr>
          <w:lang w:val="fr-FR"/>
        </w:rPr>
        <w:tab/>
      </w:r>
      <w:r>
        <w:rPr>
          <w:b/>
          <w:bCs/>
          <w:lang w:val="fr-FR"/>
        </w:rPr>
        <w:t>Démonter, selon les instructions du fabricant, tous les matériaux non métalliques du composant en contact avec le GPL liquide.</w:t>
      </w:r>
    </w:p>
    <w:p w14:paraId="70E81E0A" w14:textId="77777777" w:rsidR="00A73F28" w:rsidRPr="007705AA" w:rsidRDefault="00A73F28" w:rsidP="00864139">
      <w:pPr>
        <w:pStyle w:val="SingleTxtG"/>
        <w:ind w:left="2268" w:hanging="1134"/>
        <w:rPr>
          <w:b/>
          <w:bCs/>
          <w:iCs/>
        </w:rPr>
      </w:pPr>
      <w:r w:rsidRPr="007705AA">
        <w:rPr>
          <w:b/>
          <w:lang w:val="fr-FR"/>
        </w:rPr>
        <w:t>18.1.1.2</w:t>
      </w:r>
      <w:r>
        <w:rPr>
          <w:lang w:val="fr-FR"/>
        </w:rPr>
        <w:tab/>
      </w:r>
      <w:r>
        <w:rPr>
          <w:b/>
          <w:bCs/>
          <w:lang w:val="fr-FR"/>
        </w:rPr>
        <w:t xml:space="preserve">Vieillir les matériaux non métalliques en utilisant la description d’essai du </w:t>
      </w:r>
      <w:r w:rsidRPr="007705AA">
        <w:rPr>
          <w:b/>
          <w:bCs/>
          <w:lang w:val="fr-FR"/>
        </w:rPr>
        <w:t>paragraphe</w:t>
      </w:r>
      <w:r w:rsidR="00864139">
        <w:rPr>
          <w:b/>
          <w:bCs/>
          <w:lang w:val="fr-FR"/>
        </w:rPr>
        <w:t> </w:t>
      </w:r>
      <w:r w:rsidRPr="007705AA">
        <w:rPr>
          <w:b/>
          <w:bCs/>
          <w:lang w:val="fr-FR"/>
        </w:rPr>
        <w:t>11.1 de l</w:t>
      </w:r>
      <w:r>
        <w:rPr>
          <w:b/>
          <w:bCs/>
          <w:lang w:val="fr-FR"/>
        </w:rPr>
        <w:t>’</w:t>
      </w:r>
      <w:r w:rsidRPr="007705AA">
        <w:rPr>
          <w:b/>
          <w:bCs/>
          <w:lang w:val="fr-FR"/>
        </w:rPr>
        <w:t>annexe</w:t>
      </w:r>
      <w:r w:rsidR="00864139">
        <w:rPr>
          <w:b/>
          <w:bCs/>
          <w:lang w:val="fr-FR"/>
        </w:rPr>
        <w:t> </w:t>
      </w:r>
      <w:r w:rsidRPr="007705AA">
        <w:rPr>
          <w:b/>
          <w:bCs/>
          <w:lang w:val="fr-FR"/>
        </w:rPr>
        <w:t>15.</w:t>
      </w:r>
    </w:p>
    <w:p w14:paraId="13D56457" w14:textId="77777777" w:rsidR="00A73F28" w:rsidRPr="00DD1D4D" w:rsidRDefault="00A73F28" w:rsidP="00864139">
      <w:pPr>
        <w:pStyle w:val="SingleTxtG"/>
        <w:ind w:left="2268" w:hanging="1134"/>
        <w:rPr>
          <w:b/>
          <w:bCs/>
          <w:iCs/>
        </w:rPr>
      </w:pPr>
      <w:r w:rsidRPr="007705AA">
        <w:rPr>
          <w:b/>
          <w:lang w:val="fr-FR"/>
        </w:rPr>
        <w:t>18.1.1.3</w:t>
      </w:r>
      <w:r>
        <w:rPr>
          <w:lang w:val="fr-FR"/>
        </w:rPr>
        <w:tab/>
      </w:r>
      <w:r>
        <w:rPr>
          <w:b/>
          <w:bCs/>
          <w:lang w:val="fr-FR"/>
        </w:rPr>
        <w:t>Vérifier la conformité avec le paragraphe</w:t>
      </w:r>
      <w:r w:rsidR="00864139">
        <w:rPr>
          <w:b/>
          <w:bCs/>
          <w:lang w:val="fr-FR"/>
        </w:rPr>
        <w:t> </w:t>
      </w:r>
      <w:r>
        <w:rPr>
          <w:b/>
          <w:bCs/>
          <w:lang w:val="fr-FR"/>
        </w:rPr>
        <w:t>11.2 de l’annexe</w:t>
      </w:r>
      <w:r w:rsidR="00864139">
        <w:rPr>
          <w:b/>
          <w:bCs/>
          <w:lang w:val="fr-FR"/>
        </w:rPr>
        <w:t> </w:t>
      </w:r>
      <w:r>
        <w:rPr>
          <w:b/>
          <w:bCs/>
          <w:lang w:val="fr-FR"/>
        </w:rPr>
        <w:t>15.</w:t>
      </w:r>
    </w:p>
    <w:p w14:paraId="7C771712" w14:textId="77777777" w:rsidR="00A73F28" w:rsidRPr="00DD1D4D" w:rsidRDefault="00A73F28" w:rsidP="00864139">
      <w:pPr>
        <w:pStyle w:val="SingleTxtG"/>
        <w:ind w:left="2268" w:hanging="1134"/>
        <w:rPr>
          <w:b/>
          <w:bCs/>
          <w:iCs/>
        </w:rPr>
      </w:pPr>
      <w:r w:rsidRPr="007705AA">
        <w:rPr>
          <w:b/>
          <w:lang w:val="fr-FR"/>
        </w:rPr>
        <w:t>18.1.1.4</w:t>
      </w:r>
      <w:r>
        <w:rPr>
          <w:lang w:val="fr-FR"/>
        </w:rPr>
        <w:tab/>
      </w:r>
      <w:r>
        <w:rPr>
          <w:b/>
          <w:bCs/>
          <w:lang w:val="fr-FR"/>
        </w:rPr>
        <w:t>Remonter les matériaux non métalliques vieillis sur le composant en suivant les instructions du fabricant.</w:t>
      </w:r>
    </w:p>
    <w:p w14:paraId="7FBD19F3" w14:textId="77777777" w:rsidR="00A73F28" w:rsidRPr="00DD1D4D" w:rsidRDefault="00A73F28" w:rsidP="00864139">
      <w:pPr>
        <w:pStyle w:val="SingleTxtG"/>
        <w:ind w:left="2268" w:hanging="1134"/>
        <w:rPr>
          <w:b/>
          <w:bCs/>
          <w:iCs/>
        </w:rPr>
      </w:pPr>
      <w:r w:rsidRPr="007705AA">
        <w:rPr>
          <w:b/>
          <w:lang w:val="fr-FR"/>
        </w:rPr>
        <w:t>18.1.2</w:t>
      </w:r>
      <w:r>
        <w:rPr>
          <w:lang w:val="fr-FR"/>
        </w:rPr>
        <w:tab/>
      </w:r>
      <w:r>
        <w:rPr>
          <w:b/>
          <w:bCs/>
          <w:lang w:val="fr-FR"/>
        </w:rPr>
        <w:t>Procédure de vieillissement 2 (composant entier)</w:t>
      </w:r>
    </w:p>
    <w:p w14:paraId="14998EC5" w14:textId="77777777" w:rsidR="00A73F28" w:rsidRPr="00DD1D4D" w:rsidRDefault="00A73F28" w:rsidP="00864139">
      <w:pPr>
        <w:pStyle w:val="SingleTxtG"/>
        <w:ind w:left="2268" w:hanging="1134"/>
        <w:rPr>
          <w:b/>
          <w:bCs/>
          <w:iCs/>
        </w:rPr>
      </w:pPr>
      <w:r w:rsidRPr="007705AA">
        <w:rPr>
          <w:b/>
          <w:lang w:val="fr-FR"/>
        </w:rPr>
        <w:t>18.1.2.1</w:t>
      </w:r>
      <w:r w:rsidRPr="007705AA">
        <w:rPr>
          <w:b/>
          <w:lang w:val="fr-FR"/>
        </w:rPr>
        <w:tab/>
      </w:r>
      <w:r>
        <w:rPr>
          <w:b/>
          <w:bCs/>
          <w:lang w:val="fr-FR"/>
        </w:rPr>
        <w:t>Exposer le composant entier au n-pentane conformément au paragraphe</w:t>
      </w:r>
      <w:r w:rsidR="00864139">
        <w:rPr>
          <w:b/>
          <w:bCs/>
          <w:lang w:val="fr-FR"/>
        </w:rPr>
        <w:t> </w:t>
      </w:r>
      <w:r>
        <w:rPr>
          <w:b/>
          <w:bCs/>
          <w:lang w:val="fr-FR"/>
        </w:rPr>
        <w:t>11.1 de l’annexe</w:t>
      </w:r>
      <w:r w:rsidR="00864139">
        <w:rPr>
          <w:b/>
          <w:bCs/>
          <w:lang w:val="fr-FR"/>
        </w:rPr>
        <w:t> </w:t>
      </w:r>
      <w:r>
        <w:rPr>
          <w:b/>
          <w:bCs/>
          <w:lang w:val="fr-FR"/>
        </w:rPr>
        <w:t>15.</w:t>
      </w:r>
    </w:p>
    <w:p w14:paraId="6206C90C" w14:textId="77777777" w:rsidR="00A73F28" w:rsidRPr="00DD1D4D" w:rsidRDefault="00A73F28" w:rsidP="00864139">
      <w:pPr>
        <w:pStyle w:val="SingleTxtG"/>
        <w:ind w:left="2268" w:hanging="1134"/>
        <w:rPr>
          <w:b/>
          <w:bCs/>
          <w:iCs/>
        </w:rPr>
      </w:pPr>
      <w:r w:rsidRPr="007705AA">
        <w:rPr>
          <w:b/>
          <w:lang w:val="fr-FR"/>
        </w:rPr>
        <w:t>18.1.2.2</w:t>
      </w:r>
      <w:r>
        <w:rPr>
          <w:lang w:val="fr-FR"/>
        </w:rPr>
        <w:tab/>
      </w:r>
      <w:r>
        <w:rPr>
          <w:b/>
          <w:bCs/>
          <w:lang w:val="fr-FR"/>
        </w:rPr>
        <w:t>Vérifier la conformité avec le paragraphe</w:t>
      </w:r>
      <w:r w:rsidR="00864139">
        <w:rPr>
          <w:b/>
          <w:bCs/>
          <w:lang w:val="fr-FR"/>
        </w:rPr>
        <w:t> </w:t>
      </w:r>
      <w:r>
        <w:rPr>
          <w:b/>
          <w:bCs/>
          <w:lang w:val="fr-FR"/>
        </w:rPr>
        <w:t>11.2 de l’annexe</w:t>
      </w:r>
      <w:r w:rsidR="00864139">
        <w:rPr>
          <w:b/>
          <w:bCs/>
          <w:lang w:val="fr-FR"/>
        </w:rPr>
        <w:t> </w:t>
      </w:r>
      <w:r>
        <w:rPr>
          <w:b/>
          <w:bCs/>
          <w:lang w:val="fr-FR"/>
        </w:rPr>
        <w:t>15.</w:t>
      </w:r>
    </w:p>
    <w:p w14:paraId="395BB504" w14:textId="77777777" w:rsidR="00A73F28" w:rsidRPr="00DD1D4D" w:rsidRDefault="00A73F28" w:rsidP="00864139">
      <w:pPr>
        <w:pStyle w:val="SingleTxtG"/>
        <w:ind w:left="2268" w:hanging="1134"/>
        <w:rPr>
          <w:b/>
          <w:bCs/>
          <w:iCs/>
        </w:rPr>
      </w:pPr>
      <w:r w:rsidRPr="007705AA">
        <w:rPr>
          <w:b/>
          <w:lang w:val="fr-FR"/>
        </w:rPr>
        <w:t>18.2</w:t>
      </w:r>
      <w:r>
        <w:rPr>
          <w:lang w:val="fr-FR"/>
        </w:rPr>
        <w:tab/>
      </w:r>
      <w:r>
        <w:rPr>
          <w:b/>
          <w:bCs/>
          <w:lang w:val="fr-FR"/>
        </w:rPr>
        <w:t xml:space="preserve">Essai de vibration sur un échantillon vieilli </w:t>
      </w:r>
      <w:r w:rsidR="00864139" w:rsidRPr="0099442A">
        <w:rPr>
          <w:b/>
          <w:bCs/>
        </w:rPr>
        <w:t>“</w:t>
      </w:r>
      <w:r w:rsidR="00864139">
        <w:rPr>
          <w:b/>
          <w:bCs/>
          <w:lang w:val="fr-FR"/>
        </w:rPr>
        <w:t>a</w:t>
      </w:r>
      <w:r w:rsidR="00864139" w:rsidRPr="0099442A">
        <w:rPr>
          <w:b/>
          <w:bCs/>
        </w:rPr>
        <w:t>”</w:t>
      </w:r>
      <w:r>
        <w:rPr>
          <w:b/>
          <w:bCs/>
          <w:lang w:val="fr-FR"/>
        </w:rPr>
        <w:t>.</w:t>
      </w:r>
    </w:p>
    <w:p w14:paraId="0E3C2443" w14:textId="77777777" w:rsidR="00A73F28" w:rsidRPr="00DD1D4D" w:rsidRDefault="00A73F28" w:rsidP="00864139">
      <w:pPr>
        <w:pStyle w:val="SingleTxtG"/>
        <w:ind w:left="2268" w:hanging="1134"/>
        <w:rPr>
          <w:b/>
          <w:bCs/>
          <w:iCs/>
        </w:rPr>
      </w:pPr>
      <w:r w:rsidRPr="007705AA">
        <w:rPr>
          <w:b/>
          <w:lang w:val="fr-FR"/>
        </w:rPr>
        <w:t>18.2.1</w:t>
      </w:r>
      <w:r>
        <w:rPr>
          <w:lang w:val="fr-FR"/>
        </w:rPr>
        <w:tab/>
      </w:r>
      <w:r>
        <w:rPr>
          <w:b/>
          <w:bCs/>
          <w:lang w:val="fr-FR"/>
        </w:rPr>
        <w:t>Effectuer sur l’échantillon vieilli l’essai de vibration décrit au paragraphe</w:t>
      </w:r>
      <w:r w:rsidR="00864139">
        <w:rPr>
          <w:b/>
          <w:bCs/>
          <w:lang w:val="fr-FR"/>
        </w:rPr>
        <w:t> </w:t>
      </w:r>
      <w:r>
        <w:rPr>
          <w:b/>
          <w:bCs/>
          <w:lang w:val="fr-FR"/>
        </w:rPr>
        <w:t>10.5 de l’annexe</w:t>
      </w:r>
      <w:r w:rsidR="00864139">
        <w:rPr>
          <w:b/>
          <w:bCs/>
          <w:lang w:val="fr-FR"/>
        </w:rPr>
        <w:t> </w:t>
      </w:r>
      <w:r>
        <w:rPr>
          <w:b/>
          <w:bCs/>
          <w:lang w:val="fr-FR"/>
        </w:rPr>
        <w:t>15, procédure A ou B. L’échantillon doit satisfaire aux prescriptions d’essai énoncées au paragraphe</w:t>
      </w:r>
      <w:r w:rsidR="00864139">
        <w:rPr>
          <w:b/>
          <w:bCs/>
          <w:lang w:val="fr-FR"/>
        </w:rPr>
        <w:t> </w:t>
      </w:r>
      <w:r>
        <w:rPr>
          <w:b/>
          <w:bCs/>
          <w:lang w:val="fr-FR"/>
        </w:rPr>
        <w:t>10.5 de l’annexe</w:t>
      </w:r>
      <w:r w:rsidR="00864139">
        <w:rPr>
          <w:b/>
          <w:bCs/>
          <w:lang w:val="fr-FR"/>
        </w:rPr>
        <w:t> </w:t>
      </w:r>
      <w:r>
        <w:rPr>
          <w:b/>
          <w:bCs/>
          <w:lang w:val="fr-FR"/>
        </w:rPr>
        <w:t>15, procédure A ou B.</w:t>
      </w:r>
    </w:p>
    <w:p w14:paraId="3447CE98" w14:textId="77777777" w:rsidR="00A73F28" w:rsidRPr="00DD1D4D" w:rsidRDefault="00A73F28" w:rsidP="00864139">
      <w:pPr>
        <w:pStyle w:val="SingleTxtG"/>
        <w:ind w:left="2268" w:hanging="1134"/>
        <w:rPr>
          <w:b/>
          <w:bCs/>
          <w:iCs/>
        </w:rPr>
      </w:pPr>
      <w:r w:rsidRPr="007705AA">
        <w:rPr>
          <w:b/>
          <w:lang w:val="fr-FR"/>
        </w:rPr>
        <w:t>18.3</w:t>
      </w:r>
      <w:r>
        <w:rPr>
          <w:lang w:val="fr-FR"/>
        </w:rPr>
        <w:tab/>
      </w:r>
      <w:r>
        <w:rPr>
          <w:b/>
          <w:bCs/>
          <w:lang w:val="fr-FR"/>
        </w:rPr>
        <w:t xml:space="preserve">Essai de débit avec un réservoir fictif pour comparer l’échantillon </w:t>
      </w:r>
      <w:r w:rsidR="00864139" w:rsidRPr="0099442A">
        <w:rPr>
          <w:b/>
          <w:bCs/>
        </w:rPr>
        <w:t>“</w:t>
      </w:r>
      <w:r w:rsidR="00864139">
        <w:rPr>
          <w:b/>
          <w:bCs/>
          <w:lang w:val="fr-FR"/>
        </w:rPr>
        <w:t>a</w:t>
      </w:r>
      <w:r w:rsidR="00864139" w:rsidRPr="0099442A">
        <w:rPr>
          <w:b/>
          <w:bCs/>
        </w:rPr>
        <w:t>”</w:t>
      </w:r>
      <w:r w:rsidR="00864139">
        <w:rPr>
          <w:b/>
          <w:bCs/>
        </w:rPr>
        <w:t xml:space="preserve"> </w:t>
      </w:r>
      <w:r>
        <w:rPr>
          <w:b/>
          <w:bCs/>
          <w:lang w:val="fr-FR"/>
        </w:rPr>
        <w:t xml:space="preserve">et l’échantillon de référence </w:t>
      </w:r>
      <w:r w:rsidR="00864139" w:rsidRPr="0099442A">
        <w:rPr>
          <w:b/>
          <w:bCs/>
        </w:rPr>
        <w:t>“</w:t>
      </w:r>
      <w:r w:rsidR="00864139">
        <w:rPr>
          <w:b/>
          <w:bCs/>
          <w:lang w:val="fr-FR"/>
        </w:rPr>
        <w:t>b</w:t>
      </w:r>
      <w:r w:rsidR="00864139" w:rsidRPr="0099442A">
        <w:rPr>
          <w:b/>
          <w:bCs/>
        </w:rPr>
        <w:t>”</w:t>
      </w:r>
      <w:r w:rsidR="00864139">
        <w:rPr>
          <w:b/>
          <w:bCs/>
        </w:rPr>
        <w:t>.</w:t>
      </w:r>
    </w:p>
    <w:p w14:paraId="41CD7629" w14:textId="77777777" w:rsidR="00A73F28" w:rsidRPr="00DD1D4D" w:rsidRDefault="00A73F28" w:rsidP="00864139">
      <w:pPr>
        <w:pStyle w:val="SingleTxtG"/>
        <w:ind w:left="2268" w:hanging="1134"/>
        <w:rPr>
          <w:b/>
          <w:bCs/>
          <w:iCs/>
        </w:rPr>
      </w:pPr>
      <w:r w:rsidRPr="007705AA">
        <w:rPr>
          <w:b/>
          <w:lang w:val="fr-FR"/>
        </w:rPr>
        <w:t>18.3.1</w:t>
      </w:r>
      <w:r>
        <w:rPr>
          <w:lang w:val="fr-FR"/>
        </w:rPr>
        <w:tab/>
      </w:r>
      <w:r>
        <w:rPr>
          <w:b/>
          <w:bCs/>
          <w:lang w:val="fr-FR"/>
        </w:rPr>
        <w:t>Effectuer pour les deux échantillons l’essai de débit conformément au paragraphe</w:t>
      </w:r>
      <w:r w:rsidR="00864139">
        <w:rPr>
          <w:b/>
          <w:bCs/>
          <w:lang w:val="fr-FR"/>
        </w:rPr>
        <w:t> </w:t>
      </w:r>
      <w:r>
        <w:rPr>
          <w:b/>
          <w:bCs/>
          <w:lang w:val="fr-FR"/>
        </w:rPr>
        <w:t>6.15.8.3 du présent Règlement.</w:t>
      </w:r>
    </w:p>
    <w:p w14:paraId="023ACDAD" w14:textId="77777777" w:rsidR="00A73F28" w:rsidRPr="007705AA" w:rsidRDefault="00A73F28" w:rsidP="00864139">
      <w:pPr>
        <w:pStyle w:val="SingleTxtG"/>
        <w:keepNext/>
        <w:ind w:left="2268" w:hanging="1134"/>
        <w:rPr>
          <w:b/>
          <w:bCs/>
          <w:iCs/>
        </w:rPr>
      </w:pPr>
      <w:r w:rsidRPr="007705AA">
        <w:rPr>
          <w:b/>
          <w:lang w:val="fr-FR"/>
        </w:rPr>
        <w:t>18.3.2</w:t>
      </w:r>
      <w:r>
        <w:rPr>
          <w:lang w:val="fr-FR"/>
        </w:rPr>
        <w:tab/>
      </w:r>
      <w:r w:rsidRPr="007705AA">
        <w:rPr>
          <w:b/>
          <w:lang w:val="fr-FR"/>
        </w:rPr>
        <w:t>Prescriptions</w:t>
      </w:r>
      <w:r w:rsidR="00864139">
        <w:rPr>
          <w:b/>
          <w:lang w:val="fr-FR"/>
        </w:rPr>
        <w:t> </w:t>
      </w:r>
      <w:r w:rsidRPr="007705AA">
        <w:rPr>
          <w:b/>
          <w:lang w:val="fr-FR"/>
        </w:rPr>
        <w:t>:</w:t>
      </w:r>
    </w:p>
    <w:p w14:paraId="24F123F7" w14:textId="77777777" w:rsidR="00A73F28" w:rsidRPr="00DD1D4D" w:rsidRDefault="00A73F28" w:rsidP="007101C0">
      <w:pPr>
        <w:pStyle w:val="SingleTxtG"/>
        <w:ind w:left="2268"/>
        <w:rPr>
          <w:b/>
          <w:bCs/>
          <w:iCs/>
        </w:rPr>
      </w:pPr>
      <w:r>
        <w:rPr>
          <w:lang w:val="fr-FR"/>
        </w:rPr>
        <w:tab/>
      </w:r>
      <w:r>
        <w:rPr>
          <w:b/>
          <w:bCs/>
          <w:lang w:val="fr-FR"/>
        </w:rPr>
        <w:t xml:space="preserve">Les échantillons </w:t>
      </w:r>
      <w:r w:rsidR="007101C0" w:rsidRPr="0099442A">
        <w:rPr>
          <w:b/>
          <w:bCs/>
        </w:rPr>
        <w:t>“</w:t>
      </w:r>
      <w:r w:rsidR="007101C0">
        <w:rPr>
          <w:b/>
          <w:bCs/>
          <w:lang w:val="fr-FR"/>
        </w:rPr>
        <w:t>a</w:t>
      </w:r>
      <w:r w:rsidR="007101C0" w:rsidRPr="0099442A">
        <w:rPr>
          <w:b/>
          <w:bCs/>
        </w:rPr>
        <w:t>”</w:t>
      </w:r>
      <w:r w:rsidR="007101C0">
        <w:rPr>
          <w:b/>
          <w:bCs/>
          <w:lang w:val="fr-FR"/>
        </w:rPr>
        <w:t xml:space="preserve"> et </w:t>
      </w:r>
      <w:r w:rsidR="007101C0" w:rsidRPr="0099442A">
        <w:rPr>
          <w:b/>
          <w:bCs/>
        </w:rPr>
        <w:t>“</w:t>
      </w:r>
      <w:r w:rsidR="007101C0">
        <w:rPr>
          <w:b/>
          <w:bCs/>
          <w:lang w:val="fr-FR"/>
        </w:rPr>
        <w:t>b</w:t>
      </w:r>
      <w:r w:rsidR="007101C0" w:rsidRPr="0099442A">
        <w:rPr>
          <w:b/>
          <w:bCs/>
        </w:rPr>
        <w:t>”</w:t>
      </w:r>
      <w:r w:rsidR="007101C0">
        <w:rPr>
          <w:b/>
          <w:bCs/>
        </w:rPr>
        <w:t xml:space="preserve"> </w:t>
      </w:r>
      <w:r>
        <w:rPr>
          <w:b/>
          <w:bCs/>
          <w:lang w:val="fr-FR"/>
        </w:rPr>
        <w:t>vieillis et non vieillis doivent satisfaire aux prescriptions en matière de débit énoncées au paragraphe</w:t>
      </w:r>
      <w:r w:rsidR="007101C0">
        <w:rPr>
          <w:b/>
          <w:bCs/>
          <w:lang w:val="fr-FR"/>
        </w:rPr>
        <w:t> </w:t>
      </w:r>
      <w:r>
        <w:rPr>
          <w:b/>
          <w:bCs/>
          <w:lang w:val="fr-FR"/>
        </w:rPr>
        <w:t>6.15.8.3 du présent Règlement.</w:t>
      </w:r>
    </w:p>
    <w:p w14:paraId="51FD8476" w14:textId="77777777" w:rsidR="00A73F28" w:rsidRPr="00DD1D4D" w:rsidRDefault="00A73F28" w:rsidP="007101C0">
      <w:pPr>
        <w:pStyle w:val="SingleTxtG"/>
        <w:ind w:left="2268"/>
        <w:rPr>
          <w:b/>
          <w:bCs/>
          <w:iCs/>
        </w:rPr>
      </w:pPr>
      <w:r>
        <w:rPr>
          <w:lang w:val="fr-FR"/>
        </w:rPr>
        <w:tab/>
      </w:r>
      <w:r w:rsidRPr="007705AA">
        <w:rPr>
          <w:b/>
          <w:lang w:val="fr-FR"/>
        </w:rPr>
        <w:t xml:space="preserve">Le matériau non métallique des échantillons </w:t>
      </w:r>
      <w:r w:rsidR="007101C0" w:rsidRPr="0099442A">
        <w:rPr>
          <w:b/>
          <w:bCs/>
        </w:rPr>
        <w:t>“</w:t>
      </w:r>
      <w:r w:rsidR="007101C0">
        <w:rPr>
          <w:b/>
          <w:bCs/>
          <w:lang w:val="fr-FR"/>
        </w:rPr>
        <w:t>a</w:t>
      </w:r>
      <w:r w:rsidR="007101C0" w:rsidRPr="0099442A">
        <w:rPr>
          <w:b/>
          <w:bCs/>
        </w:rPr>
        <w:t>”</w:t>
      </w:r>
      <w:r w:rsidR="007101C0">
        <w:rPr>
          <w:b/>
          <w:bCs/>
          <w:lang w:val="fr-FR"/>
        </w:rPr>
        <w:t xml:space="preserve"> et </w:t>
      </w:r>
      <w:r w:rsidR="007101C0" w:rsidRPr="0099442A">
        <w:rPr>
          <w:b/>
          <w:bCs/>
        </w:rPr>
        <w:t>“</w:t>
      </w:r>
      <w:r w:rsidR="007101C0">
        <w:rPr>
          <w:b/>
          <w:bCs/>
          <w:lang w:val="fr-FR"/>
        </w:rPr>
        <w:t>b</w:t>
      </w:r>
      <w:r w:rsidR="007101C0" w:rsidRPr="0099442A">
        <w:rPr>
          <w:b/>
          <w:bCs/>
        </w:rPr>
        <w:t>”</w:t>
      </w:r>
      <w:r w:rsidR="007101C0">
        <w:rPr>
          <w:b/>
          <w:bCs/>
        </w:rPr>
        <w:t xml:space="preserve"> </w:t>
      </w:r>
      <w:r w:rsidRPr="007705AA">
        <w:rPr>
          <w:b/>
          <w:lang w:val="fr-FR"/>
        </w:rPr>
        <w:t>ne doit présenter aucune fissure, déformation ou dommage visuel.</w:t>
      </w:r>
      <w:r w:rsidR="007101C0">
        <w:rPr>
          <w:lang w:val="fr-FR"/>
        </w:rPr>
        <w:t> ».</w:t>
      </w:r>
    </w:p>
    <w:p w14:paraId="05CF8986" w14:textId="77777777" w:rsidR="00A73F28" w:rsidRPr="00DD1D4D" w:rsidRDefault="00A73F28" w:rsidP="0059708E">
      <w:pPr>
        <w:pStyle w:val="HChG"/>
      </w:pPr>
      <w:r w:rsidRPr="00DD1D4D">
        <w:br w:type="page"/>
      </w:r>
      <w:r>
        <w:rPr>
          <w:lang w:val="fr-FR"/>
        </w:rPr>
        <w:lastRenderedPageBreak/>
        <w:t>Annexe IV</w:t>
      </w:r>
    </w:p>
    <w:p w14:paraId="05DB8751" w14:textId="77777777" w:rsidR="00A73F28" w:rsidRPr="007705AA" w:rsidRDefault="0059708E" w:rsidP="0059708E">
      <w:pPr>
        <w:pStyle w:val="HChG"/>
        <w:rPr>
          <w:szCs w:val="28"/>
        </w:rPr>
      </w:pPr>
      <w:r>
        <w:rPr>
          <w:lang w:val="fr-FR"/>
        </w:rPr>
        <w:tab/>
      </w:r>
      <w:r>
        <w:rPr>
          <w:lang w:val="fr-FR"/>
        </w:rPr>
        <w:tab/>
      </w:r>
      <w:r w:rsidR="00A73F28" w:rsidRPr="007705AA">
        <w:rPr>
          <w:lang w:val="fr-FR"/>
        </w:rPr>
        <w:t xml:space="preserve">Projet de série </w:t>
      </w:r>
      <w:r w:rsidR="00CC633B">
        <w:rPr>
          <w:lang w:val="fr-FR"/>
        </w:rPr>
        <w:t>0</w:t>
      </w:r>
      <w:r w:rsidR="00A73F28" w:rsidRPr="007705AA">
        <w:rPr>
          <w:lang w:val="fr-FR"/>
        </w:rPr>
        <w:t>3 d</w:t>
      </w:r>
      <w:r w:rsidR="00A73F28">
        <w:rPr>
          <w:lang w:val="fr-FR"/>
        </w:rPr>
        <w:t>’</w:t>
      </w:r>
      <w:r w:rsidR="00A73F28" w:rsidRPr="007705AA">
        <w:rPr>
          <w:lang w:val="fr-FR"/>
        </w:rPr>
        <w:t>amendements au Règlement ONU n</w:t>
      </w:r>
      <w:r w:rsidR="00A73F28" w:rsidRPr="0059708E">
        <w:rPr>
          <w:vertAlign w:val="superscript"/>
          <w:lang w:val="fr-FR"/>
        </w:rPr>
        <w:t>o</w:t>
      </w:r>
      <w:r>
        <w:rPr>
          <w:lang w:val="fr-FR"/>
        </w:rPr>
        <w:t> </w:t>
      </w:r>
      <w:r w:rsidR="00A73F28" w:rsidRPr="007705AA">
        <w:rPr>
          <w:lang w:val="fr-FR"/>
        </w:rPr>
        <w:t>67 (Véhicules alimentés au GPL) (par.</w:t>
      </w:r>
      <w:r>
        <w:rPr>
          <w:lang w:val="fr-FR"/>
        </w:rPr>
        <w:t> </w:t>
      </w:r>
      <w:r w:rsidR="00A73F28" w:rsidRPr="007705AA">
        <w:rPr>
          <w:lang w:val="fr-FR"/>
        </w:rPr>
        <w:t>39)</w:t>
      </w:r>
    </w:p>
    <w:p w14:paraId="51E2D34A" w14:textId="77777777" w:rsidR="00A73F28" w:rsidRPr="00DD1D4D" w:rsidRDefault="00A73F28" w:rsidP="0059708E">
      <w:pPr>
        <w:pStyle w:val="SingleTxtG"/>
      </w:pPr>
      <w:r w:rsidRPr="007705AA">
        <w:rPr>
          <w:i/>
          <w:lang w:val="fr-FR"/>
        </w:rPr>
        <w:t>Paragraphe</w:t>
      </w:r>
      <w:r w:rsidR="0059708E">
        <w:rPr>
          <w:i/>
          <w:lang w:val="fr-FR"/>
        </w:rPr>
        <w:t> </w:t>
      </w:r>
      <w:r w:rsidRPr="007705AA">
        <w:rPr>
          <w:i/>
          <w:lang w:val="fr-FR"/>
        </w:rPr>
        <w:t>5.2</w:t>
      </w:r>
      <w:r>
        <w:rPr>
          <w:lang w:val="fr-FR"/>
        </w:rPr>
        <w:t>, remplacer le texte entre crochets par «</w:t>
      </w:r>
      <w:r w:rsidR="0059708E">
        <w:rPr>
          <w:lang w:val="fr-FR"/>
        </w:rPr>
        <w:t> </w:t>
      </w:r>
      <w:r>
        <w:rPr>
          <w:lang w:val="fr-FR"/>
        </w:rPr>
        <w:t xml:space="preserve">(actuellement </w:t>
      </w:r>
      <w:r w:rsidRPr="007705AA">
        <w:rPr>
          <w:b/>
          <w:lang w:val="fr-FR"/>
        </w:rPr>
        <w:t>03</w:t>
      </w:r>
      <w:r>
        <w:rPr>
          <w:lang w:val="fr-FR"/>
        </w:rPr>
        <w:t xml:space="preserve"> pour la série </w:t>
      </w:r>
      <w:r w:rsidRPr="007705AA">
        <w:rPr>
          <w:b/>
          <w:lang w:val="fr-FR"/>
        </w:rPr>
        <w:t>03</w:t>
      </w:r>
      <w:r>
        <w:rPr>
          <w:lang w:val="fr-FR"/>
        </w:rPr>
        <w:t xml:space="preserve"> d’amendements)</w:t>
      </w:r>
      <w:r w:rsidR="0059708E">
        <w:rPr>
          <w:lang w:val="fr-FR"/>
        </w:rPr>
        <w:t> </w:t>
      </w:r>
      <w:r>
        <w:rPr>
          <w:lang w:val="fr-FR"/>
        </w:rPr>
        <w:t>».</w:t>
      </w:r>
    </w:p>
    <w:p w14:paraId="05D0A5D0" w14:textId="77777777" w:rsidR="00A73F28" w:rsidRPr="00DD1D4D" w:rsidRDefault="00A73F28" w:rsidP="0059708E">
      <w:pPr>
        <w:pStyle w:val="SingleTxtG"/>
        <w:keepNext/>
        <w:rPr>
          <w:iCs/>
        </w:rPr>
      </w:pPr>
      <w:r w:rsidRPr="007705AA">
        <w:rPr>
          <w:i/>
          <w:lang w:val="fr-FR"/>
        </w:rPr>
        <w:t>Ajouter un nouveau paragraphe</w:t>
      </w:r>
      <w:r w:rsidR="0059708E">
        <w:rPr>
          <w:i/>
          <w:lang w:val="fr-FR"/>
        </w:rPr>
        <w:t> </w:t>
      </w:r>
      <w:r w:rsidRPr="007705AA">
        <w:rPr>
          <w:i/>
          <w:lang w:val="fr-FR"/>
        </w:rPr>
        <w:t>6.15.10.8</w:t>
      </w:r>
      <w:r>
        <w:rPr>
          <w:lang w:val="fr-FR"/>
        </w:rPr>
        <w:t>, libellé comme suit</w:t>
      </w:r>
      <w:r w:rsidR="0059708E">
        <w:rPr>
          <w:lang w:val="fr-FR"/>
        </w:rPr>
        <w:t> </w:t>
      </w:r>
      <w:r>
        <w:rPr>
          <w:lang w:val="fr-FR"/>
        </w:rPr>
        <w:t>:</w:t>
      </w:r>
    </w:p>
    <w:p w14:paraId="3075CD91" w14:textId="77777777" w:rsidR="00A73F28" w:rsidRPr="00DD1D4D" w:rsidRDefault="0059708E" w:rsidP="0059708E">
      <w:pPr>
        <w:pStyle w:val="SingleTxtG"/>
        <w:ind w:left="2268" w:hanging="1134"/>
        <w:rPr>
          <w:b/>
          <w:bCs/>
          <w:iCs/>
        </w:rPr>
      </w:pPr>
      <w:r>
        <w:rPr>
          <w:lang w:val="fr-FR"/>
        </w:rPr>
        <w:t>« </w:t>
      </w:r>
      <w:r w:rsidR="00A73F28" w:rsidRPr="007705AA">
        <w:rPr>
          <w:b/>
          <w:lang w:val="fr-FR"/>
        </w:rPr>
        <w:t>6.15.10.8</w:t>
      </w:r>
      <w:r w:rsidR="00A73F28" w:rsidRPr="007705AA">
        <w:rPr>
          <w:b/>
          <w:lang w:val="fr-FR"/>
        </w:rPr>
        <w:tab/>
        <w:t>Pour les véhicules de la catégorie M</w:t>
      </w:r>
      <w:r w:rsidR="00A73F28" w:rsidRPr="007705AA">
        <w:rPr>
          <w:b/>
          <w:vertAlign w:val="subscript"/>
          <w:lang w:val="fr-FR"/>
        </w:rPr>
        <w:t>1</w:t>
      </w:r>
      <w:r w:rsidR="00A73F28" w:rsidRPr="007705AA">
        <w:rPr>
          <w:b/>
          <w:lang w:val="fr-FR"/>
        </w:rPr>
        <w:t>, l</w:t>
      </w:r>
      <w:r w:rsidR="00A73F28">
        <w:rPr>
          <w:b/>
          <w:lang w:val="fr-FR"/>
        </w:rPr>
        <w:t>’</w:t>
      </w:r>
      <w:r w:rsidR="00A73F28" w:rsidRPr="007705AA">
        <w:rPr>
          <w:b/>
          <w:lang w:val="fr-FR"/>
        </w:rPr>
        <w:t>embout de remplissage ne doit pas être situé au-dessous de la carrosserie du véhicule et doit respecter les prescriptions du paragraphe</w:t>
      </w:r>
      <w:r>
        <w:rPr>
          <w:b/>
          <w:lang w:val="fr-FR"/>
        </w:rPr>
        <w:t> </w:t>
      </w:r>
      <w:r w:rsidR="00A73F28" w:rsidRPr="007705AA">
        <w:rPr>
          <w:b/>
          <w:lang w:val="fr-FR"/>
        </w:rPr>
        <w:t>17.4.5 relatives à la hauteur</w:t>
      </w:r>
      <w:r>
        <w:rPr>
          <w:lang w:val="fr-FR"/>
        </w:rPr>
        <w:t> »</w:t>
      </w:r>
      <w:r w:rsidR="00A73F28">
        <w:rPr>
          <w:lang w:val="fr-FR"/>
        </w:rPr>
        <w:t>.</w:t>
      </w:r>
    </w:p>
    <w:p w14:paraId="325C0593" w14:textId="77777777" w:rsidR="00A73F28" w:rsidRPr="00DD1D4D" w:rsidRDefault="00A73F28" w:rsidP="0059708E">
      <w:pPr>
        <w:pStyle w:val="SingleTxtG"/>
        <w:keepNext/>
        <w:rPr>
          <w:iCs/>
        </w:rPr>
      </w:pPr>
      <w:r w:rsidRPr="007705AA">
        <w:rPr>
          <w:i/>
          <w:lang w:val="fr-FR"/>
        </w:rPr>
        <w:t>Ajouter de nouveaux paragraphes</w:t>
      </w:r>
      <w:r w:rsidR="0059708E">
        <w:rPr>
          <w:i/>
          <w:lang w:val="fr-FR"/>
        </w:rPr>
        <w:t> </w:t>
      </w:r>
      <w:r w:rsidRPr="007705AA">
        <w:rPr>
          <w:i/>
          <w:lang w:val="fr-FR"/>
        </w:rPr>
        <w:t>22.14 à 22.18</w:t>
      </w:r>
      <w:r>
        <w:rPr>
          <w:lang w:val="fr-FR"/>
        </w:rPr>
        <w:t>, libellés comme suit</w:t>
      </w:r>
      <w:r w:rsidR="0059708E">
        <w:rPr>
          <w:lang w:val="fr-FR"/>
        </w:rPr>
        <w:t> </w:t>
      </w:r>
      <w:r>
        <w:rPr>
          <w:lang w:val="fr-FR"/>
        </w:rPr>
        <w:t>:</w:t>
      </w:r>
    </w:p>
    <w:p w14:paraId="0F4EA056" w14:textId="77777777" w:rsidR="00A73F28" w:rsidRPr="007705AA" w:rsidRDefault="0059708E" w:rsidP="0059708E">
      <w:pPr>
        <w:pStyle w:val="SingleTxtG"/>
        <w:ind w:left="2268" w:hanging="1134"/>
        <w:rPr>
          <w:b/>
          <w:bCs/>
          <w:iCs/>
        </w:rPr>
      </w:pPr>
      <w:r>
        <w:rPr>
          <w:lang w:val="fr-FR"/>
        </w:rPr>
        <w:t>« </w:t>
      </w:r>
      <w:r w:rsidR="00A73F28" w:rsidRPr="007705AA">
        <w:rPr>
          <w:b/>
          <w:lang w:val="fr-FR"/>
        </w:rPr>
        <w:t>22.14</w:t>
      </w:r>
      <w:r w:rsidR="00A73F28" w:rsidRPr="007705AA">
        <w:rPr>
          <w:b/>
          <w:lang w:val="fr-FR"/>
        </w:rPr>
        <w:tab/>
        <w:t>À compter de la date officielle d</w:t>
      </w:r>
      <w:r w:rsidR="00A73F28">
        <w:rPr>
          <w:b/>
          <w:lang w:val="fr-FR"/>
        </w:rPr>
        <w:t>’</w:t>
      </w:r>
      <w:r w:rsidR="00A73F28" w:rsidRPr="007705AA">
        <w:rPr>
          <w:b/>
          <w:lang w:val="fr-FR"/>
        </w:rPr>
        <w:t>entrée en vigueur de la série 03 d</w:t>
      </w:r>
      <w:r w:rsidR="00A73F28">
        <w:rPr>
          <w:b/>
          <w:lang w:val="fr-FR"/>
        </w:rPr>
        <w:t>’</w:t>
      </w:r>
      <w:r w:rsidR="00A73F28" w:rsidRPr="007705AA">
        <w:rPr>
          <w:b/>
          <w:lang w:val="fr-FR"/>
        </w:rPr>
        <w:t>amendements, aucune Partie contractante appliquant le présent Règlement ne pourra refuser de délivrer ou d</w:t>
      </w:r>
      <w:r w:rsidR="00A73F28">
        <w:rPr>
          <w:b/>
          <w:lang w:val="fr-FR"/>
        </w:rPr>
        <w:t>’</w:t>
      </w:r>
      <w:r w:rsidR="00A73F28" w:rsidRPr="007705AA">
        <w:rPr>
          <w:b/>
          <w:lang w:val="fr-FR"/>
        </w:rPr>
        <w:t>accepter une homologation de type accordée en vertu du présent Règlement tel que modifié par la série 03 d</w:t>
      </w:r>
      <w:r w:rsidR="00A73F28">
        <w:rPr>
          <w:b/>
          <w:lang w:val="fr-FR"/>
        </w:rPr>
        <w:t>’</w:t>
      </w:r>
      <w:r w:rsidR="00A73F28" w:rsidRPr="007705AA">
        <w:rPr>
          <w:b/>
          <w:lang w:val="fr-FR"/>
        </w:rPr>
        <w:t>amendements.</w:t>
      </w:r>
    </w:p>
    <w:p w14:paraId="5669C51A" w14:textId="77777777" w:rsidR="00A73F28" w:rsidRPr="00A90D56" w:rsidRDefault="00A73F28" w:rsidP="0059708E">
      <w:pPr>
        <w:pStyle w:val="SingleTxtG"/>
        <w:ind w:left="2268" w:hanging="1134"/>
        <w:rPr>
          <w:b/>
          <w:bCs/>
          <w:iCs/>
        </w:rPr>
      </w:pPr>
      <w:r w:rsidRPr="00A90D56">
        <w:rPr>
          <w:b/>
          <w:lang w:val="fr-FR"/>
        </w:rPr>
        <w:t>22.15</w:t>
      </w:r>
      <w:r w:rsidRPr="00A90D56">
        <w:rPr>
          <w:b/>
          <w:lang w:val="fr-FR"/>
        </w:rPr>
        <w:tab/>
        <w:t>À compter du 1</w:t>
      </w:r>
      <w:r w:rsidRPr="0059708E">
        <w:rPr>
          <w:b/>
          <w:vertAlign w:val="superscript"/>
          <w:lang w:val="fr-FR"/>
        </w:rPr>
        <w:t>er</w:t>
      </w:r>
      <w:r w:rsidR="0059708E">
        <w:rPr>
          <w:b/>
          <w:lang w:val="fr-FR"/>
        </w:rPr>
        <w:t> </w:t>
      </w:r>
      <w:r w:rsidRPr="00A90D56">
        <w:rPr>
          <w:b/>
          <w:lang w:val="fr-FR"/>
        </w:rPr>
        <w:t>septembre 2021, les Parties contractantes appliquant le présent Règlement ne seront plus tenues d</w:t>
      </w:r>
      <w:r>
        <w:rPr>
          <w:b/>
          <w:lang w:val="fr-FR"/>
        </w:rPr>
        <w:t>’</w:t>
      </w:r>
      <w:r w:rsidRPr="00A90D56">
        <w:rPr>
          <w:b/>
          <w:lang w:val="fr-FR"/>
        </w:rPr>
        <w:t>accepter les homologations de type délivrées au titre des précédentes séries d</w:t>
      </w:r>
      <w:r>
        <w:rPr>
          <w:b/>
          <w:lang w:val="fr-FR"/>
        </w:rPr>
        <w:t>’</w:t>
      </w:r>
      <w:r w:rsidRPr="00A90D56">
        <w:rPr>
          <w:b/>
          <w:lang w:val="fr-FR"/>
        </w:rPr>
        <w:t>amendements délivrées pour la première fois après le 1</w:t>
      </w:r>
      <w:r w:rsidRPr="0059708E">
        <w:rPr>
          <w:b/>
          <w:vertAlign w:val="superscript"/>
          <w:lang w:val="fr-FR"/>
        </w:rPr>
        <w:t>er</w:t>
      </w:r>
      <w:r w:rsidR="0059708E">
        <w:rPr>
          <w:b/>
          <w:lang w:val="fr-FR"/>
        </w:rPr>
        <w:t> </w:t>
      </w:r>
      <w:r w:rsidRPr="00A90D56">
        <w:rPr>
          <w:b/>
          <w:lang w:val="fr-FR"/>
        </w:rPr>
        <w:t>septembre 2021.</w:t>
      </w:r>
    </w:p>
    <w:p w14:paraId="32BB69B0" w14:textId="77777777" w:rsidR="00A73F28" w:rsidRPr="00A90D56" w:rsidRDefault="00A73F28" w:rsidP="0059708E">
      <w:pPr>
        <w:pStyle w:val="SingleTxtG"/>
        <w:ind w:left="2268" w:hanging="1134"/>
        <w:rPr>
          <w:b/>
          <w:bCs/>
          <w:iCs/>
        </w:rPr>
      </w:pPr>
      <w:r w:rsidRPr="00A90D56">
        <w:rPr>
          <w:b/>
          <w:lang w:val="fr-FR"/>
        </w:rPr>
        <w:t>22.16</w:t>
      </w:r>
      <w:r w:rsidRPr="00A90D56">
        <w:rPr>
          <w:b/>
          <w:lang w:val="fr-FR"/>
        </w:rPr>
        <w:tab/>
        <w:t>Jusqu</w:t>
      </w:r>
      <w:r>
        <w:rPr>
          <w:b/>
          <w:lang w:val="fr-FR"/>
        </w:rPr>
        <w:t>’</w:t>
      </w:r>
      <w:r w:rsidRPr="00A90D56">
        <w:rPr>
          <w:b/>
          <w:lang w:val="fr-FR"/>
        </w:rPr>
        <w:t>au 1</w:t>
      </w:r>
      <w:r w:rsidRPr="0059708E">
        <w:rPr>
          <w:b/>
          <w:vertAlign w:val="superscript"/>
          <w:lang w:val="fr-FR"/>
        </w:rPr>
        <w:t>er</w:t>
      </w:r>
      <w:r w:rsidR="0059708E">
        <w:rPr>
          <w:b/>
          <w:lang w:val="fr-FR"/>
        </w:rPr>
        <w:t> </w:t>
      </w:r>
      <w:r w:rsidRPr="00A90D56">
        <w:rPr>
          <w:b/>
          <w:lang w:val="fr-FR"/>
        </w:rPr>
        <w:t>septembre 2022, les Parties contractantes appliquant le présent Règlement devront accepter les homologations de type délivrées en vertu des précédentes séries d</w:t>
      </w:r>
      <w:r>
        <w:rPr>
          <w:b/>
          <w:lang w:val="fr-FR"/>
        </w:rPr>
        <w:t>’</w:t>
      </w:r>
      <w:r w:rsidRPr="00A90D56">
        <w:rPr>
          <w:b/>
          <w:lang w:val="fr-FR"/>
        </w:rPr>
        <w:t>amendements avant le 1</w:t>
      </w:r>
      <w:r w:rsidRPr="0059708E">
        <w:rPr>
          <w:b/>
          <w:vertAlign w:val="superscript"/>
          <w:lang w:val="fr-FR"/>
        </w:rPr>
        <w:t>er</w:t>
      </w:r>
      <w:r w:rsidR="0059708E">
        <w:rPr>
          <w:b/>
          <w:lang w:val="fr-FR"/>
        </w:rPr>
        <w:t> </w:t>
      </w:r>
      <w:r w:rsidRPr="00A90D56">
        <w:rPr>
          <w:b/>
          <w:lang w:val="fr-FR"/>
        </w:rPr>
        <w:t>septembre 2021.</w:t>
      </w:r>
    </w:p>
    <w:p w14:paraId="5AD24659" w14:textId="77777777" w:rsidR="00A73F28" w:rsidRPr="00A90D56" w:rsidRDefault="00A73F28" w:rsidP="0059708E">
      <w:pPr>
        <w:pStyle w:val="SingleTxtG"/>
        <w:ind w:left="2268" w:hanging="1134"/>
        <w:rPr>
          <w:b/>
          <w:bCs/>
          <w:iCs/>
        </w:rPr>
      </w:pPr>
      <w:r w:rsidRPr="00A90D56">
        <w:rPr>
          <w:b/>
          <w:lang w:val="fr-FR"/>
        </w:rPr>
        <w:t>22.17</w:t>
      </w:r>
      <w:r w:rsidRPr="00A90D56">
        <w:rPr>
          <w:b/>
          <w:lang w:val="fr-FR"/>
        </w:rPr>
        <w:tab/>
        <w:t>À compter du 1</w:t>
      </w:r>
      <w:r w:rsidRPr="0059708E">
        <w:rPr>
          <w:b/>
          <w:vertAlign w:val="superscript"/>
          <w:lang w:val="fr-FR"/>
        </w:rPr>
        <w:t>er</w:t>
      </w:r>
      <w:r w:rsidR="0059708E">
        <w:rPr>
          <w:b/>
          <w:lang w:val="fr-FR"/>
        </w:rPr>
        <w:t> </w:t>
      </w:r>
      <w:r w:rsidRPr="00A90D56">
        <w:rPr>
          <w:b/>
          <w:lang w:val="fr-FR"/>
        </w:rPr>
        <w:t>septembre 2022, les Parties contractantes appliquant le présent Règlement ne seront plus tenues d</w:t>
      </w:r>
      <w:r>
        <w:rPr>
          <w:b/>
          <w:lang w:val="fr-FR"/>
        </w:rPr>
        <w:t>’</w:t>
      </w:r>
      <w:r w:rsidRPr="00A90D56">
        <w:rPr>
          <w:b/>
          <w:lang w:val="fr-FR"/>
        </w:rPr>
        <w:t>accepter les homologations de type délivrées en vertu des précédentes séries d</w:t>
      </w:r>
      <w:r>
        <w:rPr>
          <w:b/>
          <w:lang w:val="fr-FR"/>
        </w:rPr>
        <w:t>’</w:t>
      </w:r>
      <w:r w:rsidRPr="00A90D56">
        <w:rPr>
          <w:b/>
          <w:lang w:val="fr-FR"/>
        </w:rPr>
        <w:t>amendements audit Règlement.</w:t>
      </w:r>
    </w:p>
    <w:p w14:paraId="4FE1B420" w14:textId="77777777" w:rsidR="00A73F28" w:rsidRPr="00A90D56" w:rsidRDefault="00A73F28" w:rsidP="0059708E">
      <w:pPr>
        <w:pStyle w:val="SingleTxtG"/>
        <w:ind w:left="2268" w:hanging="1134"/>
        <w:rPr>
          <w:iCs/>
        </w:rPr>
      </w:pPr>
      <w:r w:rsidRPr="00A90D56">
        <w:rPr>
          <w:b/>
          <w:lang w:val="fr-FR"/>
        </w:rPr>
        <w:t>22.18</w:t>
      </w:r>
      <w:r w:rsidRPr="00A90D56">
        <w:rPr>
          <w:b/>
          <w:lang w:val="fr-FR"/>
        </w:rPr>
        <w:tab/>
        <w:t>Nonobstant les dispositions du paragraphe</w:t>
      </w:r>
      <w:r w:rsidR="0059708E">
        <w:rPr>
          <w:b/>
          <w:lang w:val="fr-FR"/>
        </w:rPr>
        <w:t> </w:t>
      </w:r>
      <w:r w:rsidRPr="00A90D56">
        <w:rPr>
          <w:b/>
          <w:lang w:val="fr-FR"/>
        </w:rPr>
        <w:t xml:space="preserve">22.15 ci-dessus, les Parties contractantes appliquant le présent Règlement </w:t>
      </w:r>
      <w:r w:rsidR="00964E57">
        <w:rPr>
          <w:b/>
          <w:lang w:val="fr-FR"/>
        </w:rPr>
        <w:t xml:space="preserve">ONU </w:t>
      </w:r>
      <w:r w:rsidRPr="00A90D56">
        <w:rPr>
          <w:b/>
          <w:lang w:val="fr-FR"/>
        </w:rPr>
        <w:t>continueront de reconnaître les homologations de type délivrées au titre des précédentes séries d</w:t>
      </w:r>
      <w:r>
        <w:rPr>
          <w:b/>
          <w:lang w:val="fr-FR"/>
        </w:rPr>
        <w:t>’</w:t>
      </w:r>
      <w:r w:rsidRPr="00A90D56">
        <w:rPr>
          <w:b/>
          <w:lang w:val="fr-FR"/>
        </w:rPr>
        <w:t xml:space="preserve">amendements audit Règlement </w:t>
      </w:r>
      <w:r w:rsidR="00964E57">
        <w:rPr>
          <w:b/>
          <w:lang w:val="fr-FR"/>
        </w:rPr>
        <w:t xml:space="preserve">ONU </w:t>
      </w:r>
      <w:r w:rsidRPr="00A90D56">
        <w:rPr>
          <w:b/>
          <w:lang w:val="fr-FR"/>
        </w:rPr>
        <w:t xml:space="preserve">pour les véhicules ou les systèmes </w:t>
      </w:r>
      <w:r>
        <w:rPr>
          <w:b/>
          <w:lang w:val="fr-FR"/>
        </w:rPr>
        <w:t>embarqués</w:t>
      </w:r>
      <w:r w:rsidRPr="00A90D56">
        <w:rPr>
          <w:b/>
          <w:lang w:val="fr-FR"/>
        </w:rPr>
        <w:t xml:space="preserve"> ou les composants de véhicule qui ne sont pas concernés par les modifications apportées par la série 03 d</w:t>
      </w:r>
      <w:r>
        <w:rPr>
          <w:b/>
          <w:lang w:val="fr-FR"/>
        </w:rPr>
        <w:t>’</w:t>
      </w:r>
      <w:r w:rsidRPr="00A90D56">
        <w:rPr>
          <w:b/>
          <w:lang w:val="fr-FR"/>
        </w:rPr>
        <w:t>amendements.</w:t>
      </w:r>
      <w:r>
        <w:rPr>
          <w:b/>
          <w:lang w:val="fr-FR"/>
        </w:rPr>
        <w:t> </w:t>
      </w:r>
      <w:r w:rsidRPr="00A90D56">
        <w:rPr>
          <w:lang w:val="fr-FR"/>
        </w:rPr>
        <w:t>»</w:t>
      </w:r>
      <w:r w:rsidR="0059708E">
        <w:rPr>
          <w:lang w:val="fr-FR"/>
        </w:rPr>
        <w:t>.</w:t>
      </w:r>
    </w:p>
    <w:p w14:paraId="20C809C4" w14:textId="77777777" w:rsidR="00A73F28" w:rsidRPr="00A90D56" w:rsidRDefault="00A73F28" w:rsidP="005267B7">
      <w:pPr>
        <w:pStyle w:val="SingleTxtG"/>
        <w:keepNext/>
        <w:rPr>
          <w:color w:val="212121"/>
        </w:rPr>
      </w:pPr>
      <w:r w:rsidRPr="00A90D56">
        <w:rPr>
          <w:i/>
          <w:lang w:val="fr-FR"/>
        </w:rPr>
        <w:t>D</w:t>
      </w:r>
      <w:r>
        <w:rPr>
          <w:i/>
          <w:lang w:val="fr-FR"/>
        </w:rPr>
        <w:t>’un bout à l’autre</w:t>
      </w:r>
      <w:r w:rsidRPr="00A90D56">
        <w:rPr>
          <w:i/>
          <w:lang w:val="fr-FR"/>
        </w:rPr>
        <w:t xml:space="preserve"> des annexes</w:t>
      </w:r>
      <w:r w:rsidR="005267B7">
        <w:rPr>
          <w:i/>
          <w:lang w:val="fr-FR"/>
        </w:rPr>
        <w:t> </w:t>
      </w:r>
      <w:r w:rsidRPr="00A90D56">
        <w:rPr>
          <w:i/>
          <w:lang w:val="fr-FR"/>
        </w:rPr>
        <w:t>2A et 2C (Modèle A et Modèle B</w:t>
      </w:r>
      <w:r w:rsidRPr="00A90D56">
        <w:rPr>
          <w:lang w:val="fr-FR"/>
        </w:rPr>
        <w:t>), remplacer «</w:t>
      </w:r>
      <w:r w:rsidR="005267B7">
        <w:rPr>
          <w:lang w:val="fr-FR"/>
        </w:rPr>
        <w:t> </w:t>
      </w:r>
      <w:r w:rsidRPr="00A90D56">
        <w:rPr>
          <w:lang w:val="fr-FR"/>
        </w:rPr>
        <w:t>02</w:t>
      </w:r>
      <w:r w:rsidR="005267B7">
        <w:rPr>
          <w:lang w:val="fr-FR"/>
        </w:rPr>
        <w:t> </w:t>
      </w:r>
      <w:r w:rsidRPr="00A90D56">
        <w:rPr>
          <w:lang w:val="fr-FR"/>
        </w:rPr>
        <w:t>» par «</w:t>
      </w:r>
      <w:r w:rsidR="005267B7">
        <w:rPr>
          <w:lang w:val="fr-FR"/>
        </w:rPr>
        <w:t> </w:t>
      </w:r>
      <w:r w:rsidRPr="00A90D56">
        <w:rPr>
          <w:b/>
          <w:lang w:val="fr-FR"/>
        </w:rPr>
        <w:t>03</w:t>
      </w:r>
      <w:r w:rsidR="005267B7">
        <w:rPr>
          <w:lang w:val="fr-FR"/>
        </w:rPr>
        <w:t> </w:t>
      </w:r>
      <w:r w:rsidRPr="00A90D56">
        <w:rPr>
          <w:lang w:val="fr-FR"/>
        </w:rPr>
        <w:t>» (9 fois).</w:t>
      </w:r>
    </w:p>
    <w:p w14:paraId="352B6B63" w14:textId="77777777" w:rsidR="00A73F28" w:rsidRPr="00DD1D4D" w:rsidRDefault="00A73F28" w:rsidP="00A17DD4">
      <w:pPr>
        <w:pStyle w:val="HChG"/>
      </w:pPr>
      <w:r w:rsidRPr="00A90D56">
        <w:br w:type="page"/>
      </w:r>
      <w:r>
        <w:rPr>
          <w:lang w:val="fr-FR"/>
        </w:rPr>
        <w:lastRenderedPageBreak/>
        <w:t>Annexe V</w:t>
      </w:r>
    </w:p>
    <w:p w14:paraId="5DC37DDE" w14:textId="77777777" w:rsidR="00A73F28" w:rsidRPr="00DD1D4D" w:rsidRDefault="00A73F28" w:rsidP="00A17DD4">
      <w:pPr>
        <w:pStyle w:val="HChG"/>
      </w:pPr>
      <w:r>
        <w:rPr>
          <w:lang w:val="fr-FR"/>
        </w:rPr>
        <w:tab/>
      </w:r>
      <w:r>
        <w:rPr>
          <w:lang w:val="fr-FR"/>
        </w:rPr>
        <w:tab/>
        <w:t>Groupes de travail informels relevant du GRSG</w:t>
      </w:r>
    </w:p>
    <w:tbl>
      <w:tblPr>
        <w:tblW w:w="8504" w:type="dxa"/>
        <w:tblInd w:w="1134" w:type="dxa"/>
        <w:tblLayout w:type="fixed"/>
        <w:tblCellMar>
          <w:left w:w="0" w:type="dxa"/>
          <w:right w:w="0" w:type="dxa"/>
        </w:tblCellMar>
        <w:tblLook w:val="01E0" w:firstRow="1" w:lastRow="1" w:firstColumn="1" w:lastColumn="1" w:noHBand="0" w:noVBand="0"/>
      </w:tblPr>
      <w:tblGrid>
        <w:gridCol w:w="2127"/>
        <w:gridCol w:w="3402"/>
        <w:gridCol w:w="2975"/>
      </w:tblGrid>
      <w:tr w:rsidR="00A73F28" w:rsidRPr="00A17DD4" w14:paraId="1232A57D" w14:textId="77777777" w:rsidTr="007C4DAB">
        <w:trPr>
          <w:tblHeader/>
        </w:trPr>
        <w:tc>
          <w:tcPr>
            <w:tcW w:w="2127" w:type="dxa"/>
            <w:tcBorders>
              <w:top w:val="single" w:sz="4" w:space="0" w:color="auto"/>
              <w:bottom w:val="single" w:sz="12" w:space="0" w:color="auto"/>
            </w:tcBorders>
            <w:shd w:val="clear" w:color="auto" w:fill="auto"/>
            <w:vAlign w:val="bottom"/>
          </w:tcPr>
          <w:p w14:paraId="2FC0A3BD" w14:textId="77777777" w:rsidR="00A73F28" w:rsidRPr="00A17DD4" w:rsidRDefault="00A73F28" w:rsidP="007C4DAB">
            <w:pPr>
              <w:spacing w:before="80" w:after="80" w:line="200" w:lineRule="exact"/>
              <w:ind w:left="113" w:right="113"/>
              <w:rPr>
                <w:i/>
                <w:sz w:val="16"/>
                <w:szCs w:val="16"/>
              </w:rPr>
            </w:pPr>
            <w:r w:rsidRPr="00A17DD4">
              <w:rPr>
                <w:i/>
                <w:sz w:val="16"/>
                <w:lang w:val="fr-FR"/>
              </w:rPr>
              <w:t>Groupe de travail informel</w:t>
            </w:r>
          </w:p>
        </w:tc>
        <w:tc>
          <w:tcPr>
            <w:tcW w:w="3402" w:type="dxa"/>
            <w:tcBorders>
              <w:top w:val="single" w:sz="4" w:space="0" w:color="auto"/>
              <w:bottom w:val="single" w:sz="12" w:space="0" w:color="auto"/>
            </w:tcBorders>
            <w:shd w:val="clear" w:color="auto" w:fill="auto"/>
            <w:tcMar>
              <w:left w:w="0" w:type="dxa"/>
            </w:tcMar>
            <w:vAlign w:val="bottom"/>
          </w:tcPr>
          <w:p w14:paraId="0C564754" w14:textId="77777777" w:rsidR="00A73F28" w:rsidRPr="00A17DD4" w:rsidRDefault="00A73F28" w:rsidP="007C4DAB">
            <w:pPr>
              <w:spacing w:before="80" w:after="80" w:line="200" w:lineRule="exact"/>
              <w:ind w:left="113" w:right="113"/>
              <w:rPr>
                <w:i/>
                <w:sz w:val="16"/>
                <w:szCs w:val="16"/>
              </w:rPr>
            </w:pPr>
            <w:r w:rsidRPr="00A17DD4">
              <w:rPr>
                <w:i/>
                <w:sz w:val="16"/>
                <w:lang w:val="fr-FR"/>
              </w:rPr>
              <w:t>Président</w:t>
            </w:r>
          </w:p>
        </w:tc>
        <w:tc>
          <w:tcPr>
            <w:tcW w:w="2975" w:type="dxa"/>
            <w:tcBorders>
              <w:top w:val="single" w:sz="4" w:space="0" w:color="auto"/>
              <w:bottom w:val="single" w:sz="12" w:space="0" w:color="auto"/>
            </w:tcBorders>
            <w:shd w:val="clear" w:color="auto" w:fill="auto"/>
            <w:tcMar>
              <w:left w:w="0" w:type="dxa"/>
            </w:tcMar>
            <w:vAlign w:val="bottom"/>
          </w:tcPr>
          <w:p w14:paraId="64FB27CC" w14:textId="77777777" w:rsidR="00A73F28" w:rsidRPr="00A17DD4" w:rsidRDefault="00A73F28" w:rsidP="007C4DAB">
            <w:pPr>
              <w:spacing w:before="80" w:after="80" w:line="200" w:lineRule="exact"/>
              <w:ind w:left="113" w:right="113"/>
              <w:rPr>
                <w:i/>
                <w:sz w:val="16"/>
                <w:szCs w:val="16"/>
              </w:rPr>
            </w:pPr>
            <w:r w:rsidRPr="00A17DD4">
              <w:rPr>
                <w:i/>
                <w:sz w:val="16"/>
                <w:lang w:val="fr-FR"/>
              </w:rPr>
              <w:t>Secrétaire</w:t>
            </w:r>
          </w:p>
        </w:tc>
      </w:tr>
      <w:tr w:rsidR="00A17DD4" w:rsidRPr="00A17DD4" w14:paraId="7C2085AB" w14:textId="77777777" w:rsidTr="00683966">
        <w:trPr>
          <w:trHeight w:hRule="exact" w:val="113"/>
        </w:trPr>
        <w:tc>
          <w:tcPr>
            <w:tcW w:w="2127" w:type="dxa"/>
            <w:tcBorders>
              <w:top w:val="single" w:sz="12" w:space="0" w:color="auto"/>
            </w:tcBorders>
            <w:shd w:val="clear" w:color="auto" w:fill="auto"/>
          </w:tcPr>
          <w:p w14:paraId="3C0360DC" w14:textId="77777777" w:rsidR="00A17DD4" w:rsidRPr="00A17DD4" w:rsidRDefault="00A17DD4" w:rsidP="007C4DAB">
            <w:pPr>
              <w:spacing w:before="40" w:after="120"/>
              <w:ind w:left="113" w:right="113"/>
              <w:rPr>
                <w:lang w:val="fr-FR"/>
              </w:rPr>
            </w:pPr>
          </w:p>
        </w:tc>
        <w:tc>
          <w:tcPr>
            <w:tcW w:w="3402" w:type="dxa"/>
            <w:tcBorders>
              <w:top w:val="single" w:sz="12" w:space="0" w:color="auto"/>
            </w:tcBorders>
            <w:shd w:val="clear" w:color="auto" w:fill="auto"/>
            <w:tcMar>
              <w:left w:w="113" w:type="dxa"/>
            </w:tcMar>
          </w:tcPr>
          <w:p w14:paraId="68A7B774" w14:textId="77777777" w:rsidR="00A17DD4" w:rsidRPr="00A17DD4" w:rsidRDefault="00A17DD4" w:rsidP="007C4DAB">
            <w:pPr>
              <w:spacing w:before="40" w:after="120"/>
              <w:ind w:left="113" w:right="113"/>
              <w:rPr>
                <w:lang w:val="fr-FR"/>
              </w:rPr>
            </w:pPr>
          </w:p>
        </w:tc>
        <w:tc>
          <w:tcPr>
            <w:tcW w:w="2975" w:type="dxa"/>
            <w:tcBorders>
              <w:top w:val="single" w:sz="12" w:space="0" w:color="auto"/>
            </w:tcBorders>
            <w:shd w:val="clear" w:color="auto" w:fill="auto"/>
            <w:tcMar>
              <w:left w:w="113" w:type="dxa"/>
            </w:tcMar>
          </w:tcPr>
          <w:p w14:paraId="0535CDB0" w14:textId="77777777" w:rsidR="00A17DD4" w:rsidRPr="00A17DD4" w:rsidRDefault="00A17DD4" w:rsidP="007C4DAB">
            <w:pPr>
              <w:spacing w:before="40" w:after="120"/>
              <w:ind w:left="113" w:right="113"/>
              <w:rPr>
                <w:lang w:val="fr-FR"/>
              </w:rPr>
            </w:pPr>
          </w:p>
        </w:tc>
      </w:tr>
      <w:tr w:rsidR="00A73F28" w:rsidRPr="00A17DD4" w14:paraId="0B2DB94A" w14:textId="77777777" w:rsidTr="007C4DAB">
        <w:tc>
          <w:tcPr>
            <w:tcW w:w="2127" w:type="dxa"/>
            <w:shd w:val="clear" w:color="auto" w:fill="auto"/>
          </w:tcPr>
          <w:p w14:paraId="06B4DBD3" w14:textId="77777777" w:rsidR="00A73F28" w:rsidRPr="00A17DD4" w:rsidRDefault="00A73F28" w:rsidP="007C4DAB">
            <w:pPr>
              <w:spacing w:before="40" w:after="120"/>
              <w:ind w:left="113" w:right="113"/>
            </w:pPr>
            <w:r w:rsidRPr="00A17DD4">
              <w:rPr>
                <w:lang w:val="fr-FR"/>
              </w:rPr>
              <w:t>Vitrages de toit panoramique (PSG)</w:t>
            </w:r>
          </w:p>
        </w:tc>
        <w:tc>
          <w:tcPr>
            <w:tcW w:w="3402" w:type="dxa"/>
            <w:shd w:val="clear" w:color="auto" w:fill="auto"/>
            <w:tcMar>
              <w:top w:w="0" w:type="dxa"/>
              <w:left w:w="0" w:type="dxa"/>
              <w:bottom w:w="0" w:type="dxa"/>
            </w:tcMar>
          </w:tcPr>
          <w:p w14:paraId="6361D3F0" w14:textId="77777777" w:rsidR="00A73F28" w:rsidRPr="00A17DD4" w:rsidRDefault="00A73F28" w:rsidP="007C4DAB">
            <w:pPr>
              <w:spacing w:before="40" w:after="120"/>
              <w:ind w:left="113" w:right="113"/>
            </w:pPr>
            <w:r w:rsidRPr="00A17DD4">
              <w:rPr>
                <w:lang w:val="fr-FR"/>
              </w:rPr>
              <w:t>M. S. B. Eom (République de Corée) (coprésidé par M. Th. Fuhrmann-Baecker (Allemagne))</w:t>
            </w:r>
          </w:p>
          <w:p w14:paraId="3B0C976C" w14:textId="77777777" w:rsidR="00A73F28" w:rsidRPr="00A17DD4" w:rsidRDefault="00A73F28" w:rsidP="007C4DAB">
            <w:pPr>
              <w:spacing w:before="40" w:after="120"/>
              <w:ind w:left="113" w:right="113"/>
            </w:pPr>
            <w:r w:rsidRPr="00A17DD4">
              <w:rPr>
                <w:lang w:val="fr-FR"/>
              </w:rPr>
              <w:t>Tél. : +82 31 3690217</w:t>
            </w:r>
          </w:p>
          <w:p w14:paraId="6D19E006" w14:textId="77777777" w:rsidR="00A73F28" w:rsidRPr="00A17DD4" w:rsidRDefault="00A73F28" w:rsidP="007C4DAB">
            <w:pPr>
              <w:spacing w:before="40" w:after="120"/>
              <w:ind w:left="113" w:right="113"/>
            </w:pPr>
            <w:r w:rsidRPr="00A17DD4">
              <w:rPr>
                <w:lang w:val="fr-FR"/>
              </w:rPr>
              <w:t>Courriel : sbeom@ts2020.kr</w:t>
            </w:r>
          </w:p>
        </w:tc>
        <w:tc>
          <w:tcPr>
            <w:tcW w:w="2975" w:type="dxa"/>
            <w:shd w:val="clear" w:color="auto" w:fill="auto"/>
            <w:tcMar>
              <w:top w:w="113" w:type="dxa"/>
              <w:bottom w:w="113" w:type="dxa"/>
            </w:tcMar>
          </w:tcPr>
          <w:p w14:paraId="14B44590" w14:textId="77777777" w:rsidR="00A73F28" w:rsidRPr="00A17DD4" w:rsidRDefault="00A73F28" w:rsidP="007C4DAB">
            <w:pPr>
              <w:spacing w:before="40" w:after="120"/>
              <w:ind w:left="113" w:right="113"/>
              <w:rPr>
                <w:lang w:val="en-US"/>
              </w:rPr>
            </w:pPr>
            <w:r w:rsidRPr="00A17DD4">
              <w:rPr>
                <w:lang w:val="en-US"/>
              </w:rPr>
              <w:t>M. S. Müller von Kralik (CLEPA)</w:t>
            </w:r>
          </w:p>
          <w:p w14:paraId="62DD50B2" w14:textId="77777777" w:rsidR="00A73F28" w:rsidRPr="00A17DD4" w:rsidRDefault="00A73F28" w:rsidP="007C4DAB">
            <w:pPr>
              <w:spacing w:before="40" w:after="120"/>
              <w:ind w:left="113" w:right="113"/>
            </w:pPr>
            <w:r w:rsidRPr="00A17DD4">
              <w:rPr>
                <w:lang w:val="fr-FR"/>
              </w:rPr>
              <w:t>Tél. : +49 89 85794 1625</w:t>
            </w:r>
          </w:p>
          <w:p w14:paraId="5F6D9D05" w14:textId="77777777" w:rsidR="00A73F28" w:rsidRPr="00A17DD4" w:rsidRDefault="00A73F28" w:rsidP="007C4DAB">
            <w:pPr>
              <w:spacing w:before="40" w:after="120"/>
              <w:ind w:left="113" w:right="113"/>
              <w:rPr>
                <w:b/>
                <w:bCs/>
              </w:rPr>
            </w:pPr>
            <w:r w:rsidRPr="00A17DD4">
              <w:rPr>
                <w:lang w:val="fr-FR"/>
              </w:rPr>
              <w:t>Courriel : Bianca.Retr@webasto.com</w:t>
            </w:r>
          </w:p>
        </w:tc>
      </w:tr>
      <w:tr w:rsidR="00A73F28" w:rsidRPr="00A17DD4" w14:paraId="57D5F172" w14:textId="77777777" w:rsidTr="007C4DAB">
        <w:tc>
          <w:tcPr>
            <w:tcW w:w="2127" w:type="dxa"/>
            <w:shd w:val="clear" w:color="auto" w:fill="auto"/>
          </w:tcPr>
          <w:p w14:paraId="7429F1A5" w14:textId="77777777" w:rsidR="00A73F28" w:rsidRPr="00A17DD4" w:rsidRDefault="00A73F28" w:rsidP="007C4DAB">
            <w:pPr>
              <w:spacing w:before="40" w:after="120"/>
              <w:ind w:left="113" w:right="113"/>
            </w:pPr>
            <w:r w:rsidRPr="00A17DD4">
              <w:rPr>
                <w:lang w:val="fr-FR"/>
              </w:rPr>
              <w:t>Détection</w:t>
            </w:r>
            <w:r w:rsidR="00683966">
              <w:rPr>
                <w:lang w:val="fr-FR"/>
              </w:rPr>
              <w:t xml:space="preserve"> </w:t>
            </w:r>
            <w:r w:rsidRPr="00A17DD4">
              <w:rPr>
                <w:lang w:val="fr-FR"/>
              </w:rPr>
              <w:t xml:space="preserve">de la présence d’usagers de la route vulnérables </w:t>
            </w:r>
            <w:r w:rsidR="00A17DD4">
              <w:rPr>
                <w:lang w:val="fr-FR"/>
              </w:rPr>
              <w:br/>
            </w:r>
            <w:r w:rsidRPr="00A17DD4">
              <w:rPr>
                <w:lang w:val="fr-FR"/>
              </w:rPr>
              <w:t>(VRU-Proxi)</w:t>
            </w:r>
          </w:p>
        </w:tc>
        <w:tc>
          <w:tcPr>
            <w:tcW w:w="3402" w:type="dxa"/>
            <w:shd w:val="clear" w:color="auto" w:fill="auto"/>
            <w:tcMar>
              <w:top w:w="0" w:type="dxa"/>
              <w:left w:w="0" w:type="dxa"/>
              <w:bottom w:w="0" w:type="dxa"/>
            </w:tcMar>
          </w:tcPr>
          <w:p w14:paraId="082835C4" w14:textId="77777777" w:rsidR="00A73F28" w:rsidRPr="00A17DD4" w:rsidRDefault="00A73F28" w:rsidP="007C4DAB">
            <w:pPr>
              <w:spacing w:before="40" w:after="120"/>
              <w:ind w:left="113" w:right="113"/>
            </w:pPr>
            <w:r w:rsidRPr="00A17DD4">
              <w:rPr>
                <w:lang w:val="fr-FR"/>
              </w:rPr>
              <w:t>M. Y. Matsui (Japon) (Président)</w:t>
            </w:r>
          </w:p>
          <w:p w14:paraId="09A34632" w14:textId="77777777" w:rsidR="00A73F28" w:rsidRPr="00A17DD4" w:rsidRDefault="00A73F28" w:rsidP="007C4DAB">
            <w:pPr>
              <w:spacing w:before="40" w:after="120"/>
              <w:ind w:left="113" w:right="113"/>
            </w:pPr>
            <w:r w:rsidRPr="00A17DD4">
              <w:rPr>
                <w:lang w:val="fr-FR"/>
              </w:rPr>
              <w:t xml:space="preserve">M. P. </w:t>
            </w:r>
            <w:proofErr w:type="spellStart"/>
            <w:r w:rsidRPr="00A17DD4">
              <w:rPr>
                <w:lang w:val="fr-FR"/>
              </w:rPr>
              <w:t>Broertjes</w:t>
            </w:r>
            <w:proofErr w:type="spellEnd"/>
            <w:r w:rsidRPr="00A17DD4">
              <w:rPr>
                <w:lang w:val="fr-FR"/>
              </w:rPr>
              <w:t xml:space="preserve"> (CE) (Vice-</w:t>
            </w:r>
            <w:r w:rsidR="00114992" w:rsidRPr="00A17DD4">
              <w:rPr>
                <w:lang w:val="fr-FR"/>
              </w:rPr>
              <w:t>Président</w:t>
            </w:r>
            <w:r w:rsidRPr="00A17DD4">
              <w:rPr>
                <w:lang w:val="fr-FR"/>
              </w:rPr>
              <w:t>)</w:t>
            </w:r>
          </w:p>
          <w:p w14:paraId="57C8A329" w14:textId="77777777" w:rsidR="00A73F28" w:rsidRPr="00A17DD4" w:rsidRDefault="00A73F28" w:rsidP="007C4DAB">
            <w:pPr>
              <w:spacing w:before="40" w:after="120"/>
              <w:ind w:left="113" w:right="113"/>
            </w:pPr>
            <w:r w:rsidRPr="00A17DD4">
              <w:rPr>
                <w:lang w:val="fr-FR"/>
              </w:rPr>
              <w:t>Tél. : +81 422 41 3371</w:t>
            </w:r>
          </w:p>
          <w:p w14:paraId="4728422C" w14:textId="77777777" w:rsidR="00A73F28" w:rsidRPr="00A17DD4" w:rsidRDefault="00A73F28" w:rsidP="007C4DAB">
            <w:pPr>
              <w:spacing w:before="40" w:after="120"/>
              <w:ind w:left="113" w:right="113"/>
            </w:pPr>
            <w:r w:rsidRPr="00A17DD4">
              <w:rPr>
                <w:lang w:val="fr-FR"/>
              </w:rPr>
              <w:t>Courriel : ymatsui@ntsel.go.jp</w:t>
            </w:r>
          </w:p>
          <w:p w14:paraId="6E7F6980" w14:textId="77777777" w:rsidR="00A73F28" w:rsidRPr="00A17DD4" w:rsidRDefault="00A73F28" w:rsidP="007C4DAB">
            <w:pPr>
              <w:spacing w:before="40" w:after="120"/>
              <w:ind w:left="113" w:right="113"/>
            </w:pPr>
            <w:r w:rsidRPr="00A17DD4">
              <w:rPr>
                <w:lang w:val="fr-FR"/>
              </w:rPr>
              <w:t>Tél. : +32 2 299 49 33</w:t>
            </w:r>
          </w:p>
          <w:p w14:paraId="28FF3356" w14:textId="77777777" w:rsidR="00A73F28" w:rsidRPr="00683966" w:rsidRDefault="00A73F28" w:rsidP="007C4DAB">
            <w:pPr>
              <w:spacing w:before="40" w:after="120"/>
              <w:ind w:left="113" w:right="113"/>
            </w:pPr>
            <w:r w:rsidRPr="00683966">
              <w:rPr>
                <w:lang w:val="fr-FR"/>
              </w:rPr>
              <w:t>Courriel : peter.broertjes@ec.europa.eu</w:t>
            </w:r>
          </w:p>
        </w:tc>
        <w:tc>
          <w:tcPr>
            <w:tcW w:w="2975" w:type="dxa"/>
            <w:shd w:val="clear" w:color="auto" w:fill="auto"/>
            <w:tcMar>
              <w:top w:w="113" w:type="dxa"/>
              <w:bottom w:w="113" w:type="dxa"/>
            </w:tcMar>
          </w:tcPr>
          <w:p w14:paraId="61612A01" w14:textId="77777777" w:rsidR="00A73F28" w:rsidRPr="00A17DD4" w:rsidRDefault="00A73F28" w:rsidP="007C4DAB">
            <w:pPr>
              <w:spacing w:before="40" w:after="120"/>
              <w:ind w:left="113" w:right="113"/>
              <w:rPr>
                <w:lang w:val="en-US"/>
              </w:rPr>
            </w:pPr>
            <w:r w:rsidRPr="00A17DD4">
              <w:rPr>
                <w:lang w:val="en-US"/>
              </w:rPr>
              <w:t>M. Johan Broeders (OICA)</w:t>
            </w:r>
          </w:p>
          <w:p w14:paraId="6795584E" w14:textId="77777777" w:rsidR="00A73F28" w:rsidRPr="00A17DD4" w:rsidRDefault="00A73F28" w:rsidP="007C4DAB">
            <w:pPr>
              <w:spacing w:before="40" w:after="120"/>
              <w:ind w:left="113" w:right="113"/>
              <w:rPr>
                <w:lang w:val="en-US"/>
              </w:rPr>
            </w:pPr>
            <w:r w:rsidRPr="00A17DD4">
              <w:rPr>
                <w:lang w:val="en-US"/>
              </w:rPr>
              <w:t xml:space="preserve">Tél. : </w:t>
            </w:r>
            <w:r w:rsidR="00114992">
              <w:rPr>
                <w:lang w:val="en-US"/>
              </w:rPr>
              <w:t>+</w:t>
            </w:r>
            <w:r w:rsidRPr="00A17DD4">
              <w:rPr>
                <w:lang w:val="en-US"/>
              </w:rPr>
              <w:t>+31 40 214 5033</w:t>
            </w:r>
          </w:p>
          <w:p w14:paraId="67699069" w14:textId="77777777" w:rsidR="00A73F28" w:rsidRPr="00683966" w:rsidRDefault="00A73F28" w:rsidP="007C4DAB">
            <w:pPr>
              <w:spacing w:before="40" w:after="120"/>
              <w:ind w:left="113" w:right="113"/>
              <w:rPr>
                <w:spacing w:val="-2"/>
              </w:rPr>
            </w:pPr>
            <w:r w:rsidRPr="00683966">
              <w:rPr>
                <w:spacing w:val="-2"/>
                <w:lang w:val="fr-FR"/>
              </w:rPr>
              <w:t>Courriel : johan.broeders@daftrucks.com</w:t>
            </w:r>
          </w:p>
        </w:tc>
      </w:tr>
      <w:tr w:rsidR="00A73F28" w:rsidRPr="00A17DD4" w14:paraId="628DC9FB" w14:textId="77777777" w:rsidTr="007C4DAB">
        <w:tc>
          <w:tcPr>
            <w:tcW w:w="2127" w:type="dxa"/>
            <w:shd w:val="clear" w:color="auto" w:fill="auto"/>
          </w:tcPr>
          <w:p w14:paraId="459C926F" w14:textId="77777777" w:rsidR="00A73F28" w:rsidRPr="00A17DD4" w:rsidRDefault="00A73F28" w:rsidP="007C4DAB">
            <w:pPr>
              <w:spacing w:before="40" w:after="120"/>
              <w:ind w:left="113" w:right="113"/>
            </w:pPr>
            <w:r w:rsidRPr="00A17DD4">
              <w:rPr>
                <w:lang w:val="fr-FR"/>
              </w:rPr>
              <w:t xml:space="preserve">Comportement </w:t>
            </w:r>
            <w:r w:rsidR="00A17DD4">
              <w:rPr>
                <w:lang w:val="fr-FR"/>
              </w:rPr>
              <w:br/>
            </w:r>
            <w:r w:rsidRPr="00A17DD4">
              <w:rPr>
                <w:lang w:val="fr-FR"/>
              </w:rPr>
              <w:t>de la structure générale des véhicules des catégories M</w:t>
            </w:r>
            <w:r w:rsidRPr="00A17DD4">
              <w:rPr>
                <w:vertAlign w:val="subscript"/>
                <w:lang w:val="fr-FR"/>
              </w:rPr>
              <w:t>2</w:t>
            </w:r>
            <w:r w:rsidRPr="00A17DD4">
              <w:rPr>
                <w:lang w:val="fr-FR"/>
              </w:rPr>
              <w:t xml:space="preserve"> et M</w:t>
            </w:r>
            <w:r w:rsidRPr="00A17DD4">
              <w:rPr>
                <w:vertAlign w:val="subscript"/>
                <w:lang w:val="fr-FR"/>
              </w:rPr>
              <w:t>3</w:t>
            </w:r>
            <w:r w:rsidRPr="00A17DD4">
              <w:rPr>
                <w:lang w:val="fr-FR"/>
              </w:rPr>
              <w:t xml:space="preserve"> </w:t>
            </w:r>
            <w:r w:rsidR="00A17DD4">
              <w:rPr>
                <w:lang w:val="fr-FR"/>
              </w:rPr>
              <w:br/>
            </w:r>
            <w:r w:rsidRPr="00A17DD4">
              <w:rPr>
                <w:lang w:val="fr-FR"/>
              </w:rPr>
              <w:t xml:space="preserve">en cas </w:t>
            </w:r>
            <w:bookmarkStart w:id="3" w:name="_GoBack"/>
            <w:bookmarkEnd w:id="3"/>
            <w:r w:rsidRPr="00A17DD4">
              <w:rPr>
                <w:lang w:val="fr-FR"/>
              </w:rPr>
              <w:t>d’incendie</w:t>
            </w:r>
          </w:p>
        </w:tc>
        <w:tc>
          <w:tcPr>
            <w:tcW w:w="3402" w:type="dxa"/>
            <w:shd w:val="clear" w:color="auto" w:fill="auto"/>
            <w:tcMar>
              <w:top w:w="0" w:type="dxa"/>
              <w:left w:w="0" w:type="dxa"/>
              <w:bottom w:w="0" w:type="dxa"/>
            </w:tcMar>
          </w:tcPr>
          <w:p w14:paraId="22AA7502" w14:textId="77777777" w:rsidR="00A73F28" w:rsidRPr="00A17DD4" w:rsidRDefault="00A73F28" w:rsidP="007C4DAB">
            <w:pPr>
              <w:spacing w:before="40" w:after="120"/>
              <w:ind w:left="113" w:right="113"/>
            </w:pPr>
            <w:r w:rsidRPr="00A17DD4">
              <w:rPr>
                <w:lang w:val="fr-FR"/>
              </w:rPr>
              <w:t>M. F. Herveleu (France) (Président)</w:t>
            </w:r>
          </w:p>
          <w:p w14:paraId="0057888D" w14:textId="77777777" w:rsidR="00A73F28" w:rsidRPr="00A17DD4" w:rsidRDefault="00A73F28" w:rsidP="007C4DAB">
            <w:pPr>
              <w:spacing w:before="40" w:after="120"/>
              <w:ind w:left="113" w:right="113"/>
            </w:pPr>
            <w:r w:rsidRPr="00A17DD4">
              <w:rPr>
                <w:lang w:val="fr-FR"/>
              </w:rPr>
              <w:t>Tél. : +33 1 69 803407</w:t>
            </w:r>
          </w:p>
          <w:p w14:paraId="391E2CE4" w14:textId="77777777" w:rsidR="00A73F28" w:rsidRPr="00A17DD4" w:rsidRDefault="00A73F28" w:rsidP="007C4DAB">
            <w:pPr>
              <w:spacing w:before="40" w:after="120"/>
              <w:ind w:left="113" w:right="113"/>
            </w:pPr>
            <w:r w:rsidRPr="00A17DD4">
              <w:rPr>
                <w:lang w:val="fr-FR"/>
              </w:rPr>
              <w:t>Courriel : fabrice.herveleu@utacceram.com</w:t>
            </w:r>
          </w:p>
        </w:tc>
        <w:tc>
          <w:tcPr>
            <w:tcW w:w="2975" w:type="dxa"/>
            <w:shd w:val="clear" w:color="auto" w:fill="auto"/>
            <w:tcMar>
              <w:top w:w="113" w:type="dxa"/>
              <w:bottom w:w="113" w:type="dxa"/>
            </w:tcMar>
          </w:tcPr>
          <w:p w14:paraId="55ACEBFD" w14:textId="77777777" w:rsidR="00A73F28" w:rsidRPr="00A17DD4" w:rsidRDefault="00A73F28" w:rsidP="007C4DAB">
            <w:pPr>
              <w:spacing w:before="40" w:after="120"/>
              <w:ind w:left="113" w:right="113"/>
            </w:pPr>
            <w:r w:rsidRPr="00A17DD4">
              <w:rPr>
                <w:lang w:val="fr-FR"/>
              </w:rPr>
              <w:t>M. O. Fontaine (OICA)</w:t>
            </w:r>
          </w:p>
          <w:p w14:paraId="65E623DF" w14:textId="77777777" w:rsidR="00A73F28" w:rsidRPr="00A17DD4" w:rsidRDefault="00A73F28" w:rsidP="007C4DAB">
            <w:pPr>
              <w:spacing w:before="40" w:after="120"/>
              <w:ind w:left="113" w:right="113"/>
            </w:pPr>
            <w:r w:rsidRPr="00A17DD4">
              <w:rPr>
                <w:lang w:val="fr-FR"/>
              </w:rPr>
              <w:t>Tél. : +33 1 43590013</w:t>
            </w:r>
          </w:p>
          <w:p w14:paraId="48FB0F7B" w14:textId="77777777" w:rsidR="00A73F28" w:rsidRPr="00A17DD4" w:rsidRDefault="00A73F28" w:rsidP="007C4DAB">
            <w:pPr>
              <w:spacing w:before="40" w:after="120"/>
              <w:ind w:left="113" w:right="113"/>
            </w:pPr>
            <w:r w:rsidRPr="00A17DD4">
              <w:rPr>
                <w:lang w:val="fr-FR"/>
              </w:rPr>
              <w:t>Courriel : ofontaine@oica.net</w:t>
            </w:r>
          </w:p>
        </w:tc>
      </w:tr>
      <w:tr w:rsidR="00A73F28" w:rsidRPr="00A17DD4" w14:paraId="5F856F0D" w14:textId="77777777" w:rsidTr="007C4DAB">
        <w:tc>
          <w:tcPr>
            <w:tcW w:w="2127" w:type="dxa"/>
            <w:tcBorders>
              <w:bottom w:val="single" w:sz="12" w:space="0" w:color="auto"/>
            </w:tcBorders>
            <w:shd w:val="clear" w:color="auto" w:fill="auto"/>
          </w:tcPr>
          <w:p w14:paraId="748A9C64" w14:textId="77777777" w:rsidR="00A73F28" w:rsidRPr="00A17DD4" w:rsidRDefault="00A73F28" w:rsidP="007C4DAB">
            <w:pPr>
              <w:spacing w:before="40" w:after="120"/>
              <w:ind w:left="113" w:right="113"/>
            </w:pPr>
            <w:r w:rsidRPr="00A17DD4">
              <w:t xml:space="preserve">Enregistreur </w:t>
            </w:r>
            <w:r w:rsidR="00A17DD4">
              <w:br/>
            </w:r>
            <w:r w:rsidRPr="00A17DD4">
              <w:t xml:space="preserve">de données de route </w:t>
            </w:r>
            <w:r w:rsidR="00A17DD4">
              <w:br/>
            </w:r>
            <w:r w:rsidRPr="00A17DD4">
              <w:t>et</w:t>
            </w:r>
            <w:r w:rsidR="00A17DD4">
              <w:t xml:space="preserve"> </w:t>
            </w:r>
            <w:r w:rsidRPr="00A17DD4">
              <w:t>Système de stockage de données pour véhicules à conduite automatisée (EDR/DSSAD)</w:t>
            </w:r>
          </w:p>
        </w:tc>
        <w:tc>
          <w:tcPr>
            <w:tcW w:w="3402" w:type="dxa"/>
            <w:tcBorders>
              <w:bottom w:val="single" w:sz="12" w:space="0" w:color="auto"/>
            </w:tcBorders>
            <w:shd w:val="clear" w:color="auto" w:fill="auto"/>
            <w:tcMar>
              <w:top w:w="0" w:type="dxa"/>
              <w:left w:w="0" w:type="dxa"/>
              <w:bottom w:w="0" w:type="dxa"/>
            </w:tcMar>
          </w:tcPr>
          <w:p w14:paraId="049E8BFD" w14:textId="77777777" w:rsidR="00A73F28" w:rsidRPr="00A17DD4" w:rsidRDefault="00A73F28" w:rsidP="007C4DAB">
            <w:pPr>
              <w:spacing w:before="40" w:after="120"/>
              <w:ind w:left="113" w:right="113"/>
            </w:pPr>
            <w:r w:rsidRPr="00A17DD4">
              <w:rPr>
                <w:lang w:val="fr-FR"/>
              </w:rPr>
              <w:t>(À déterminer)</w:t>
            </w:r>
          </w:p>
        </w:tc>
        <w:tc>
          <w:tcPr>
            <w:tcW w:w="2975" w:type="dxa"/>
            <w:tcBorders>
              <w:bottom w:val="single" w:sz="12" w:space="0" w:color="auto"/>
            </w:tcBorders>
            <w:shd w:val="clear" w:color="auto" w:fill="auto"/>
            <w:tcMar>
              <w:top w:w="113" w:type="dxa"/>
              <w:bottom w:w="113" w:type="dxa"/>
            </w:tcMar>
          </w:tcPr>
          <w:p w14:paraId="516D0C80" w14:textId="77777777" w:rsidR="00A73F28" w:rsidRPr="00A17DD4" w:rsidRDefault="00A73F28" w:rsidP="007C4DAB">
            <w:pPr>
              <w:spacing w:before="40" w:after="120"/>
              <w:ind w:left="113" w:right="113"/>
            </w:pPr>
            <w:r w:rsidRPr="00A17DD4">
              <w:rPr>
                <w:lang w:val="fr-FR"/>
              </w:rPr>
              <w:t>(À déterminer)</w:t>
            </w:r>
          </w:p>
        </w:tc>
      </w:tr>
    </w:tbl>
    <w:p w14:paraId="1D023CC9" w14:textId="77777777" w:rsidR="00A73F28" w:rsidRPr="00903D6A" w:rsidRDefault="00903D6A" w:rsidP="00903D6A">
      <w:pPr>
        <w:pStyle w:val="SingleTxtG"/>
        <w:spacing w:before="240" w:after="0"/>
        <w:jc w:val="center"/>
        <w:rPr>
          <w:u w:val="single"/>
        </w:rPr>
      </w:pPr>
      <w:r>
        <w:rPr>
          <w:u w:val="single"/>
        </w:rPr>
        <w:tab/>
      </w:r>
      <w:r>
        <w:rPr>
          <w:u w:val="single"/>
        </w:rPr>
        <w:tab/>
      </w:r>
      <w:r>
        <w:rPr>
          <w:u w:val="single"/>
        </w:rPr>
        <w:tab/>
      </w:r>
    </w:p>
    <w:sectPr w:rsidR="00A73F28" w:rsidRPr="00903D6A" w:rsidSect="00D82D1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21B0" w14:textId="77777777" w:rsidR="0022389D" w:rsidRDefault="0022389D" w:rsidP="00F95C08">
      <w:pPr>
        <w:spacing w:line="240" w:lineRule="auto"/>
      </w:pPr>
    </w:p>
  </w:endnote>
  <w:endnote w:type="continuationSeparator" w:id="0">
    <w:p w14:paraId="20F97E16" w14:textId="77777777" w:rsidR="0022389D" w:rsidRPr="00AC3823" w:rsidRDefault="0022389D" w:rsidP="00AC3823">
      <w:pPr>
        <w:pStyle w:val="Pieddepage"/>
      </w:pPr>
    </w:p>
  </w:endnote>
  <w:endnote w:type="continuationNotice" w:id="1">
    <w:p w14:paraId="6C192B91" w14:textId="77777777" w:rsidR="0022389D" w:rsidRDefault="002238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099F" w14:textId="77777777" w:rsidR="0022389D" w:rsidRPr="00F813B2" w:rsidRDefault="0022389D" w:rsidP="00F813B2">
    <w:pPr>
      <w:pStyle w:val="Pieddepage"/>
      <w:tabs>
        <w:tab w:val="right" w:pos="9638"/>
      </w:tabs>
    </w:pPr>
    <w:r w:rsidRPr="00F813B2">
      <w:rPr>
        <w:b/>
        <w:sz w:val="18"/>
      </w:rPr>
      <w:fldChar w:fldCharType="begin"/>
    </w:r>
    <w:r w:rsidRPr="00F813B2">
      <w:rPr>
        <w:b/>
        <w:sz w:val="18"/>
      </w:rPr>
      <w:instrText xml:space="preserve"> PAGE  \* MERGEFORMAT </w:instrText>
    </w:r>
    <w:r w:rsidRPr="00F813B2">
      <w:rPr>
        <w:b/>
        <w:sz w:val="18"/>
      </w:rPr>
      <w:fldChar w:fldCharType="separate"/>
    </w:r>
    <w:r w:rsidRPr="00F813B2">
      <w:rPr>
        <w:b/>
        <w:noProof/>
        <w:sz w:val="18"/>
      </w:rPr>
      <w:t>2</w:t>
    </w:r>
    <w:r w:rsidRPr="00F813B2">
      <w:rPr>
        <w:b/>
        <w:sz w:val="18"/>
      </w:rPr>
      <w:fldChar w:fldCharType="end"/>
    </w:r>
    <w:r>
      <w:rPr>
        <w:b/>
        <w:sz w:val="18"/>
      </w:rPr>
      <w:tab/>
    </w:r>
    <w:r>
      <w:t>GE.19-08443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AEB8" w14:textId="77777777" w:rsidR="0022389D" w:rsidRPr="00F813B2" w:rsidRDefault="0022389D" w:rsidP="00F813B2">
    <w:pPr>
      <w:pStyle w:val="Pieddepage"/>
      <w:tabs>
        <w:tab w:val="right" w:pos="9638"/>
      </w:tabs>
      <w:rPr>
        <w:b/>
        <w:sz w:val="18"/>
      </w:rPr>
    </w:pPr>
    <w:r>
      <w:t>GE.19-08443</w:t>
    </w:r>
    <w:r>
      <w:tab/>
    </w:r>
    <w:r w:rsidRPr="00F813B2">
      <w:rPr>
        <w:b/>
        <w:sz w:val="18"/>
      </w:rPr>
      <w:fldChar w:fldCharType="begin"/>
    </w:r>
    <w:r w:rsidRPr="00F813B2">
      <w:rPr>
        <w:b/>
        <w:sz w:val="18"/>
      </w:rPr>
      <w:instrText xml:space="preserve"> PAGE  \* MERGEFORMAT </w:instrText>
    </w:r>
    <w:r w:rsidRPr="00F813B2">
      <w:rPr>
        <w:b/>
        <w:sz w:val="18"/>
      </w:rPr>
      <w:fldChar w:fldCharType="separate"/>
    </w:r>
    <w:r w:rsidRPr="00F813B2">
      <w:rPr>
        <w:b/>
        <w:noProof/>
        <w:sz w:val="18"/>
      </w:rPr>
      <w:t>3</w:t>
    </w:r>
    <w:r w:rsidRPr="00F813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261" w14:textId="77777777" w:rsidR="0022389D" w:rsidRPr="00F813B2" w:rsidRDefault="0022389D" w:rsidP="00F813B2">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0280ECCB" wp14:editId="2708DE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19-08443  (F)    200619    260619</w:t>
    </w:r>
    <w:r>
      <w:rPr>
        <w:sz w:val="20"/>
      </w:rPr>
      <w:br/>
    </w:r>
    <w:r w:rsidRPr="00F813B2">
      <w:rPr>
        <w:rFonts w:ascii="C39T30Lfz" w:hAnsi="C39T30Lfz"/>
        <w:sz w:val="56"/>
      </w:rPr>
      <w:t></w:t>
    </w:r>
    <w:r w:rsidRPr="00F813B2">
      <w:rPr>
        <w:rFonts w:ascii="C39T30Lfz" w:hAnsi="C39T30Lfz"/>
        <w:sz w:val="56"/>
      </w:rPr>
      <w:t></w:t>
    </w:r>
    <w:r w:rsidRPr="00F813B2">
      <w:rPr>
        <w:rFonts w:ascii="C39T30Lfz" w:hAnsi="C39T30Lfz"/>
        <w:sz w:val="56"/>
      </w:rPr>
      <w:t></w:t>
    </w:r>
    <w:r w:rsidRPr="00F813B2">
      <w:rPr>
        <w:rFonts w:ascii="C39T30Lfz" w:hAnsi="C39T30Lfz"/>
        <w:sz w:val="56"/>
      </w:rPr>
      <w:t></w:t>
    </w:r>
    <w:r w:rsidRPr="00F813B2">
      <w:rPr>
        <w:rFonts w:ascii="C39T30Lfz" w:hAnsi="C39T30Lfz"/>
        <w:sz w:val="56"/>
      </w:rPr>
      <w:t></w:t>
    </w:r>
    <w:r w:rsidRPr="00F813B2">
      <w:rPr>
        <w:rFonts w:ascii="C39T30Lfz" w:hAnsi="C39T30Lfz"/>
        <w:sz w:val="56"/>
      </w:rPr>
      <w:t></w:t>
    </w:r>
    <w:r w:rsidRPr="00F813B2">
      <w:rPr>
        <w:rFonts w:ascii="C39T30Lfz" w:hAnsi="C39T30Lfz"/>
        <w:sz w:val="56"/>
      </w:rPr>
      <w:t></w:t>
    </w:r>
    <w:r w:rsidRPr="00F813B2">
      <w:rPr>
        <w:rFonts w:ascii="C39T30Lfz" w:hAnsi="C39T30Lfz"/>
        <w:sz w:val="56"/>
      </w:rPr>
      <w:t></w:t>
    </w:r>
    <w:r w:rsidRPr="00F813B2">
      <w:rPr>
        <w:rFonts w:ascii="C39T30Lfz" w:hAnsi="C39T30Lfz"/>
        <w:sz w:val="56"/>
      </w:rPr>
      <w:t></w:t>
    </w:r>
    <w:r>
      <w:rPr>
        <w:noProof/>
        <w:sz w:val="20"/>
      </w:rPr>
      <w:drawing>
        <wp:anchor distT="0" distB="0" distL="114300" distR="114300" simplePos="0" relativeHeight="251654144" behindDoc="0" locked="0" layoutInCell="1" allowOverlap="1" wp14:anchorId="1A58E52D" wp14:editId="5F5CB36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99BC" w14:textId="77777777" w:rsidR="0022389D" w:rsidRPr="00AC3823" w:rsidRDefault="0022389D" w:rsidP="00AC3823">
      <w:pPr>
        <w:pStyle w:val="Pieddepage"/>
        <w:tabs>
          <w:tab w:val="right" w:pos="2155"/>
        </w:tabs>
        <w:spacing w:after="80" w:line="240" w:lineRule="atLeast"/>
        <w:ind w:left="680"/>
        <w:rPr>
          <w:u w:val="single"/>
        </w:rPr>
      </w:pPr>
      <w:r>
        <w:rPr>
          <w:u w:val="single"/>
        </w:rPr>
        <w:tab/>
      </w:r>
    </w:p>
  </w:footnote>
  <w:footnote w:type="continuationSeparator" w:id="0">
    <w:p w14:paraId="7227D59F" w14:textId="77777777" w:rsidR="0022389D" w:rsidRPr="00AC3823" w:rsidRDefault="0022389D" w:rsidP="00AC3823">
      <w:pPr>
        <w:pStyle w:val="Pieddepage"/>
        <w:tabs>
          <w:tab w:val="right" w:pos="2155"/>
        </w:tabs>
        <w:spacing w:after="80" w:line="240" w:lineRule="atLeast"/>
        <w:ind w:left="680"/>
        <w:rPr>
          <w:u w:val="single"/>
        </w:rPr>
      </w:pPr>
      <w:r>
        <w:rPr>
          <w:u w:val="single"/>
        </w:rPr>
        <w:tab/>
      </w:r>
    </w:p>
  </w:footnote>
  <w:footnote w:type="continuationNotice" w:id="1">
    <w:p w14:paraId="616650C1" w14:textId="77777777" w:rsidR="0022389D" w:rsidRPr="00AC3823" w:rsidRDefault="0022389D">
      <w:pPr>
        <w:spacing w:line="240" w:lineRule="auto"/>
        <w:rPr>
          <w:sz w:val="2"/>
          <w:szCs w:val="2"/>
        </w:rPr>
      </w:pPr>
    </w:p>
  </w:footnote>
  <w:footnote w:id="2">
    <w:p w14:paraId="025A8DBF" w14:textId="77777777" w:rsidR="0022389D" w:rsidRPr="00546884" w:rsidRDefault="0022389D" w:rsidP="00A73F28">
      <w:pPr>
        <w:pStyle w:val="Notedebasdepage"/>
      </w:pPr>
      <w:r>
        <w:rPr>
          <w:lang w:val="fr-FR"/>
        </w:rPr>
        <w:tab/>
      </w:r>
      <w:r w:rsidRPr="00903110">
        <w:rPr>
          <w:rStyle w:val="Appelnotedebasdep"/>
        </w:rPr>
        <w:footnoteRef/>
      </w:r>
      <w:r>
        <w:rPr>
          <w:lang w:val="fr-FR"/>
        </w:rPr>
        <w:t xml:space="preserve"> </w:t>
      </w:r>
      <w:r>
        <w:rPr>
          <w:lang w:val="fr-FR"/>
        </w:rPr>
        <w:tab/>
        <w:t>Le GRSG a noté que la date limite pour la communication des documents officiels au secrétariat de la CEE avait été fixée au 12 juillet 2019, soit douze semaines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A681" w14:textId="6D217B41" w:rsidR="0022389D" w:rsidRPr="00F813B2" w:rsidRDefault="0022389D" w:rsidP="00D82D13">
    <w:pPr>
      <w:pStyle w:val="En-tte"/>
      <w:tabs>
        <w:tab w:val="left" w:pos="3265"/>
      </w:tabs>
    </w:pPr>
    <w:fldSimple w:instr=" TITLE  \* MERGEFORMAT ">
      <w:r w:rsidR="00204C04">
        <w:t>ECE/TRANS/WP.29/GRSG/95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C250" w14:textId="7B7C035D" w:rsidR="0022389D" w:rsidRPr="00F813B2" w:rsidRDefault="0022389D" w:rsidP="00F813B2">
    <w:pPr>
      <w:pStyle w:val="En-tte"/>
      <w:jc w:val="right"/>
    </w:pPr>
    <w:fldSimple w:instr=" TITLE  \* MERGEFORMAT ">
      <w:r w:rsidR="00204C04">
        <w:t>ECE/TRANS/WP.29/GRSG/95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2508"/>
    <w:rsid w:val="0000258A"/>
    <w:rsid w:val="00017F94"/>
    <w:rsid w:val="00023842"/>
    <w:rsid w:val="000334F9"/>
    <w:rsid w:val="00033CC9"/>
    <w:rsid w:val="00045FEB"/>
    <w:rsid w:val="0007796D"/>
    <w:rsid w:val="000B7790"/>
    <w:rsid w:val="000C78BC"/>
    <w:rsid w:val="000D0A30"/>
    <w:rsid w:val="001014E5"/>
    <w:rsid w:val="00111F2F"/>
    <w:rsid w:val="00114992"/>
    <w:rsid w:val="00135BAF"/>
    <w:rsid w:val="0014365E"/>
    <w:rsid w:val="00143C66"/>
    <w:rsid w:val="001639FF"/>
    <w:rsid w:val="00174CE0"/>
    <w:rsid w:val="00176178"/>
    <w:rsid w:val="00186651"/>
    <w:rsid w:val="001942B5"/>
    <w:rsid w:val="001C5B37"/>
    <w:rsid w:val="001F525A"/>
    <w:rsid w:val="00203033"/>
    <w:rsid w:val="00204C04"/>
    <w:rsid w:val="00214558"/>
    <w:rsid w:val="00223272"/>
    <w:rsid w:val="0022389D"/>
    <w:rsid w:val="0024779E"/>
    <w:rsid w:val="00257168"/>
    <w:rsid w:val="002744B8"/>
    <w:rsid w:val="002832AC"/>
    <w:rsid w:val="0029315A"/>
    <w:rsid w:val="002D7C93"/>
    <w:rsid w:val="00305801"/>
    <w:rsid w:val="00333B77"/>
    <w:rsid w:val="00360726"/>
    <w:rsid w:val="003916DE"/>
    <w:rsid w:val="003E672E"/>
    <w:rsid w:val="003F4811"/>
    <w:rsid w:val="00421996"/>
    <w:rsid w:val="00441C3B"/>
    <w:rsid w:val="00442B26"/>
    <w:rsid w:val="00446FE5"/>
    <w:rsid w:val="00452396"/>
    <w:rsid w:val="004837D8"/>
    <w:rsid w:val="00497BE0"/>
    <w:rsid w:val="004A33C8"/>
    <w:rsid w:val="004C1875"/>
    <w:rsid w:val="004E20DE"/>
    <w:rsid w:val="004E2EED"/>
    <w:rsid w:val="004E3980"/>
    <w:rsid w:val="004E468C"/>
    <w:rsid w:val="00517C88"/>
    <w:rsid w:val="005267B7"/>
    <w:rsid w:val="00536FF6"/>
    <w:rsid w:val="005505B7"/>
    <w:rsid w:val="00564E88"/>
    <w:rsid w:val="005721B8"/>
    <w:rsid w:val="00573BE5"/>
    <w:rsid w:val="00586ED3"/>
    <w:rsid w:val="0059385E"/>
    <w:rsid w:val="00596AA9"/>
    <w:rsid w:val="0059708E"/>
    <w:rsid w:val="005D6964"/>
    <w:rsid w:val="005E3812"/>
    <w:rsid w:val="005E57B4"/>
    <w:rsid w:val="005E654F"/>
    <w:rsid w:val="005E77CE"/>
    <w:rsid w:val="006064C7"/>
    <w:rsid w:val="00635B94"/>
    <w:rsid w:val="00636E92"/>
    <w:rsid w:val="006409F0"/>
    <w:rsid w:val="00650C6C"/>
    <w:rsid w:val="006559AD"/>
    <w:rsid w:val="00677671"/>
    <w:rsid w:val="00683966"/>
    <w:rsid w:val="0069515B"/>
    <w:rsid w:val="006B7F6F"/>
    <w:rsid w:val="007101C0"/>
    <w:rsid w:val="0071601D"/>
    <w:rsid w:val="007247CA"/>
    <w:rsid w:val="007264BE"/>
    <w:rsid w:val="00791B5A"/>
    <w:rsid w:val="007A62E6"/>
    <w:rsid w:val="007C4DAB"/>
    <w:rsid w:val="007E0D05"/>
    <w:rsid w:val="007E63DA"/>
    <w:rsid w:val="007F20FA"/>
    <w:rsid w:val="0080684C"/>
    <w:rsid w:val="008426C5"/>
    <w:rsid w:val="00864139"/>
    <w:rsid w:val="00871C75"/>
    <w:rsid w:val="008776DC"/>
    <w:rsid w:val="00880F5B"/>
    <w:rsid w:val="008F3A08"/>
    <w:rsid w:val="00903D6A"/>
    <w:rsid w:val="00915B7D"/>
    <w:rsid w:val="009446C0"/>
    <w:rsid w:val="00953D0B"/>
    <w:rsid w:val="00964E57"/>
    <w:rsid w:val="009705C8"/>
    <w:rsid w:val="00992D8F"/>
    <w:rsid w:val="0099442A"/>
    <w:rsid w:val="00997C6F"/>
    <w:rsid w:val="009A59F3"/>
    <w:rsid w:val="009C1CF4"/>
    <w:rsid w:val="009C6E0C"/>
    <w:rsid w:val="009F6B74"/>
    <w:rsid w:val="00A07F3E"/>
    <w:rsid w:val="00A136CC"/>
    <w:rsid w:val="00A17DD4"/>
    <w:rsid w:val="00A3029F"/>
    <w:rsid w:val="00A30353"/>
    <w:rsid w:val="00A405B4"/>
    <w:rsid w:val="00A44D5E"/>
    <w:rsid w:val="00A73F28"/>
    <w:rsid w:val="00A931C1"/>
    <w:rsid w:val="00AC3823"/>
    <w:rsid w:val="00AE323C"/>
    <w:rsid w:val="00AF0CB5"/>
    <w:rsid w:val="00B00181"/>
    <w:rsid w:val="00B00B0D"/>
    <w:rsid w:val="00B338B7"/>
    <w:rsid w:val="00B45F2E"/>
    <w:rsid w:val="00B6194E"/>
    <w:rsid w:val="00B706E7"/>
    <w:rsid w:val="00B73D3D"/>
    <w:rsid w:val="00B74950"/>
    <w:rsid w:val="00B765F7"/>
    <w:rsid w:val="00BA0CA9"/>
    <w:rsid w:val="00BA37D1"/>
    <w:rsid w:val="00BB3029"/>
    <w:rsid w:val="00BD103A"/>
    <w:rsid w:val="00BF4242"/>
    <w:rsid w:val="00C026EF"/>
    <w:rsid w:val="00C02897"/>
    <w:rsid w:val="00C03976"/>
    <w:rsid w:val="00C130B9"/>
    <w:rsid w:val="00C17BED"/>
    <w:rsid w:val="00C22A23"/>
    <w:rsid w:val="00C535E2"/>
    <w:rsid w:val="00C55444"/>
    <w:rsid w:val="00C84041"/>
    <w:rsid w:val="00C97039"/>
    <w:rsid w:val="00CC633B"/>
    <w:rsid w:val="00D3439C"/>
    <w:rsid w:val="00D445B6"/>
    <w:rsid w:val="00D7407D"/>
    <w:rsid w:val="00D82D13"/>
    <w:rsid w:val="00D92B5D"/>
    <w:rsid w:val="00DB127F"/>
    <w:rsid w:val="00DB1831"/>
    <w:rsid w:val="00DD1F9F"/>
    <w:rsid w:val="00DD3BFD"/>
    <w:rsid w:val="00DF5C45"/>
    <w:rsid w:val="00DF6678"/>
    <w:rsid w:val="00DF7A0C"/>
    <w:rsid w:val="00DF7B07"/>
    <w:rsid w:val="00E0299A"/>
    <w:rsid w:val="00E85C74"/>
    <w:rsid w:val="00EA14E1"/>
    <w:rsid w:val="00EA6547"/>
    <w:rsid w:val="00EE35B9"/>
    <w:rsid w:val="00EF2E22"/>
    <w:rsid w:val="00F0590B"/>
    <w:rsid w:val="00F35BAF"/>
    <w:rsid w:val="00F660DF"/>
    <w:rsid w:val="00F73B49"/>
    <w:rsid w:val="00F813B2"/>
    <w:rsid w:val="00F82508"/>
    <w:rsid w:val="00F8595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DAF71"/>
  <w15:docId w15:val="{5C749CBE-EEEF-4751-A38E-4630B173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0C78BC"/>
    <w:rPr>
      <w:rFonts w:ascii="Times New Roman" w:eastAsiaTheme="minorHAnsi" w:hAnsi="Times New Roman" w:cs="Times New Roman"/>
      <w:sz w:val="20"/>
      <w:szCs w:val="20"/>
      <w:lang w:eastAsia="en-US"/>
    </w:rPr>
  </w:style>
  <w:style w:type="character" w:customStyle="1" w:styleId="H1GChar">
    <w:name w:val="_ H_1_G Char"/>
    <w:link w:val="H1G"/>
    <w:rsid w:val="000C78BC"/>
    <w:rPr>
      <w:rFonts w:ascii="Times New Roman" w:eastAsiaTheme="minorHAnsi" w:hAnsi="Times New Roman" w:cs="Times New Roman"/>
      <w:b/>
      <w:sz w:val="24"/>
      <w:szCs w:val="20"/>
      <w:lang w:eastAsia="en-US"/>
    </w:rPr>
  </w:style>
  <w:style w:type="character" w:customStyle="1" w:styleId="HChGChar">
    <w:name w:val="_ H _Ch_G Char"/>
    <w:link w:val="HChG"/>
    <w:uiPriority w:val="99"/>
    <w:rsid w:val="000C78B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25</Pages>
  <Words>10830</Words>
  <Characters>58811</Characters>
  <Application>Microsoft Office Word</Application>
  <DocSecurity>0</DocSecurity>
  <Lines>1200</Lines>
  <Paragraphs>605</Paragraphs>
  <ScaleCrop>false</ScaleCrop>
  <HeadingPairs>
    <vt:vector size="2" baseType="variant">
      <vt:variant>
        <vt:lpstr>Titre</vt:lpstr>
      </vt:variant>
      <vt:variant>
        <vt:i4>1</vt:i4>
      </vt:variant>
    </vt:vector>
  </HeadingPairs>
  <TitlesOfParts>
    <vt:vector size="1" baseType="lpstr">
      <vt:lpstr>ECE/TRANS/WP.29/GRSG/95</vt:lpstr>
    </vt:vector>
  </TitlesOfParts>
  <Company>DCM</Company>
  <LinksUpToDate>false</LinksUpToDate>
  <CharactersWithSpaces>69036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ECE/TRANS/WP.29/GRSG/95</dc:title>
  <dc:subject/>
  <dc:creator>Christine CHAUTAGNAT</dc:creator>
  <cp:keywords/>
  <cp:lastModifiedBy>Christine Chautagnat</cp:lastModifiedBy>
  <cp:revision>3</cp:revision>
  <cp:lastPrinted>2019-06-26T09:43:00Z</cp:lastPrinted>
  <dcterms:created xsi:type="dcterms:W3CDTF">2019-06-26T09:43:00Z</dcterms:created>
  <dcterms:modified xsi:type="dcterms:W3CDTF">2019-06-26T09:43:00Z</dcterms:modified>
</cp:coreProperties>
</file>