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D2F58"/>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D2F58" w:rsidP="002D2F58">
            <w:pPr>
              <w:jc w:val="right"/>
            </w:pPr>
            <w:r w:rsidRPr="002D2F58">
              <w:rPr>
                <w:sz w:val="40"/>
              </w:rPr>
              <w:t>ECE</w:t>
            </w:r>
            <w:r>
              <w:t>/TRANS/WP.29/GRSP/2019/30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D2F58" w:rsidP="00C97039">
            <w:pPr>
              <w:spacing w:before="240"/>
            </w:pPr>
            <w:r>
              <w:t>Distr. générale</w:t>
            </w:r>
          </w:p>
          <w:p w:rsidR="002D2F58" w:rsidRDefault="002D2F58" w:rsidP="002D2F58">
            <w:pPr>
              <w:spacing w:line="240" w:lineRule="exact"/>
            </w:pPr>
            <w:r>
              <w:t>26 septembre 2019</w:t>
            </w:r>
          </w:p>
          <w:p w:rsidR="002D2F58" w:rsidRDefault="002D2F58" w:rsidP="002D2F58">
            <w:pPr>
              <w:spacing w:line="240" w:lineRule="exact"/>
            </w:pPr>
            <w:r>
              <w:t>Français</w:t>
            </w:r>
          </w:p>
          <w:p w:rsidR="002D2F58" w:rsidRPr="00DB58B5" w:rsidRDefault="002D2F58" w:rsidP="002D2F5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D2F58" w:rsidRDefault="002D2F58"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2D2F58" w:rsidRDefault="002D2F58" w:rsidP="00257168">
      <w:pPr>
        <w:spacing w:before="120" w:after="120" w:line="240" w:lineRule="exact"/>
        <w:rPr>
          <w:b/>
        </w:rPr>
      </w:pPr>
      <w:r>
        <w:rPr>
          <w:b/>
        </w:rPr>
        <w:t>Groupe de travail de la sécurité passive</w:t>
      </w:r>
    </w:p>
    <w:p w:rsidR="002D2F58" w:rsidRPr="00DD4661" w:rsidRDefault="002D2F58" w:rsidP="002D2F58">
      <w:pPr>
        <w:spacing w:before="120"/>
        <w:rPr>
          <w:b/>
        </w:rPr>
      </w:pPr>
      <w:r>
        <w:rPr>
          <w:b/>
          <w:bCs/>
          <w:lang w:val="fr-FR"/>
        </w:rPr>
        <w:t>Soixante-sixième session</w:t>
      </w:r>
    </w:p>
    <w:p w:rsidR="002D2F58" w:rsidRPr="00DD4661" w:rsidRDefault="002D2F58" w:rsidP="002D2F58">
      <w:r>
        <w:rPr>
          <w:lang w:val="fr-FR"/>
        </w:rPr>
        <w:t>Genève, 10-13 décembre 2019</w:t>
      </w:r>
    </w:p>
    <w:p w:rsidR="002D2F58" w:rsidRPr="00DD4661" w:rsidRDefault="002D2F58" w:rsidP="002D2F58">
      <w:r>
        <w:rPr>
          <w:lang w:val="fr-FR"/>
        </w:rPr>
        <w:t>Point 16 de l’ordre du jour provisoire</w:t>
      </w:r>
    </w:p>
    <w:p w:rsidR="002D2F58" w:rsidRPr="00DD4661" w:rsidRDefault="002D2F58" w:rsidP="002D2F58">
      <w:r>
        <w:rPr>
          <w:b/>
          <w:bCs/>
          <w:lang w:val="fr-FR"/>
        </w:rPr>
        <w:t>Règlement ONU n</w:t>
      </w:r>
      <w:r>
        <w:rPr>
          <w:b/>
          <w:bCs/>
          <w:vertAlign w:val="superscript"/>
          <w:lang w:val="fr-FR"/>
        </w:rPr>
        <w:t>o</w:t>
      </w:r>
      <w:r>
        <w:rPr>
          <w:b/>
          <w:bCs/>
          <w:lang w:val="fr-FR"/>
        </w:rPr>
        <w:t> 95 (Collision latérale)</w:t>
      </w:r>
    </w:p>
    <w:p w:rsidR="002D2F58" w:rsidRPr="00DD4661" w:rsidRDefault="002D2F58" w:rsidP="002D2F58">
      <w:pPr>
        <w:keepNext/>
        <w:keepLines/>
        <w:tabs>
          <w:tab w:val="right" w:pos="851"/>
        </w:tabs>
        <w:spacing w:before="360" w:after="240" w:line="300" w:lineRule="exact"/>
        <w:ind w:left="1134" w:right="1134" w:hanging="1134"/>
        <w:rPr>
          <w:rFonts w:eastAsia="MS Mincho"/>
          <w:b/>
          <w:bCs/>
          <w:sz w:val="28"/>
          <w:szCs w:val="28"/>
        </w:rPr>
      </w:pPr>
      <w:r w:rsidRPr="00DD4661">
        <w:rPr>
          <w:sz w:val="28"/>
          <w:szCs w:val="28"/>
          <w:lang w:val="fr-FR"/>
        </w:rPr>
        <w:tab/>
      </w:r>
      <w:r w:rsidRPr="00DD4661">
        <w:rPr>
          <w:sz w:val="28"/>
          <w:szCs w:val="28"/>
          <w:lang w:val="fr-FR"/>
        </w:rPr>
        <w:tab/>
      </w:r>
      <w:r w:rsidRPr="00DD4661">
        <w:rPr>
          <w:b/>
          <w:bCs/>
          <w:sz w:val="28"/>
          <w:szCs w:val="28"/>
          <w:lang w:val="fr-FR"/>
        </w:rPr>
        <w:t xml:space="preserve">Proposition de série 04 d’amendements au Règlement </w:t>
      </w:r>
      <w:r>
        <w:rPr>
          <w:b/>
          <w:bCs/>
          <w:sz w:val="28"/>
          <w:szCs w:val="28"/>
          <w:lang w:val="fr-FR"/>
        </w:rPr>
        <w:t xml:space="preserve">ONU </w:t>
      </w:r>
      <w:r w:rsidRPr="00DD4661">
        <w:rPr>
          <w:b/>
          <w:bCs/>
          <w:sz w:val="28"/>
          <w:szCs w:val="28"/>
          <w:lang w:val="fr-FR"/>
        </w:rPr>
        <w:t>n</w:t>
      </w:r>
      <w:r w:rsidRPr="00DD4661">
        <w:rPr>
          <w:b/>
          <w:bCs/>
          <w:sz w:val="28"/>
          <w:szCs w:val="28"/>
          <w:vertAlign w:val="superscript"/>
          <w:lang w:val="fr-FR"/>
        </w:rPr>
        <w:t>o</w:t>
      </w:r>
      <w:r>
        <w:rPr>
          <w:b/>
          <w:bCs/>
          <w:sz w:val="28"/>
          <w:szCs w:val="28"/>
          <w:lang w:val="fr-FR"/>
        </w:rPr>
        <w:t> </w:t>
      </w:r>
      <w:r w:rsidRPr="00DD4661">
        <w:rPr>
          <w:b/>
          <w:bCs/>
          <w:sz w:val="28"/>
          <w:szCs w:val="28"/>
          <w:lang w:val="fr-FR"/>
        </w:rPr>
        <w:t>95 (Collision latérale)</w:t>
      </w:r>
    </w:p>
    <w:p w:rsidR="002D2F58" w:rsidRPr="00DD4661" w:rsidRDefault="002D2F58" w:rsidP="002D2F58">
      <w:pPr>
        <w:pStyle w:val="H1G"/>
      </w:pPr>
      <w:r>
        <w:rPr>
          <w:lang w:val="fr-FR"/>
        </w:rPr>
        <w:tab/>
      </w:r>
      <w:r>
        <w:rPr>
          <w:lang w:val="fr-FR"/>
        </w:rPr>
        <w:tab/>
        <w:t xml:space="preserve">Communication de l’expert de la Commission européenne </w:t>
      </w:r>
      <w:r>
        <w:rPr>
          <w:lang w:val="fr-FR"/>
        </w:rPr>
        <w:br/>
        <w:t>au nom du groupe de rédaction</w:t>
      </w:r>
      <w:r w:rsidRPr="002D2F58">
        <w:rPr>
          <w:rStyle w:val="Appelnotedebasdep"/>
          <w:b w:val="0"/>
          <w:sz w:val="20"/>
          <w:vertAlign w:val="baseline"/>
        </w:rPr>
        <w:footnoteReference w:customMarkFollows="1" w:id="2"/>
        <w:t>*</w:t>
      </w:r>
    </w:p>
    <w:p w:rsidR="002D2F58" w:rsidRPr="00DD4661" w:rsidRDefault="002D2F58" w:rsidP="002D2F58">
      <w:pPr>
        <w:pStyle w:val="SingleTxtG"/>
        <w:ind w:firstLine="567"/>
        <w:rPr>
          <w:rFonts w:eastAsia="MS Mincho"/>
        </w:rPr>
      </w:pPr>
      <w:r>
        <w:rPr>
          <w:lang w:val="fr-FR"/>
        </w:rPr>
        <w:t xml:space="preserve">Le texte ci-après, établi par les experts du groupe de rédaction, vise à mettre les Règlements ONU en conformité avec les dispositions de la version révisée du Règlement sur la sécurité générale des véhicules à moteur de l’Union européenne, à modifier le champ d’application du Règlement ONU, à prévoir des dispositions transitoires appropriées et à apporter des adaptations et des précisions mineures aux prescriptions existantes. Il est fondé sur le document GRSP-65-13, distribué à la soixante-cinquième session du Groupe de travail de la sécurité passive (GRSP). Les modifications qu’il est proposé d’apporter au texte actuel du Règlement </w:t>
      </w:r>
      <w:r w:rsidR="00BC4B66">
        <w:rPr>
          <w:lang w:val="fr-FR"/>
        </w:rPr>
        <w:t xml:space="preserve">ONU </w:t>
      </w:r>
      <w:r>
        <w:rPr>
          <w:lang w:val="fr-FR"/>
        </w:rPr>
        <w:t>figurent en caractères gras pour les ajouts et biffés pour les suppressions.</w:t>
      </w:r>
    </w:p>
    <w:p w:rsidR="002D2F58" w:rsidRPr="00DD4661" w:rsidRDefault="002D2F58" w:rsidP="006F4A6E">
      <w:pPr>
        <w:pStyle w:val="HChG"/>
        <w:spacing w:before="0"/>
      </w:pPr>
      <w:r w:rsidRPr="00DD4661">
        <w:br w:type="page"/>
      </w:r>
      <w:r>
        <w:rPr>
          <w:lang w:val="fr-FR"/>
        </w:rPr>
        <w:lastRenderedPageBreak/>
        <w:tab/>
        <w:t>I.</w:t>
      </w:r>
      <w:r>
        <w:rPr>
          <w:lang w:val="fr-FR"/>
        </w:rPr>
        <w:tab/>
        <w:t>Proposition</w:t>
      </w:r>
    </w:p>
    <w:p w:rsidR="002D2F58" w:rsidRPr="00DD4661" w:rsidRDefault="002D2F58" w:rsidP="002D2F58">
      <w:pPr>
        <w:pStyle w:val="SingleTxtG"/>
      </w:pPr>
      <w:r>
        <w:rPr>
          <w:i/>
          <w:iCs/>
          <w:lang w:val="fr-FR"/>
        </w:rPr>
        <w:t>Paragraphe 1</w:t>
      </w:r>
      <w:r w:rsidRPr="002D2F58">
        <w:rPr>
          <w:lang w:val="fr-FR"/>
        </w:rPr>
        <w:t>,</w:t>
      </w:r>
      <w:r>
        <w:rPr>
          <w:lang w:val="fr-FR"/>
        </w:rPr>
        <w:t xml:space="preserve"> modifier comme suit :</w:t>
      </w:r>
    </w:p>
    <w:p w:rsidR="002D2F58" w:rsidRPr="00DD4661" w:rsidRDefault="00C63FB5" w:rsidP="00C63FB5">
      <w:pPr>
        <w:pStyle w:val="HChG"/>
      </w:pPr>
      <w:r>
        <w:rPr>
          <w:lang w:val="fr-FR"/>
        </w:rPr>
        <w:tab/>
      </w:r>
      <w:r>
        <w:rPr>
          <w:lang w:val="fr-FR"/>
        </w:rPr>
        <w:tab/>
      </w:r>
      <w:r w:rsidR="002D2F58">
        <w:rPr>
          <w:lang w:val="fr-FR"/>
        </w:rPr>
        <w:t>« </w:t>
      </w:r>
      <w:r w:rsidR="002D2F58" w:rsidRPr="00015942">
        <w:rPr>
          <w:lang w:val="fr-FR"/>
        </w:rPr>
        <w:t>1.</w:t>
      </w:r>
      <w:r w:rsidR="002D2F58" w:rsidRPr="00015942">
        <w:rPr>
          <w:lang w:val="fr-FR"/>
        </w:rPr>
        <w:tab/>
      </w:r>
      <w:r w:rsidR="002D2F58" w:rsidRPr="00015942">
        <w:rPr>
          <w:lang w:val="fr-FR"/>
        </w:rPr>
        <w:tab/>
        <w:t>Domaine d’application</w:t>
      </w:r>
      <w:bookmarkStart w:id="0" w:name="_Toc355617304"/>
      <w:bookmarkEnd w:id="0"/>
    </w:p>
    <w:p w:rsidR="002D2F58" w:rsidRPr="00DD4661" w:rsidRDefault="002D2F58" w:rsidP="002D2F58">
      <w:pPr>
        <w:pStyle w:val="SingleTxtG"/>
        <w:ind w:left="2268"/>
      </w:pPr>
      <w:r>
        <w:rPr>
          <w:lang w:val="fr-FR"/>
        </w:rPr>
        <w:tab/>
        <w:t xml:space="preserve">Le présent Règlement s’applique </w:t>
      </w:r>
      <w:r>
        <w:rPr>
          <w:b/>
          <w:bCs/>
          <w:lang w:val="fr-FR"/>
        </w:rPr>
        <w:t xml:space="preserve">aux </w:t>
      </w:r>
      <w:r>
        <w:rPr>
          <w:strike/>
          <w:lang w:val="fr-FR"/>
        </w:rPr>
        <w:t xml:space="preserve">au comportement en cas de collision latérale de la structure de l’habitacle des </w:t>
      </w:r>
      <w:r>
        <w:rPr>
          <w:lang w:val="fr-FR"/>
        </w:rPr>
        <w:t xml:space="preserve">véhicules </w:t>
      </w:r>
      <w:r>
        <w:rPr>
          <w:strike/>
          <w:lang w:val="fr-FR"/>
        </w:rPr>
        <w:t>des</w:t>
      </w:r>
      <w:r>
        <w:rPr>
          <w:lang w:val="fr-FR"/>
        </w:rPr>
        <w:t xml:space="preserve"> </w:t>
      </w:r>
      <w:r>
        <w:rPr>
          <w:b/>
          <w:bCs/>
          <w:lang w:val="fr-FR"/>
        </w:rPr>
        <w:t xml:space="preserve">de la </w:t>
      </w:r>
      <w:r>
        <w:rPr>
          <w:lang w:val="fr-FR"/>
        </w:rPr>
        <w:t>catégorie</w:t>
      </w:r>
      <w:r>
        <w:rPr>
          <w:strike/>
          <w:lang w:val="fr-FR"/>
        </w:rPr>
        <w:t>s</w:t>
      </w:r>
      <w:r>
        <w:rPr>
          <w:lang w:val="fr-FR"/>
        </w:rPr>
        <w:t xml:space="preserve"> M</w:t>
      </w:r>
      <w:r>
        <w:rPr>
          <w:vertAlign w:val="subscript"/>
          <w:lang w:val="fr-FR"/>
        </w:rPr>
        <w:t>1</w:t>
      </w:r>
      <w:r>
        <w:rPr>
          <w:lang w:val="fr-FR"/>
        </w:rPr>
        <w:t xml:space="preserve"> </w:t>
      </w:r>
      <w:r>
        <w:rPr>
          <w:b/>
          <w:bCs/>
          <w:lang w:val="fr-FR"/>
        </w:rPr>
        <w:t xml:space="preserve">dont la masse maximale admissible est inférieure à 3 500 kg </w:t>
      </w:r>
      <w:r>
        <w:rPr>
          <w:lang w:val="fr-FR"/>
        </w:rPr>
        <w:t xml:space="preserve">et </w:t>
      </w:r>
      <w:r>
        <w:rPr>
          <w:b/>
          <w:bCs/>
          <w:lang w:val="fr-FR"/>
        </w:rPr>
        <w:t>aux véhicules de la catégorie</w:t>
      </w:r>
      <w:r>
        <w:rPr>
          <w:lang w:val="fr-FR"/>
        </w:rPr>
        <w:t xml:space="preserve"> N</w:t>
      </w:r>
      <w:r>
        <w:rPr>
          <w:vertAlign w:val="subscript"/>
          <w:lang w:val="fr-FR"/>
        </w:rPr>
        <w:t>1</w:t>
      </w:r>
      <w:r>
        <w:rPr>
          <w:rStyle w:val="Appelnotedebasdep"/>
        </w:rPr>
        <w:footnoteReference w:id="3"/>
      </w:r>
      <w:r>
        <w:rPr>
          <w:lang w:val="fr-FR"/>
        </w:rPr>
        <w:t xml:space="preserve"> </w:t>
      </w:r>
      <w:r>
        <w:rPr>
          <w:strike/>
          <w:lang w:val="fr-FR"/>
        </w:rPr>
        <w:t>pour lesquels le point “R” du siège le plus bas est à une hauteur inférieure ou égale à 700 mm au-dessus du sol, lorsque le véhicule est dans l’état correspondant à la masse de référence définie au paragraphe 2.10 du présent Règlement</w:t>
      </w:r>
      <w:r>
        <w:rPr>
          <w:lang w:val="fr-FR"/>
        </w:rPr>
        <w:t>. ».</w:t>
      </w:r>
    </w:p>
    <w:p w:rsidR="002D2F58" w:rsidRPr="00DD4661" w:rsidRDefault="002D2F58" w:rsidP="002D2F58">
      <w:pPr>
        <w:pStyle w:val="SingleTxtG"/>
      </w:pPr>
      <w:r w:rsidRPr="002D2F58">
        <w:rPr>
          <w:i/>
          <w:lang w:val="fr-FR"/>
        </w:rPr>
        <w:t>Ajouter un nouveau paragraphe 2.40</w:t>
      </w:r>
      <w:r>
        <w:rPr>
          <w:lang w:val="fr-FR"/>
        </w:rPr>
        <w:t>, libellé comme suit :</w:t>
      </w:r>
    </w:p>
    <w:p w:rsidR="002D2F58" w:rsidRPr="00DD4661" w:rsidRDefault="002D2F58" w:rsidP="002D2F58">
      <w:pPr>
        <w:pStyle w:val="SingleTxtG"/>
        <w:ind w:left="2268" w:hanging="1134"/>
        <w:rPr>
          <w:b/>
        </w:rPr>
      </w:pPr>
      <w:r>
        <w:rPr>
          <w:lang w:val="fr-FR"/>
        </w:rPr>
        <w:t>« </w:t>
      </w:r>
      <w:r>
        <w:rPr>
          <w:b/>
          <w:bCs/>
          <w:lang w:val="fr-FR"/>
        </w:rPr>
        <w:t>2.40</w:t>
      </w:r>
      <w:r>
        <w:rPr>
          <w:lang w:val="fr-FR"/>
        </w:rPr>
        <w:tab/>
      </w:r>
      <w:r w:rsidR="00532D2B">
        <w:rPr>
          <w:b/>
          <w:bCs/>
          <w:lang w:val="fr-FR"/>
        </w:rPr>
        <w:t>“</w:t>
      </w:r>
      <w:r>
        <w:rPr>
          <w:b/>
          <w:bCs/>
          <w:lang w:val="fr-FR"/>
        </w:rPr>
        <w:t>Système de déplacement</w:t>
      </w:r>
      <w:r w:rsidR="00532D2B">
        <w:rPr>
          <w:b/>
          <w:bCs/>
          <w:lang w:val="fr-FR"/>
        </w:rPr>
        <w:t>”</w:t>
      </w:r>
      <w:r>
        <w:rPr>
          <w:b/>
          <w:bCs/>
          <w:lang w:val="fr-FR"/>
        </w:rPr>
        <w:t>, un dispositif permettant une translation et/ou une rotation, sans position intermédiaire fixe, du siège ou d’une de ses parties, pour faciliter l’accès des occupants à l’espace situé derrière le siège concerné</w:t>
      </w:r>
      <w:r w:rsidR="00532D2B">
        <w:rPr>
          <w:b/>
          <w:bCs/>
          <w:lang w:val="fr-FR"/>
        </w:rPr>
        <w:t> </w:t>
      </w:r>
      <w:r>
        <w:rPr>
          <w:b/>
          <w:bCs/>
          <w:lang w:val="fr-FR"/>
        </w:rPr>
        <w:t>;</w:t>
      </w:r>
      <w:r w:rsidR="00532D2B" w:rsidRPr="00532D2B">
        <w:rPr>
          <w:bCs/>
          <w:lang w:val="fr-FR"/>
        </w:rPr>
        <w:t> ».</w:t>
      </w:r>
    </w:p>
    <w:p w:rsidR="002D2F58" w:rsidRPr="00DD4661" w:rsidRDefault="002D2F58" w:rsidP="002D2F58">
      <w:pPr>
        <w:spacing w:after="120" w:line="240" w:lineRule="auto"/>
        <w:ind w:left="2268" w:right="1134" w:hanging="1134"/>
        <w:jc w:val="both"/>
        <w:outlineLvl w:val="1"/>
        <w:rPr>
          <w:iCs/>
          <w:color w:val="000000"/>
        </w:rPr>
      </w:pPr>
      <w:r>
        <w:rPr>
          <w:i/>
          <w:iCs/>
          <w:lang w:val="fr-FR"/>
        </w:rPr>
        <w:t>Ajouter</w:t>
      </w:r>
      <w:r w:rsidR="006F4A6E">
        <w:rPr>
          <w:i/>
          <w:iCs/>
          <w:lang w:val="fr-FR"/>
        </w:rPr>
        <w:t xml:space="preserve"> </w:t>
      </w:r>
      <w:r>
        <w:rPr>
          <w:i/>
          <w:iCs/>
          <w:lang w:val="fr-FR"/>
        </w:rPr>
        <w:t>un nouveau paragraphe 5.2.1.5</w:t>
      </w:r>
      <w:r>
        <w:rPr>
          <w:lang w:val="fr-FR"/>
        </w:rPr>
        <w:t>, libellé comme suit</w:t>
      </w:r>
      <w:r w:rsidR="00532D2B">
        <w:rPr>
          <w:lang w:val="fr-FR"/>
        </w:rPr>
        <w:t> </w:t>
      </w:r>
      <w:r>
        <w:rPr>
          <w:lang w:val="fr-FR"/>
        </w:rPr>
        <w:t>:</w:t>
      </w:r>
    </w:p>
    <w:p w:rsidR="002D2F58" w:rsidRPr="00DD4661" w:rsidRDefault="002D2F58" w:rsidP="002D2F58">
      <w:pPr>
        <w:pStyle w:val="SingleTxtG"/>
        <w:ind w:left="2268" w:hanging="1134"/>
        <w:rPr>
          <w:iCs/>
          <w:color w:val="000000"/>
        </w:rPr>
      </w:pPr>
      <w:r w:rsidRPr="00DD4661">
        <w:rPr>
          <w:bCs/>
          <w:lang w:val="fr-FR"/>
        </w:rPr>
        <w:t>[« </w:t>
      </w:r>
      <w:r>
        <w:rPr>
          <w:b/>
          <w:bCs/>
          <w:lang w:val="fr-FR"/>
        </w:rPr>
        <w:t>5.2.1.5</w:t>
      </w:r>
      <w:r>
        <w:rPr>
          <w:lang w:val="fr-FR"/>
        </w:rPr>
        <w:tab/>
      </w:r>
      <w:r w:rsidRPr="00450F06">
        <w:rPr>
          <w:b/>
          <w:lang w:val="fr-FR"/>
        </w:rPr>
        <w:t>Lorsque</w:t>
      </w:r>
      <w:r>
        <w:rPr>
          <w:lang w:val="fr-FR"/>
        </w:rPr>
        <w:t xml:space="preserve"> </w:t>
      </w:r>
      <w:r>
        <w:rPr>
          <w:b/>
          <w:bCs/>
          <w:lang w:val="fr-FR"/>
        </w:rPr>
        <w:t xml:space="preserve">le point </w:t>
      </w:r>
      <w:r w:rsidR="00532D2B">
        <w:rPr>
          <w:b/>
          <w:bCs/>
          <w:lang w:val="fr-FR"/>
        </w:rPr>
        <w:t>“</w:t>
      </w:r>
      <w:r>
        <w:rPr>
          <w:b/>
          <w:bCs/>
          <w:lang w:val="fr-FR"/>
        </w:rPr>
        <w:t>R</w:t>
      </w:r>
      <w:r w:rsidR="00532D2B">
        <w:rPr>
          <w:b/>
          <w:bCs/>
          <w:lang w:val="fr-FR"/>
        </w:rPr>
        <w:t>”</w:t>
      </w:r>
      <w:r>
        <w:rPr>
          <w:b/>
          <w:bCs/>
          <w:lang w:val="fr-FR"/>
        </w:rPr>
        <w:t xml:space="preserve"> du siège le plus bas se trouve à plus de 700</w:t>
      </w:r>
      <w:r w:rsidR="00532D2B">
        <w:rPr>
          <w:b/>
          <w:bCs/>
          <w:lang w:val="fr-FR"/>
        </w:rPr>
        <w:t> </w:t>
      </w:r>
      <w:r>
        <w:rPr>
          <w:b/>
          <w:bCs/>
          <w:lang w:val="fr-FR"/>
        </w:rPr>
        <w:t>mm au-dessus du sol quand le véhicule est dans l’état correspondant à la masse de référence définie au paragraphe 2.10 du présent Règlement, les prescriptions des paragraphes 5.2.1.1 à 5.2.1.4 sont réputées satisfaites, et le mannequin pour choc latéral ne doit pas être appareillé en vue de l’essai.</w:t>
      </w:r>
      <w:r>
        <w:rPr>
          <w:lang w:val="fr-FR"/>
        </w:rPr>
        <w:t> ».]</w:t>
      </w:r>
    </w:p>
    <w:p w:rsidR="002D2F58" w:rsidRPr="00DD4661" w:rsidRDefault="002D2F58" w:rsidP="002D2F58">
      <w:pPr>
        <w:spacing w:after="120" w:line="240" w:lineRule="auto"/>
        <w:ind w:left="2268" w:right="1134" w:hanging="1134"/>
        <w:jc w:val="both"/>
        <w:outlineLvl w:val="1"/>
        <w:rPr>
          <w:i/>
        </w:rPr>
      </w:pPr>
      <w:r>
        <w:rPr>
          <w:i/>
          <w:iCs/>
          <w:lang w:val="fr-FR"/>
        </w:rPr>
        <w:t>Paragraphe 5.3.3.1</w:t>
      </w:r>
      <w:r>
        <w:rPr>
          <w:lang w:val="fr-FR"/>
        </w:rPr>
        <w:t xml:space="preserve">, </w:t>
      </w:r>
      <w:r w:rsidRPr="00083564">
        <w:rPr>
          <w:lang w:val="fr-FR"/>
        </w:rPr>
        <w:t>modifier comme suit</w:t>
      </w:r>
      <w:r w:rsidR="00532D2B">
        <w:rPr>
          <w:lang w:val="fr-FR"/>
        </w:rPr>
        <w:t> </w:t>
      </w:r>
      <w:r>
        <w:rPr>
          <w:lang w:val="fr-FR"/>
        </w:rPr>
        <w:t>:</w:t>
      </w:r>
    </w:p>
    <w:p w:rsidR="002D2F58" w:rsidRPr="00DD4661" w:rsidRDefault="002D2F58" w:rsidP="002D2F58">
      <w:pPr>
        <w:pStyle w:val="SingleTxtG"/>
        <w:ind w:left="2268" w:hanging="1134"/>
        <w:rPr>
          <w:b/>
        </w:rPr>
      </w:pPr>
      <w:r>
        <w:rPr>
          <w:lang w:val="fr-FR"/>
        </w:rPr>
        <w:t>« 5.3.3.1</w:t>
      </w:r>
      <w:r>
        <w:rPr>
          <w:lang w:val="fr-FR"/>
        </w:rPr>
        <w:tab/>
        <w:t>D’ouvrir au moins une porte</w:t>
      </w:r>
      <w:r>
        <w:rPr>
          <w:strike/>
          <w:lang w:val="fr-FR"/>
        </w:rPr>
        <w:t>, s’il y en a une,</w:t>
      </w:r>
      <w:r>
        <w:rPr>
          <w:lang w:val="fr-FR"/>
        </w:rPr>
        <w:t xml:space="preserve"> par rangée de sièges</w:t>
      </w:r>
      <w:r>
        <w:rPr>
          <w:strike/>
          <w:lang w:val="fr-FR"/>
        </w:rPr>
        <w:t>,</w:t>
      </w:r>
      <w:r>
        <w:rPr>
          <w:b/>
          <w:bCs/>
          <w:lang w:val="fr-FR"/>
        </w:rPr>
        <w:t>.</w:t>
      </w:r>
      <w:r>
        <w:rPr>
          <w:lang w:val="fr-FR"/>
        </w:rPr>
        <w:t xml:space="preserve"> </w:t>
      </w:r>
      <w:r>
        <w:rPr>
          <w:strike/>
          <w:lang w:val="fr-FR"/>
        </w:rPr>
        <w:t>et,</w:t>
      </w:r>
      <w:r>
        <w:rPr>
          <w:lang w:val="fr-FR"/>
        </w:rPr>
        <w:t xml:space="preserve"> Lorsqu’il n’y a pas de porte, </w:t>
      </w:r>
      <w:r>
        <w:rPr>
          <w:strike/>
          <w:lang w:val="fr-FR"/>
        </w:rPr>
        <w:t>de déplacer les sièges ou rabattre leurs dossiers afin de pouvoir</w:t>
      </w:r>
      <w:r>
        <w:rPr>
          <w:lang w:val="fr-FR"/>
        </w:rPr>
        <w:t xml:space="preserve"> </w:t>
      </w:r>
      <w:r>
        <w:rPr>
          <w:b/>
          <w:bCs/>
          <w:lang w:val="fr-FR"/>
        </w:rPr>
        <w:t>il doit être possible d’</w:t>
      </w:r>
      <w:r>
        <w:rPr>
          <w:lang w:val="fr-FR"/>
        </w:rPr>
        <w:t xml:space="preserve">évacuer tous les occupants </w:t>
      </w:r>
      <w:r>
        <w:rPr>
          <w:b/>
          <w:bCs/>
          <w:lang w:val="fr-FR"/>
        </w:rPr>
        <w:t>en activant le système de déplacement des sièges</w:t>
      </w:r>
      <w:r>
        <w:rPr>
          <w:lang w:val="fr-FR"/>
        </w:rPr>
        <w:t>.</w:t>
      </w:r>
      <w:r>
        <w:rPr>
          <w:strike/>
          <w:lang w:val="fr-FR"/>
        </w:rPr>
        <w:t>;</w:t>
      </w:r>
      <w:r w:rsidR="00532D2B" w:rsidRPr="00532D2B">
        <w:rPr>
          <w:lang w:val="fr-FR"/>
        </w:rPr>
        <w:t xml:space="preserve"> </w:t>
      </w:r>
      <w:r>
        <w:rPr>
          <w:b/>
          <w:bCs/>
          <w:lang w:val="fr-FR"/>
        </w:rPr>
        <w:t>En absence d’un tel système pour l’évacuation des occupants des sièges arrières, il doit être démontré qu’un mannequin du cinquantième centile peut être évacué sans l’aide d’un dispositif destiné à en soutenir le poids ni d’aucun</w:t>
      </w:r>
      <w:r w:rsidR="006F4A6E">
        <w:rPr>
          <w:b/>
          <w:bCs/>
          <w:lang w:val="fr-FR"/>
        </w:rPr>
        <w:t xml:space="preserve"> </w:t>
      </w:r>
      <w:r>
        <w:rPr>
          <w:b/>
          <w:bCs/>
          <w:lang w:val="fr-FR"/>
        </w:rPr>
        <w:t>autre outil.</w:t>
      </w:r>
    </w:p>
    <w:p w:rsidR="002D2F58" w:rsidRPr="00532D2B" w:rsidRDefault="002D2F58" w:rsidP="00532D2B">
      <w:pPr>
        <w:pStyle w:val="SingleTxtG"/>
        <w:ind w:left="2268"/>
        <w:rPr>
          <w:b/>
          <w:iCs/>
        </w:rPr>
      </w:pPr>
      <w:r w:rsidRPr="00532D2B">
        <w:rPr>
          <w:b/>
          <w:lang w:val="fr-FR"/>
        </w:rPr>
        <w:tab/>
        <w:t>Cette évaluation doit être effectuée dans toutes les configurations ou dans la configuration la plus défavorable compte tenu du nombre de portes de chaque côté du véhicule, tant pour les véhicules à conduite à gauche que pour ceux qui ont la</w:t>
      </w:r>
      <w:r w:rsidR="006F4A6E">
        <w:rPr>
          <w:b/>
          <w:lang w:val="fr-FR"/>
        </w:rPr>
        <w:t xml:space="preserve"> </w:t>
      </w:r>
      <w:r w:rsidRPr="00532D2B">
        <w:rPr>
          <w:b/>
          <w:lang w:val="fr-FR"/>
        </w:rPr>
        <w:t>conduite à droite, le cas échéant.</w:t>
      </w:r>
      <w:r w:rsidRPr="00532D2B">
        <w:rPr>
          <w:lang w:val="fr-FR"/>
        </w:rPr>
        <w:t> ».</w:t>
      </w:r>
    </w:p>
    <w:p w:rsidR="002D2F58" w:rsidRPr="00DD4661" w:rsidRDefault="002D2F58" w:rsidP="002D2F58">
      <w:pPr>
        <w:spacing w:after="120" w:line="240" w:lineRule="auto"/>
        <w:ind w:left="2268" w:right="1134" w:hanging="1134"/>
        <w:jc w:val="both"/>
        <w:outlineLvl w:val="1"/>
        <w:rPr>
          <w:iCs/>
          <w:color w:val="000000"/>
        </w:rPr>
      </w:pPr>
      <w:r>
        <w:rPr>
          <w:i/>
          <w:iCs/>
          <w:lang w:val="fr-FR"/>
        </w:rPr>
        <w:t>Ajouter</w:t>
      </w:r>
      <w:r w:rsidR="006F4A6E">
        <w:rPr>
          <w:i/>
          <w:iCs/>
          <w:lang w:val="fr-FR"/>
        </w:rPr>
        <w:t xml:space="preserve"> </w:t>
      </w:r>
      <w:r>
        <w:rPr>
          <w:i/>
          <w:iCs/>
          <w:lang w:val="fr-FR"/>
        </w:rPr>
        <w:t>un nouveau paragraphe 5.3.8</w:t>
      </w:r>
      <w:r>
        <w:rPr>
          <w:lang w:val="fr-FR"/>
        </w:rPr>
        <w:t>, libellé comme suit</w:t>
      </w:r>
      <w:r w:rsidR="00532D2B">
        <w:rPr>
          <w:lang w:val="fr-FR"/>
        </w:rPr>
        <w:t> </w:t>
      </w:r>
      <w:r>
        <w:rPr>
          <w:lang w:val="fr-FR"/>
        </w:rPr>
        <w:t>:</w:t>
      </w:r>
    </w:p>
    <w:p w:rsidR="002D2F58" w:rsidRPr="00DD4661" w:rsidRDefault="002D2F58" w:rsidP="002D2F58">
      <w:pPr>
        <w:pStyle w:val="SingleTxtG"/>
        <w:ind w:left="2268" w:hanging="1134"/>
        <w:rPr>
          <w:iCs/>
          <w:color w:val="000000"/>
        </w:rPr>
      </w:pPr>
      <w:r>
        <w:rPr>
          <w:lang w:val="fr-FR"/>
        </w:rPr>
        <w:t>« </w:t>
      </w:r>
      <w:r>
        <w:rPr>
          <w:b/>
          <w:bCs/>
          <w:lang w:val="fr-FR"/>
        </w:rPr>
        <w:t>5.3.8</w:t>
      </w:r>
      <w:r>
        <w:rPr>
          <w:lang w:val="fr-FR"/>
        </w:rPr>
        <w:tab/>
      </w:r>
      <w:r>
        <w:rPr>
          <w:b/>
          <w:bCs/>
          <w:lang w:val="fr-FR"/>
        </w:rPr>
        <w:t>Le système d’alimentation en carburant et le système à haute tension doivent être évalués dans toutes les configurations ou dans la configuration la plus défavorable pour les véhicules à conduite à gauche et ceux à conduite à droite, le cas échéant.</w:t>
      </w:r>
      <w:r>
        <w:rPr>
          <w:lang w:val="fr-FR"/>
        </w:rPr>
        <w:t> ».</w:t>
      </w:r>
    </w:p>
    <w:p w:rsidR="002D2F58" w:rsidRPr="00DD4661" w:rsidRDefault="002D2F58" w:rsidP="002D2F58">
      <w:pPr>
        <w:spacing w:after="120" w:line="240" w:lineRule="auto"/>
        <w:ind w:left="2268" w:right="1134" w:hanging="1134"/>
        <w:jc w:val="both"/>
        <w:outlineLvl w:val="1"/>
        <w:rPr>
          <w:iCs/>
          <w:color w:val="000000"/>
        </w:rPr>
      </w:pPr>
      <w:r>
        <w:rPr>
          <w:i/>
          <w:iCs/>
          <w:lang w:val="fr-FR"/>
        </w:rPr>
        <w:t>Ajouter</w:t>
      </w:r>
      <w:r w:rsidR="006F4A6E">
        <w:rPr>
          <w:i/>
          <w:iCs/>
          <w:lang w:val="fr-FR"/>
        </w:rPr>
        <w:t xml:space="preserve"> </w:t>
      </w:r>
      <w:r>
        <w:rPr>
          <w:i/>
          <w:iCs/>
          <w:lang w:val="fr-FR"/>
        </w:rPr>
        <w:t>de nouveaux paragraphes 10.13 à 10.17</w:t>
      </w:r>
      <w:r>
        <w:rPr>
          <w:lang w:val="fr-FR"/>
        </w:rPr>
        <w:t>, libellés comme suit</w:t>
      </w:r>
      <w:r w:rsidR="00532D2B">
        <w:rPr>
          <w:lang w:val="fr-FR"/>
        </w:rPr>
        <w:t> </w:t>
      </w:r>
      <w:r>
        <w:rPr>
          <w:lang w:val="fr-FR"/>
        </w:rPr>
        <w:t>:</w:t>
      </w:r>
    </w:p>
    <w:p w:rsidR="002D2F58" w:rsidRPr="00DD4661" w:rsidRDefault="002D2F58" w:rsidP="002D2F58">
      <w:pPr>
        <w:pStyle w:val="SingleTxtG"/>
        <w:ind w:left="2268" w:hanging="1134"/>
        <w:rPr>
          <w:b/>
        </w:rPr>
      </w:pPr>
      <w:r w:rsidRPr="00DD4661">
        <w:rPr>
          <w:lang w:val="fr-FR"/>
        </w:rPr>
        <w:t>«</w:t>
      </w:r>
      <w:r>
        <w:rPr>
          <w:lang w:val="fr-FR"/>
        </w:rPr>
        <w:t> </w:t>
      </w:r>
      <w:r>
        <w:rPr>
          <w:b/>
          <w:bCs/>
          <w:lang w:val="fr-FR"/>
        </w:rPr>
        <w:t>10.13</w:t>
      </w:r>
      <w:r>
        <w:rPr>
          <w:lang w:val="fr-FR"/>
        </w:rPr>
        <w:tab/>
      </w:r>
      <w:r>
        <w:rPr>
          <w:lang w:val="fr-FR"/>
        </w:rPr>
        <w:tab/>
      </w:r>
      <w:r>
        <w:rPr>
          <w:b/>
          <w:bCs/>
          <w:lang w:val="fr-FR"/>
        </w:rPr>
        <w:t>À compter de la date officielle d’entrée en vigueur de la série 04 d’amendements, aucune Partie contractante appliquant le présent Règlement ne pourra refuser d’accorder ou d’accepter une homologation de type en vertu du présent Règlement tel que modifié par la série 04 d’amendements.</w:t>
      </w:r>
    </w:p>
    <w:p w:rsidR="002D2F58" w:rsidRPr="00DD4661" w:rsidRDefault="002D2F58" w:rsidP="002D2F58">
      <w:pPr>
        <w:pStyle w:val="SingleTxtG"/>
        <w:ind w:left="2268" w:hanging="1134"/>
        <w:rPr>
          <w:rFonts w:eastAsia="MS Mincho"/>
          <w:b/>
        </w:rPr>
      </w:pPr>
      <w:r w:rsidRPr="00532D2B">
        <w:rPr>
          <w:b/>
          <w:lang w:val="fr-FR"/>
        </w:rPr>
        <w:lastRenderedPageBreak/>
        <w:t>10.14</w:t>
      </w:r>
      <w:r>
        <w:rPr>
          <w:lang w:val="fr-FR"/>
        </w:rPr>
        <w:tab/>
      </w:r>
      <w:r>
        <w:rPr>
          <w:lang w:val="fr-FR"/>
        </w:rPr>
        <w:tab/>
      </w:r>
      <w:r>
        <w:rPr>
          <w:b/>
          <w:bCs/>
          <w:lang w:val="fr-FR"/>
        </w:rPr>
        <w:t>À compter du [X mai] 2022, les Parties contractantes appliquant le présent Règlement ne seront plus tenues d’accepter les homologations de type établies conformément aux précédentes séries d’amendements, délivrées pour la première fois après le [X mai] 2022.</w:t>
      </w:r>
    </w:p>
    <w:p w:rsidR="002D2F58" w:rsidRPr="00DD4661" w:rsidRDefault="002D2F58" w:rsidP="002D2F58">
      <w:pPr>
        <w:pStyle w:val="SingleTxtG"/>
        <w:ind w:left="2268" w:hanging="1134"/>
        <w:rPr>
          <w:rFonts w:eastAsia="MS Mincho"/>
          <w:b/>
        </w:rPr>
      </w:pPr>
      <w:r w:rsidRPr="00532D2B">
        <w:rPr>
          <w:b/>
          <w:lang w:val="fr-FR"/>
        </w:rPr>
        <w:t>10.15</w:t>
      </w:r>
      <w:r>
        <w:rPr>
          <w:lang w:val="fr-FR"/>
        </w:rPr>
        <w:tab/>
      </w:r>
      <w:r>
        <w:rPr>
          <w:b/>
          <w:bCs/>
          <w:lang w:val="fr-FR"/>
        </w:rPr>
        <w:t>Jusqu’au [X mai] 2024, les Parties contractantes appliquant le présent Règlement seront tenues d’accepter les homologations de type établies conformément aux précédentes séries d’amendements, délivrées pour la première fois avant le [X mai] 2022</w:t>
      </w:r>
      <w:r>
        <w:rPr>
          <w:b/>
          <w:bCs/>
          <w:vertAlign w:val="superscript"/>
          <w:lang w:val="fr-FR"/>
        </w:rPr>
        <w:t>3</w:t>
      </w:r>
      <w:r>
        <w:rPr>
          <w:b/>
          <w:bCs/>
          <w:lang w:val="fr-FR"/>
        </w:rPr>
        <w:t>.</w:t>
      </w:r>
    </w:p>
    <w:p w:rsidR="002D2F58" w:rsidRPr="00DD4661" w:rsidRDefault="002D2F58" w:rsidP="002D2F58">
      <w:pPr>
        <w:pStyle w:val="SingleTxtG"/>
        <w:ind w:left="2268" w:hanging="1134"/>
        <w:rPr>
          <w:rFonts w:eastAsia="MS Mincho"/>
          <w:b/>
          <w:iCs/>
          <w:strike/>
          <w:spacing w:val="-4"/>
        </w:rPr>
      </w:pPr>
      <w:r w:rsidRPr="00532D2B">
        <w:rPr>
          <w:b/>
          <w:lang w:val="fr-FR"/>
        </w:rPr>
        <w:t>10.16</w:t>
      </w:r>
      <w:r>
        <w:rPr>
          <w:lang w:val="fr-FR"/>
        </w:rPr>
        <w:tab/>
      </w:r>
      <w:r>
        <w:rPr>
          <w:b/>
          <w:bCs/>
          <w:lang w:val="fr-FR"/>
        </w:rPr>
        <w:t>À compter du [X mai] 2024, les Parties contractantes appliquant le présent Règlement ne seront plus tenues d’accepter les homologations de type délivrées en vertu des précédentes séries d’amendements.</w:t>
      </w:r>
      <w:r>
        <w:rPr>
          <w:lang w:val="fr-FR"/>
        </w:rPr>
        <w:t xml:space="preserve"> </w:t>
      </w:r>
    </w:p>
    <w:p w:rsidR="002D2F58" w:rsidRPr="00DD4661" w:rsidRDefault="00532D2B" w:rsidP="002D2F58">
      <w:pPr>
        <w:pStyle w:val="SingleTxtG"/>
        <w:ind w:left="2268" w:hanging="1134"/>
      </w:pPr>
      <w:r w:rsidRPr="00532D2B">
        <w:rPr>
          <w:b/>
          <w:lang w:val="fr-FR"/>
        </w:rPr>
        <w:t>10.17</w:t>
      </w:r>
      <w:r w:rsidR="002D2F58">
        <w:rPr>
          <w:lang w:val="fr-FR"/>
        </w:rPr>
        <w:tab/>
      </w:r>
      <w:r w:rsidR="002D2F58">
        <w:rPr>
          <w:b/>
          <w:bCs/>
          <w:lang w:val="fr-FR"/>
        </w:rPr>
        <w:t xml:space="preserve">Nonobstant les dispositions du paragraphe 10.16, les Parties contractantes appliquant le présent Règlement </w:t>
      </w:r>
      <w:r w:rsidR="002D2F58" w:rsidRPr="00BB72F0">
        <w:rPr>
          <w:b/>
          <w:bCs/>
          <w:lang w:val="fr-FR"/>
        </w:rPr>
        <w:t xml:space="preserve">devront continuer à </w:t>
      </w:r>
      <w:r w:rsidR="002D2F58">
        <w:rPr>
          <w:b/>
          <w:bCs/>
          <w:lang w:val="fr-FR"/>
        </w:rPr>
        <w:t>reconnaître les homologations de type délivrées au titre des précédentes séries d’amendements pour les véhicules non concernés par les modifications apportées par la série 04 d’amendements.</w:t>
      </w:r>
      <w:r>
        <w:rPr>
          <w:lang w:val="fr-FR"/>
        </w:rPr>
        <w:t> </w:t>
      </w:r>
      <w:r w:rsidR="002D2F58">
        <w:rPr>
          <w:lang w:val="fr-FR"/>
        </w:rPr>
        <w:t>».</w:t>
      </w:r>
    </w:p>
    <w:p w:rsidR="002D2F58" w:rsidRPr="00DD4661" w:rsidRDefault="002D2F58" w:rsidP="00532D2B">
      <w:pPr>
        <w:pStyle w:val="SingleTxtG"/>
        <w:rPr>
          <w:i/>
        </w:rPr>
      </w:pPr>
      <w:r>
        <w:rPr>
          <w:i/>
          <w:iCs/>
          <w:lang w:val="fr-FR"/>
        </w:rPr>
        <w:t>Annexe 2</w:t>
      </w:r>
      <w:r>
        <w:rPr>
          <w:lang w:val="fr-FR"/>
        </w:rPr>
        <w:t xml:space="preserve">, </w:t>
      </w:r>
      <w:r w:rsidRPr="00083564">
        <w:rPr>
          <w:lang w:val="fr-FR"/>
        </w:rPr>
        <w:t>modifier comme suit</w:t>
      </w:r>
      <w:r w:rsidR="00532D2B">
        <w:rPr>
          <w:lang w:val="fr-FR"/>
        </w:rPr>
        <w:t> </w:t>
      </w:r>
      <w:r>
        <w:rPr>
          <w:lang w:val="fr-FR"/>
        </w:rPr>
        <w:t>:</w:t>
      </w:r>
    </w:p>
    <w:p w:rsidR="002D2F58" w:rsidRPr="00DD4661" w:rsidRDefault="002D2F58" w:rsidP="002D2F58">
      <w:pPr>
        <w:pStyle w:val="HChG"/>
      </w:pPr>
      <w:bookmarkStart w:id="1" w:name="_Toc367432802"/>
      <w:r>
        <w:rPr>
          <w:lang w:val="fr-FR"/>
        </w:rPr>
        <w:tab/>
      </w:r>
      <w:r>
        <w:rPr>
          <w:lang w:val="fr-FR"/>
        </w:rPr>
        <w:tab/>
      </w:r>
      <w:r w:rsidRPr="00532D2B">
        <w:rPr>
          <w:b w:val="0"/>
          <w:sz w:val="20"/>
          <w:lang w:val="fr-FR"/>
        </w:rPr>
        <w:t>« </w:t>
      </w:r>
      <w:r>
        <w:rPr>
          <w:bCs/>
          <w:lang w:val="fr-FR"/>
        </w:rPr>
        <w:t>Annexe 2</w:t>
      </w:r>
      <w:bookmarkEnd w:id="1"/>
    </w:p>
    <w:p w:rsidR="002D2F58" w:rsidRPr="00DD4661" w:rsidRDefault="002D2F58" w:rsidP="002D2F58">
      <w:pPr>
        <w:pStyle w:val="HChG"/>
      </w:pPr>
      <w:r>
        <w:rPr>
          <w:lang w:val="fr-FR"/>
        </w:rPr>
        <w:tab/>
      </w:r>
      <w:r>
        <w:rPr>
          <w:lang w:val="fr-FR"/>
        </w:rPr>
        <w:tab/>
      </w:r>
      <w:r>
        <w:rPr>
          <w:bCs/>
          <w:lang w:val="fr-FR"/>
        </w:rPr>
        <w:t>Exemples de marques d’homologation</w:t>
      </w:r>
      <w:bookmarkStart w:id="2" w:name="_Toc367432803"/>
      <w:bookmarkEnd w:id="2"/>
    </w:p>
    <w:p w:rsidR="002D2F58" w:rsidRPr="00DD4661" w:rsidRDefault="002D2F58" w:rsidP="002D2F58">
      <w:pPr>
        <w:spacing w:line="240" w:lineRule="auto"/>
        <w:ind w:left="1134"/>
        <w:outlineLvl w:val="0"/>
      </w:pPr>
      <w:r>
        <w:rPr>
          <w:lang w:val="fr-FR"/>
        </w:rPr>
        <w:t>Modèle A</w:t>
      </w:r>
    </w:p>
    <w:p w:rsidR="002D2F58" w:rsidRPr="00DD4661" w:rsidRDefault="002D2F58" w:rsidP="002D2F58">
      <w:pPr>
        <w:spacing w:after="120"/>
        <w:ind w:left="1134" w:right="1134"/>
        <w:jc w:val="both"/>
      </w:pPr>
      <w:r>
        <w:rPr>
          <w:lang w:val="fr-FR"/>
        </w:rPr>
        <w:t>(voir par.</w:t>
      </w:r>
      <w:r w:rsidR="006F4A6E">
        <w:rPr>
          <w:lang w:val="fr-FR"/>
        </w:rPr>
        <w:t> </w:t>
      </w:r>
      <w:r>
        <w:rPr>
          <w:lang w:val="fr-FR"/>
        </w:rPr>
        <w:t>4.5 du présent Règlement)</w:t>
      </w:r>
    </w:p>
    <w:p w:rsidR="002D2F58" w:rsidRPr="00DD4661" w:rsidRDefault="006F4A6E" w:rsidP="002D2F58">
      <w:pPr>
        <w:widowControl w:val="0"/>
        <w:rPr>
          <w:b/>
          <w:bCs/>
        </w:rPr>
      </w:pPr>
      <w:r w:rsidRPr="00B328DF">
        <w:rPr>
          <w:b/>
          <w:bCs/>
          <w:noProof/>
          <w:lang w:eastAsia="fr-CH"/>
        </w:rPr>
        <mc:AlternateContent>
          <mc:Choice Requires="wpg">
            <w:drawing>
              <wp:anchor distT="0" distB="0" distL="114300" distR="114300" simplePos="0" relativeHeight="251650048" behindDoc="0" locked="0" layoutInCell="1" allowOverlap="1" wp14:anchorId="075EC859" wp14:editId="5A38A538">
                <wp:simplePos x="0" y="0"/>
                <wp:positionH relativeFrom="column">
                  <wp:posOffset>409575</wp:posOffset>
                </wp:positionH>
                <wp:positionV relativeFrom="paragraph">
                  <wp:posOffset>70485</wp:posOffset>
                </wp:positionV>
                <wp:extent cx="5182870" cy="692785"/>
                <wp:effectExtent l="0" t="24130" r="2540" b="165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2870" cy="692785"/>
                          <a:chOff x="1771" y="9730"/>
                          <a:chExt cx="8877" cy="1284"/>
                        </a:xfrm>
                      </wpg:grpSpPr>
                      <wps:wsp>
                        <wps:cNvPr id="5" name="Oval 3"/>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rsidR="002D2F58" w:rsidRPr="000E5AFA" w:rsidRDefault="002D2F58" w:rsidP="002D2F58">
                              <w:pPr>
                                <w:spacing w:before="24"/>
                                <w:ind w:left="68" w:hanging="68"/>
                                <w:rPr>
                                  <w:rFonts w:ascii="Arial" w:hAnsi="Arial" w:cs="Arial"/>
                                  <w:sz w:val="56"/>
                                  <w:szCs w:val="56"/>
                                </w:rPr>
                              </w:pPr>
                              <w:r w:rsidRPr="000E5AFA">
                                <w:rPr>
                                  <w:sz w:val="56"/>
                                  <w:szCs w:val="56"/>
                                  <w:lang w:val="fr-FR"/>
                                </w:rPr>
                                <w:t>E4</w:t>
                              </w:r>
                            </w:p>
                          </w:txbxContent>
                        </wps:txbx>
                        <wps:bodyPr rot="0" vert="horz" wrap="square" lIns="0" tIns="0" rIns="0" bIns="0" anchor="t" anchorCtr="0" upright="1">
                          <a:noAutofit/>
                        </wps:bodyPr>
                      </wps:wsp>
                      <wps:wsp>
                        <wps:cNvPr id="6" name="Line 4"/>
                        <wps:cNvCnPr>
                          <a:cxnSpLocks noChangeShapeType="1"/>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 name="Text Box 10"/>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F58" w:rsidRDefault="002D2F58" w:rsidP="002D2F58">
                              <w:pPr>
                                <w:spacing w:before="160"/>
                                <w:ind w:right="-539" w:firstLine="181"/>
                                <w:rPr>
                                  <w:rFonts w:ascii="Arial" w:hAnsi="Arial" w:cs="Arial"/>
                                </w:rPr>
                              </w:pPr>
                              <w:r>
                                <w:rPr>
                                  <w:lang w:val="fr-FR"/>
                                </w:rPr>
                                <w:t>a</w:t>
                              </w:r>
                            </w:p>
                          </w:txbxContent>
                        </wps:txbx>
                        <wps:bodyPr rot="0" vert="horz" wrap="square" lIns="0" tIns="0" rIns="0" bIns="0" anchor="t" anchorCtr="0" upright="1">
                          <a:noAutofit/>
                        </wps:bodyPr>
                      </wps:wsp>
                      <wps:wsp>
                        <wps:cNvPr id="13" name="Line 11"/>
                        <wps:cNvCnPr>
                          <a:cxnSpLocks noChangeShapeType="1"/>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6"/>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F58" w:rsidRDefault="002D2F58" w:rsidP="002D2F58">
                              <w:pPr>
                                <w:rPr>
                                  <w:rFonts w:ascii="Arial" w:hAnsi="Arial" w:cs="Arial"/>
                                  <w:u w:val="single"/>
                                </w:rPr>
                              </w:pPr>
                              <w:r>
                                <w:rPr>
                                  <w:u w:val="single"/>
                                  <w:lang w:val="fr-FR"/>
                                </w:rPr>
                                <w:t>a</w:t>
                              </w:r>
                            </w:p>
                            <w:p w:rsidR="002D2F58" w:rsidRDefault="002D2F58" w:rsidP="002D2F58">
                              <w:pPr>
                                <w:rPr>
                                  <w:rFonts w:ascii="Arial" w:hAnsi="Arial" w:cs="Arial"/>
                                </w:rPr>
                              </w:pPr>
                              <w:r>
                                <w:rPr>
                                  <w:lang w:val="fr-FR"/>
                                </w:rPr>
                                <w:t>3</w:t>
                              </w:r>
                            </w:p>
                          </w:txbxContent>
                        </wps:txbx>
                        <wps:bodyPr rot="0" vert="horz" wrap="square" lIns="0" tIns="0" rIns="0" bIns="0" anchor="t" anchorCtr="0" upright="1">
                          <a:noAutofit/>
                        </wps:bodyPr>
                      </wps:wsp>
                      <wps:wsp>
                        <wps:cNvPr id="19" name="Text Box 17"/>
                        <wps:cNvSpPr txBox="1">
                          <a:spLocks noChangeArrowheads="1"/>
                        </wps:cNvSpPr>
                        <wps:spPr bwMode="auto">
                          <a:xfrm>
                            <a:off x="623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F58" w:rsidRPr="000E5AFA" w:rsidRDefault="002D2F58" w:rsidP="002D2F58">
                              <w:pPr>
                                <w:pStyle w:val="Titre5"/>
                                <w:rPr>
                                  <w:rFonts w:ascii="Arial" w:hAnsi="Arial" w:cs="Arial"/>
                                  <w:sz w:val="56"/>
                                  <w:szCs w:val="56"/>
                                </w:rPr>
                              </w:pPr>
                              <w:r w:rsidRPr="000E5AFA">
                                <w:rPr>
                                  <w:sz w:val="56"/>
                                  <w:szCs w:val="56"/>
                                  <w:lang w:val="fr-FR"/>
                                </w:rPr>
                                <w:t>95R – 041424</w:t>
                              </w:r>
                            </w:p>
                          </w:txbxContent>
                        </wps:txbx>
                        <wps:bodyPr rot="0" vert="horz" wrap="square" lIns="0" tIns="0" rIns="0" bIns="0" anchor="t" anchorCtr="0" upright="1">
                          <a:noAutofit/>
                        </wps:bodyPr>
                      </wps:wsp>
                      <wps:wsp>
                        <wps:cNvPr id="20" name="Text Box 18"/>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F58" w:rsidRDefault="002D2F58" w:rsidP="002D2F58">
                              <w:pPr>
                                <w:rPr>
                                  <w:rFonts w:ascii="Arial" w:hAnsi="Arial" w:cs="Arial"/>
                                  <w:u w:val="single"/>
                                </w:rPr>
                              </w:pPr>
                              <w:r>
                                <w:rPr>
                                  <w:u w:val="single"/>
                                  <w:lang w:val="fr-FR"/>
                                </w:rPr>
                                <w:t>a</w:t>
                              </w:r>
                            </w:p>
                            <w:p w:rsidR="002D2F58" w:rsidRDefault="002D2F58" w:rsidP="002D2F58">
                              <w:pPr>
                                <w:rPr>
                                  <w:rFonts w:ascii="Arial" w:hAnsi="Arial" w:cs="Arial"/>
                                </w:rPr>
                              </w:pPr>
                              <w:r>
                                <w:rPr>
                                  <w:lang w:val="fr-FR"/>
                                </w:rPr>
                                <w:t>3</w:t>
                              </w:r>
                            </w:p>
                          </w:txbxContent>
                        </wps:txbx>
                        <wps:bodyPr rot="0" vert="horz" wrap="square" lIns="0" tIns="0" rIns="0" bIns="0" anchor="t" anchorCtr="0" upright="1">
                          <a:noAutofit/>
                        </wps:bodyPr>
                      </wps:wsp>
                      <wps:wsp>
                        <wps:cNvPr id="21" name="Line 19"/>
                        <wps:cNvCnPr>
                          <a:cxnSpLocks noChangeShapeType="1"/>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4"/>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F58" w:rsidRDefault="002D2F58" w:rsidP="002D2F58">
                              <w:pPr>
                                <w:rPr>
                                  <w:u w:val="single"/>
                                </w:rPr>
                              </w:pPr>
                              <w:r>
                                <w:rPr>
                                  <w:u w:val="single"/>
                                  <w:lang w:val="fr-FR"/>
                                </w:rPr>
                                <w:t>a</w:t>
                              </w:r>
                            </w:p>
                            <w:p w:rsidR="002D2F58" w:rsidRDefault="002D2F58" w:rsidP="002D2F58">
                              <w:r>
                                <w:rPr>
                                  <w:lang w:val="fr-FR"/>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EC859" id="Group 4" o:spid="_x0000_s1026" style="position:absolute;margin-left:32.25pt;margin-top:5.55pt;width:408.1pt;height:54.55pt;z-index:251650048" coordorigin="1771,973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">
                <v:oval id="Oval 3" o:spid="_x0000_s1027"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" strokeweight="3pt">
                  <v:textbox inset="0,0,0,0">
                    <w:txbxContent>
                      <w:p w:rsidR="002D2F58" w:rsidRPr="000E5AFA" w:rsidRDefault="002D2F58" w:rsidP="002D2F58">
                        <w:pPr>
                          <w:spacing w:before="24"/>
                          <w:ind w:left="68" w:hanging="68"/>
                          <w:rPr>
                            <w:rFonts w:ascii="Arial" w:hAnsi="Arial" w:cs="Arial"/>
                            <w:sz w:val="56"/>
                            <w:szCs w:val="56"/>
                          </w:rPr>
                        </w:pPr>
                        <w:r w:rsidRPr="000E5AFA">
                          <w:rPr>
                            <w:sz w:val="56"/>
                            <w:szCs w:val="56"/>
                            <w:lang w:val="fr-FR"/>
                          </w:rPr>
                          <w:t>E4</w:t>
                        </w:r>
                      </w:p>
                    </w:txbxContent>
                  </v:textbox>
                </v:oval>
                <v:line id="Line 4" o:spid="_x0000_s1028"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5" o:spid="_x0000_s1029"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6" o:spid="_x0000_s1030"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">
                  <v:stroke startarrow="open" endarrow="open"/>
                </v:line>
                <v:line id="Line 7" o:spid="_x0000_s1031"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8" o:spid="_x0000_s1032"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9" o:spid="_x0000_s1033"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">
                  <v:stroke startarrow="open" endarrow="open"/>
                </v:line>
                <v:shapetype id="_x0000_t202" coordsize="21600,21600" o:spt="202" path="m,l,21600r21600,l21600,xe">
                  <v:stroke joinstyle="miter"/>
                  <v:path gradientshapeok="t" o:connecttype="rect"/>
                </v:shapetype>
                <v:shape id="Text Box 10" o:spid="_x0000_s1034"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rsidR="002D2F58" w:rsidRDefault="002D2F58" w:rsidP="002D2F58">
                        <w:pPr>
                          <w:spacing w:before="160"/>
                          <w:ind w:right="-539" w:firstLine="181"/>
                          <w:rPr>
                            <w:rFonts w:ascii="Arial" w:hAnsi="Arial" w:cs="Arial"/>
                          </w:rPr>
                        </w:pPr>
                        <w:r>
                          <w:rPr>
                            <w:lang w:val="fr-FR"/>
                          </w:rPr>
                          <w:t>a</w:t>
                        </w:r>
                      </w:p>
                    </w:txbxContent>
                  </v:textbox>
                </v:shape>
                <v:line id="Line 11" o:spid="_x0000_s1035"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2" o:spid="_x0000_s1036"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3" o:spid="_x0000_s1037"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">
                  <v:stroke endarrow="open"/>
                </v:line>
                <v:line id="Line 14" o:spid="_x0000_s1038"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">
                  <v:stroke endarrow="open"/>
                </v:line>
                <v:line id="Line 15" o:spid="_x0000_s1039"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Text Box 16" o:spid="_x0000_s1040"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rsidR="002D2F58" w:rsidRDefault="002D2F58" w:rsidP="002D2F58">
                        <w:pPr>
                          <w:rPr>
                            <w:rFonts w:ascii="Arial" w:hAnsi="Arial" w:cs="Arial"/>
                            <w:u w:val="single"/>
                          </w:rPr>
                        </w:pPr>
                        <w:r>
                          <w:rPr>
                            <w:u w:val="single"/>
                            <w:lang w:val="fr-FR"/>
                          </w:rPr>
                          <w:t>a</w:t>
                        </w:r>
                      </w:p>
                      <w:p w:rsidR="002D2F58" w:rsidRDefault="002D2F58" w:rsidP="002D2F58">
                        <w:pPr>
                          <w:rPr>
                            <w:rFonts w:ascii="Arial" w:hAnsi="Arial" w:cs="Arial"/>
                          </w:rPr>
                        </w:pPr>
                        <w:r>
                          <w:rPr>
                            <w:lang w:val="fr-FR"/>
                          </w:rPr>
                          <w:t>3</w:t>
                        </w:r>
                      </w:p>
                    </w:txbxContent>
                  </v:textbox>
                </v:shape>
                <v:shape id="Text Box 17" o:spid="_x0000_s1041"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rsidR="002D2F58" w:rsidRPr="000E5AFA" w:rsidRDefault="002D2F58" w:rsidP="002D2F58">
                        <w:pPr>
                          <w:pStyle w:val="Titre5"/>
                          <w:rPr>
                            <w:rFonts w:ascii="Arial" w:hAnsi="Arial" w:cs="Arial"/>
                            <w:sz w:val="56"/>
                            <w:szCs w:val="56"/>
                          </w:rPr>
                        </w:pPr>
                        <w:r w:rsidRPr="000E5AFA">
                          <w:rPr>
                            <w:sz w:val="56"/>
                            <w:szCs w:val="56"/>
                            <w:lang w:val="fr-FR"/>
                          </w:rPr>
                          <w:t>95R – 041424</w:t>
                        </w:r>
                      </w:p>
                    </w:txbxContent>
                  </v:textbox>
                </v:shape>
                <v:shape id="Text Box 18" o:spid="_x0000_s1042"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rsidR="002D2F58" w:rsidRDefault="002D2F58" w:rsidP="002D2F58">
                        <w:pPr>
                          <w:rPr>
                            <w:rFonts w:ascii="Arial" w:hAnsi="Arial" w:cs="Arial"/>
                            <w:u w:val="single"/>
                          </w:rPr>
                        </w:pPr>
                        <w:r>
                          <w:rPr>
                            <w:u w:val="single"/>
                            <w:lang w:val="fr-FR"/>
                          </w:rPr>
                          <w:t>a</w:t>
                        </w:r>
                      </w:p>
                      <w:p w:rsidR="002D2F58" w:rsidRDefault="002D2F58" w:rsidP="002D2F58">
                        <w:pPr>
                          <w:rPr>
                            <w:rFonts w:ascii="Arial" w:hAnsi="Arial" w:cs="Arial"/>
                          </w:rPr>
                        </w:pPr>
                        <w:r>
                          <w:rPr>
                            <w:lang w:val="fr-FR"/>
                          </w:rPr>
                          <w:t>3</w:t>
                        </w:r>
                      </w:p>
                    </w:txbxContent>
                  </v:textbox>
                </v:shape>
                <v:line id="Line 19" o:spid="_x0000_s1043"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">
                  <v:stroke endarrow="open"/>
                </v:line>
                <v:line id="Line 20" o:spid="_x0000_s1044"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1" o:spid="_x0000_s1045"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">
                  <v:stroke endarrow="open"/>
                </v:line>
                <v:line id="Line 22" o:spid="_x0000_s1046"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3" o:spid="_x0000_s1047"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 id="Text Box 24" o:spid="_x0000_s1048"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2D2F58" w:rsidRDefault="002D2F58" w:rsidP="002D2F58">
                        <w:pPr>
                          <w:rPr>
                            <w:u w:val="single"/>
                          </w:rPr>
                        </w:pPr>
                        <w:r>
                          <w:rPr>
                            <w:u w:val="single"/>
                            <w:lang w:val="fr-FR"/>
                          </w:rPr>
                          <w:t>a</w:t>
                        </w:r>
                      </w:p>
                      <w:p w:rsidR="002D2F58" w:rsidRDefault="002D2F58" w:rsidP="002D2F58">
                        <w:r>
                          <w:rPr>
                            <w:lang w:val="fr-FR"/>
                          </w:rPr>
                          <w:t>2</w:t>
                        </w:r>
                      </w:p>
                    </w:txbxContent>
                  </v:textbox>
                </v:shape>
              </v:group>
            </w:pict>
          </mc:Fallback>
        </mc:AlternateContent>
      </w:r>
    </w:p>
    <w:p w:rsidR="002D2F58" w:rsidRPr="00DD4661" w:rsidRDefault="002D2F58" w:rsidP="002D2F58">
      <w:pPr>
        <w:widowControl w:val="0"/>
        <w:rPr>
          <w:b/>
          <w:bCs/>
        </w:rPr>
      </w:pPr>
    </w:p>
    <w:p w:rsidR="002D2F58" w:rsidRPr="00DD4661" w:rsidRDefault="002D2F58" w:rsidP="002D2F58">
      <w:pPr>
        <w:widowControl w:val="0"/>
        <w:rPr>
          <w:b/>
          <w:bCs/>
        </w:rPr>
      </w:pPr>
    </w:p>
    <w:p w:rsidR="002D2F58" w:rsidRPr="00DD4661" w:rsidRDefault="002D2F58" w:rsidP="002D2F58">
      <w:pPr>
        <w:widowControl w:val="0"/>
        <w:rPr>
          <w:b/>
          <w:bCs/>
        </w:rPr>
      </w:pPr>
    </w:p>
    <w:p w:rsidR="002D2F58" w:rsidRPr="00DD4661" w:rsidRDefault="002D2F58" w:rsidP="002D2F58">
      <w:pPr>
        <w:widowControl w:val="0"/>
        <w:rPr>
          <w:b/>
          <w:bCs/>
        </w:rPr>
      </w:pPr>
    </w:p>
    <w:p w:rsidR="002D2F58" w:rsidRPr="00DD4661" w:rsidRDefault="002D2F58" w:rsidP="002D2F58">
      <w:pPr>
        <w:widowControl w:val="0"/>
        <w:rPr>
          <w:b/>
          <w:bCs/>
        </w:rPr>
      </w:pPr>
    </w:p>
    <w:p w:rsidR="002D2F58" w:rsidRPr="00DD4661" w:rsidRDefault="00532D2B" w:rsidP="00532D2B">
      <w:pPr>
        <w:tabs>
          <w:tab w:val="right" w:pos="7938"/>
        </w:tabs>
        <w:spacing w:after="120"/>
        <w:ind w:left="1134" w:right="1134"/>
        <w:rPr>
          <w:bCs/>
        </w:rPr>
      </w:pPr>
      <w:r>
        <w:rPr>
          <w:lang w:val="fr-FR"/>
        </w:rPr>
        <w:tab/>
      </w:r>
      <w:r w:rsidR="002D2F58">
        <w:rPr>
          <w:lang w:val="fr-FR"/>
        </w:rPr>
        <w:t>a = 8 mm min.</w:t>
      </w:r>
    </w:p>
    <w:p w:rsidR="002D2F58" w:rsidRPr="00DD4661" w:rsidRDefault="002D2F58" w:rsidP="00532D2B">
      <w:pPr>
        <w:pStyle w:val="SingleTxtG"/>
        <w:ind w:firstLine="567"/>
      </w:pPr>
      <w:r>
        <w:rPr>
          <w:lang w:val="fr-FR"/>
        </w:rPr>
        <w:t>La marque d’homologation ci-dessus, apposée sur un véhicule, indique que le type de ce véhicule a été homologué aux Pays-Bas (E4) en ce qui concerne la protection des occupants en cas de collision latérale, en application du Règlement n</w:t>
      </w:r>
      <w:r>
        <w:rPr>
          <w:vertAlign w:val="superscript"/>
          <w:lang w:val="fr-FR"/>
        </w:rPr>
        <w:t>o</w:t>
      </w:r>
      <w:r w:rsidR="006F4A6E">
        <w:rPr>
          <w:lang w:val="fr-FR"/>
        </w:rPr>
        <w:t> </w:t>
      </w:r>
      <w:r>
        <w:rPr>
          <w:lang w:val="fr-FR"/>
        </w:rPr>
        <w:t xml:space="preserve">95 sous le numéro d’homologation </w:t>
      </w:r>
      <w:r>
        <w:rPr>
          <w:b/>
          <w:bCs/>
          <w:lang w:val="fr-FR"/>
        </w:rPr>
        <w:t>04</w:t>
      </w:r>
      <w:r>
        <w:rPr>
          <w:lang w:val="fr-FR"/>
        </w:rPr>
        <w:t xml:space="preserve">1424. Le numéro d’homologation indique que l’homologation a été délivrée conformément aux prescriptions du Règlement </w:t>
      </w:r>
      <w:r w:rsidR="006F4A6E" w:rsidRPr="006F4A6E">
        <w:rPr>
          <w:rFonts w:eastAsia="MS Mincho"/>
          <w:szCs w:val="22"/>
          <w:lang w:val="fr-FR"/>
        </w:rPr>
        <w:t>n</w:t>
      </w:r>
      <w:r w:rsidR="006F4A6E" w:rsidRPr="006F4A6E">
        <w:rPr>
          <w:rFonts w:eastAsia="MS Mincho"/>
          <w:szCs w:val="22"/>
          <w:vertAlign w:val="superscript"/>
          <w:lang w:val="fr-FR"/>
        </w:rPr>
        <w:t>o</w:t>
      </w:r>
      <w:r w:rsidR="006F4A6E">
        <w:rPr>
          <w:lang w:val="fr-FR"/>
        </w:rPr>
        <w:t> 9</w:t>
      </w:r>
      <w:r>
        <w:rPr>
          <w:lang w:val="fr-FR"/>
        </w:rPr>
        <w:t xml:space="preserve">5 tel que modifié par la série </w:t>
      </w:r>
      <w:r>
        <w:rPr>
          <w:b/>
          <w:bCs/>
          <w:lang w:val="fr-FR"/>
        </w:rPr>
        <w:t>04</w:t>
      </w:r>
      <w:r>
        <w:rPr>
          <w:lang w:val="fr-FR"/>
        </w:rPr>
        <w:t xml:space="preserve"> d’amendements.</w:t>
      </w:r>
    </w:p>
    <w:p w:rsidR="002D2F58" w:rsidRPr="00DD4661" w:rsidRDefault="002D2F58" w:rsidP="002D2F58">
      <w:pPr>
        <w:spacing w:line="240" w:lineRule="auto"/>
        <w:ind w:left="1134"/>
        <w:outlineLvl w:val="0"/>
      </w:pPr>
      <w:r>
        <w:rPr>
          <w:lang w:val="fr-FR"/>
        </w:rPr>
        <w:t>Modèle B</w:t>
      </w:r>
    </w:p>
    <w:p w:rsidR="002D2F58" w:rsidRPr="00DD4661" w:rsidRDefault="002D2F58" w:rsidP="002D2F58">
      <w:pPr>
        <w:spacing w:after="120"/>
        <w:ind w:left="1134" w:right="1134"/>
        <w:jc w:val="both"/>
      </w:pPr>
      <w:r>
        <w:rPr>
          <w:lang w:val="fr-FR"/>
        </w:rPr>
        <w:t>(voir par.</w:t>
      </w:r>
      <w:r w:rsidR="006F4A6E">
        <w:rPr>
          <w:lang w:val="fr-FR"/>
        </w:rPr>
        <w:t> </w:t>
      </w:r>
      <w:r>
        <w:rPr>
          <w:lang w:val="fr-FR"/>
        </w:rPr>
        <w:t>4.6 du présent Règlement)</w:t>
      </w:r>
      <w:r w:rsidR="003250DD" w:rsidRPr="003250DD">
        <w:rPr>
          <w:noProof/>
        </w:rPr>
        <w:t xml:space="preserve"> </w:t>
      </w:r>
    </w:p>
    <w:p w:rsidR="002D2F58" w:rsidRPr="008B446A" w:rsidRDefault="003250DD" w:rsidP="00C63FB5">
      <w:pPr>
        <w:widowControl w:val="0"/>
        <w:tabs>
          <w:tab w:val="left" w:pos="3400"/>
          <w:tab w:val="left" w:pos="7400"/>
        </w:tabs>
        <w:ind w:left="851"/>
        <w:jc w:val="both"/>
      </w:pPr>
      <w:r w:rsidRPr="00B328DF">
        <w:rPr>
          <w:noProof/>
          <w:lang w:val="en-US"/>
        </w:rPr>
        <w:drawing>
          <wp:anchor distT="0" distB="0" distL="114300" distR="114300" simplePos="0" relativeHeight="251665408" behindDoc="0" locked="0" layoutInCell="1" allowOverlap="1" wp14:anchorId="2D240122" wp14:editId="594C3E68">
            <wp:simplePos x="0" y="0"/>
            <wp:positionH relativeFrom="column">
              <wp:posOffset>4728845</wp:posOffset>
            </wp:positionH>
            <wp:positionV relativeFrom="paragraph">
              <wp:posOffset>113665</wp:posOffset>
            </wp:positionV>
            <wp:extent cx="400050" cy="644525"/>
            <wp:effectExtent l="0" t="0" r="0" b="3175"/>
            <wp:wrapNone/>
            <wp:docPr id="2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8DF">
        <w:rPr>
          <w:noProof/>
          <w:lang w:val="en-US"/>
        </w:rPr>
        <mc:AlternateContent>
          <mc:Choice Requires="wps">
            <w:drawing>
              <wp:anchor distT="0" distB="0" distL="114300" distR="114300" simplePos="0" relativeHeight="251658240" behindDoc="0" locked="0" layoutInCell="1" allowOverlap="1" wp14:anchorId="41F13CD5" wp14:editId="5EB78A19">
                <wp:simplePos x="0" y="0"/>
                <wp:positionH relativeFrom="column">
                  <wp:posOffset>2378710</wp:posOffset>
                </wp:positionH>
                <wp:positionV relativeFrom="paragraph">
                  <wp:posOffset>71755</wp:posOffset>
                </wp:positionV>
                <wp:extent cx="2730500" cy="800100"/>
                <wp:effectExtent l="0" t="635" r="0" b="0"/>
                <wp:wrapNone/>
                <wp:docPr id="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3250DD" w:rsidRPr="00D00EBE">
                              <w:trPr>
                                <w:trHeight w:val="411"/>
                              </w:trPr>
                              <w:tc>
                                <w:tcPr>
                                  <w:tcW w:w="1383" w:type="dxa"/>
                                </w:tcPr>
                                <w:p w:rsidR="003250DD" w:rsidRPr="00D00EBE" w:rsidRDefault="003250DD" w:rsidP="00C659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95</w:t>
                                  </w:r>
                                </w:p>
                              </w:tc>
                              <w:tc>
                                <w:tcPr>
                                  <w:tcW w:w="1843" w:type="dxa"/>
                                </w:tcPr>
                                <w:p w:rsidR="003250DD" w:rsidRPr="00D00EBE" w:rsidRDefault="003250DD" w:rsidP="00C659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C106AF">
                                    <w:rPr>
                                      <w:rFonts w:ascii="Arial" w:hAnsi="Arial" w:cs="Arial"/>
                                      <w:b/>
                                      <w:sz w:val="36"/>
                                      <w:szCs w:val="36"/>
                                    </w:rPr>
                                    <w:t>04</w:t>
                                  </w:r>
                                  <w:r w:rsidRPr="00D00EBE">
                                    <w:rPr>
                                      <w:rFonts w:ascii="Arial" w:hAnsi="Arial" w:cs="Arial"/>
                                      <w:b/>
                                      <w:sz w:val="36"/>
                                      <w:szCs w:val="36"/>
                                    </w:rPr>
                                    <w:t xml:space="preserve"> 2492</w:t>
                                  </w:r>
                                </w:p>
                              </w:tc>
                            </w:tr>
                            <w:tr w:rsidR="003250DD" w:rsidRPr="00D65598">
                              <w:trPr>
                                <w:trHeight w:val="411"/>
                              </w:trPr>
                              <w:tc>
                                <w:tcPr>
                                  <w:tcW w:w="1383" w:type="dxa"/>
                                </w:tcPr>
                                <w:p w:rsidR="003250DD" w:rsidRPr="00D00EBE" w:rsidRDefault="003250DD" w:rsidP="00C659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24</w:t>
                                  </w:r>
                                </w:p>
                              </w:tc>
                              <w:tc>
                                <w:tcPr>
                                  <w:tcW w:w="1843" w:type="dxa"/>
                                </w:tcPr>
                                <w:p w:rsidR="003250DD" w:rsidRPr="00D00EBE" w:rsidRDefault="003250DD" w:rsidP="00C659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741A2E">
                                    <w:rPr>
                                      <w:rFonts w:ascii="Arial" w:hAnsi="Arial" w:cs="Arial"/>
                                      <w:b/>
                                      <w:sz w:val="36"/>
                                      <w:szCs w:val="36"/>
                                    </w:rPr>
                                    <w:t>03</w:t>
                                  </w:r>
                                  <w:r w:rsidRPr="00D00EBE">
                                    <w:rPr>
                                      <w:rFonts w:ascii="Arial" w:hAnsi="Arial" w:cs="Arial"/>
                                      <w:b/>
                                      <w:sz w:val="36"/>
                                      <w:szCs w:val="36"/>
                                    </w:rPr>
                                    <w:t xml:space="preserve"> 1628</w:t>
                                  </w:r>
                                </w:p>
                              </w:tc>
                            </w:tr>
                          </w:tbl>
                          <w:p w:rsidR="003250DD" w:rsidRDefault="003250DD" w:rsidP="00325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13CD5" id="Text Box 3" o:spid="_x0000_s1049" type="#_x0000_t202" style="position:absolute;left:0;text-align:left;margin-left:187.3pt;margin-top:5.65pt;width:21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w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3250DD" w:rsidRPr="00D00EBE">
                        <w:trPr>
                          <w:trHeight w:val="411"/>
                        </w:trPr>
                        <w:tc>
                          <w:tcPr>
                            <w:tcW w:w="1383" w:type="dxa"/>
                          </w:tcPr>
                          <w:p w:rsidR="003250DD" w:rsidRPr="00D00EBE" w:rsidRDefault="003250DD" w:rsidP="00C659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95</w:t>
                            </w:r>
                          </w:p>
                        </w:tc>
                        <w:tc>
                          <w:tcPr>
                            <w:tcW w:w="1843" w:type="dxa"/>
                          </w:tcPr>
                          <w:p w:rsidR="003250DD" w:rsidRPr="00D00EBE" w:rsidRDefault="003250DD" w:rsidP="00C659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C106AF">
                              <w:rPr>
                                <w:rFonts w:ascii="Arial" w:hAnsi="Arial" w:cs="Arial"/>
                                <w:b/>
                                <w:sz w:val="36"/>
                                <w:szCs w:val="36"/>
                              </w:rPr>
                              <w:t>04</w:t>
                            </w:r>
                            <w:r w:rsidRPr="00D00EBE">
                              <w:rPr>
                                <w:rFonts w:ascii="Arial" w:hAnsi="Arial" w:cs="Arial"/>
                                <w:b/>
                                <w:sz w:val="36"/>
                                <w:szCs w:val="36"/>
                              </w:rPr>
                              <w:t xml:space="preserve"> 2492</w:t>
                            </w:r>
                          </w:p>
                        </w:tc>
                      </w:tr>
                      <w:tr w:rsidR="003250DD" w:rsidRPr="00D65598">
                        <w:trPr>
                          <w:trHeight w:val="411"/>
                        </w:trPr>
                        <w:tc>
                          <w:tcPr>
                            <w:tcW w:w="1383" w:type="dxa"/>
                          </w:tcPr>
                          <w:p w:rsidR="003250DD" w:rsidRPr="00D00EBE" w:rsidRDefault="003250DD" w:rsidP="00C659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24</w:t>
                            </w:r>
                          </w:p>
                        </w:tc>
                        <w:tc>
                          <w:tcPr>
                            <w:tcW w:w="1843" w:type="dxa"/>
                          </w:tcPr>
                          <w:p w:rsidR="003250DD" w:rsidRPr="00D00EBE" w:rsidRDefault="003250DD" w:rsidP="00C659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741A2E">
                              <w:rPr>
                                <w:rFonts w:ascii="Arial" w:hAnsi="Arial" w:cs="Arial"/>
                                <w:b/>
                                <w:sz w:val="36"/>
                                <w:szCs w:val="36"/>
                              </w:rPr>
                              <w:t>03</w:t>
                            </w:r>
                            <w:r w:rsidRPr="00D00EBE">
                              <w:rPr>
                                <w:rFonts w:ascii="Arial" w:hAnsi="Arial" w:cs="Arial"/>
                                <w:b/>
                                <w:sz w:val="36"/>
                                <w:szCs w:val="36"/>
                              </w:rPr>
                              <w:t xml:space="preserve"> 1628</w:t>
                            </w:r>
                          </w:p>
                        </w:tc>
                      </w:tr>
                    </w:tbl>
                    <w:p w:rsidR="003250DD" w:rsidRDefault="003250DD" w:rsidP="003250DD"/>
                  </w:txbxContent>
                </v:textbox>
              </v:shape>
            </w:pict>
          </mc:Fallback>
        </mc:AlternateContent>
      </w:r>
      <w:r w:rsidR="002D2F58" w:rsidRPr="00B328DF">
        <w:rPr>
          <w:noProof/>
          <w:lang w:eastAsia="fr-CH"/>
        </w:rPr>
        <mc:AlternateContent>
          <mc:Choice Requires="wps">
            <w:drawing>
              <wp:anchor distT="0" distB="0" distL="114300" distR="114300" simplePos="0" relativeHeight="251651072" behindDoc="0" locked="0" layoutInCell="1" allowOverlap="1" wp14:anchorId="4A273999" wp14:editId="5DD97DC5">
                <wp:simplePos x="0" y="0"/>
                <wp:positionH relativeFrom="column">
                  <wp:posOffset>2237740</wp:posOffset>
                </wp:positionH>
                <wp:positionV relativeFrom="paragraph">
                  <wp:posOffset>91440</wp:posOffset>
                </wp:positionV>
                <wp:extent cx="2730500" cy="800100"/>
                <wp:effectExtent l="0" t="635"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F58" w:rsidRDefault="002D2F58" w:rsidP="002D2F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73999" id="_x0000_s1050" type="#_x0000_t202" style="position:absolute;left:0;text-align:left;margin-left:176.2pt;margin-top:7.2pt;width:215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AchQIAABc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" stroked="f">
                <v:textbox>
                  <w:txbxContent>
                    <w:p w:rsidR="002D2F58" w:rsidRDefault="002D2F58" w:rsidP="002D2F58"/>
                  </w:txbxContent>
                </v:textbox>
              </v:shape>
            </w:pict>
          </mc:Fallback>
        </mc:AlternateContent>
      </w:r>
      <w:r w:rsidR="002D2F58" w:rsidRPr="00DD4661">
        <w:t xml:space="preserve">  </w:t>
      </w:r>
      <w:r w:rsidR="002D2F58" w:rsidRPr="00B328DF">
        <w:rPr>
          <w:noProof/>
          <w:lang w:eastAsia="fr-CH"/>
        </w:rPr>
        <w:drawing>
          <wp:inline distT="0" distB="0" distL="0" distR="0" wp14:anchorId="6D02AD6F" wp14:editId="1AC45B63">
            <wp:extent cx="1628775" cy="9048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rsidR="002D2F58" w:rsidRPr="00DD4661" w:rsidRDefault="00532D2B" w:rsidP="00532D2B">
      <w:pPr>
        <w:tabs>
          <w:tab w:val="right" w:pos="7938"/>
        </w:tabs>
        <w:spacing w:after="120"/>
        <w:ind w:left="1134" w:right="1134"/>
      </w:pPr>
      <w:r>
        <w:rPr>
          <w:lang w:val="fr-FR"/>
        </w:rPr>
        <w:tab/>
      </w:r>
      <w:r w:rsidR="002D2F58">
        <w:rPr>
          <w:lang w:val="fr-FR"/>
        </w:rPr>
        <w:t>a = 8 mm min.</w:t>
      </w:r>
    </w:p>
    <w:p w:rsidR="002D2F58" w:rsidRPr="00DD4661" w:rsidRDefault="002D2F58" w:rsidP="00532D2B">
      <w:pPr>
        <w:pStyle w:val="SingleTxtG"/>
        <w:ind w:firstLine="567"/>
        <w:rPr>
          <w:i/>
        </w:rPr>
      </w:pPr>
      <w:r>
        <w:rPr>
          <w:lang w:val="fr-FR"/>
        </w:rPr>
        <w:t>La marque d’homologation ci-dessus, apposée sur un véhicule, indique que le type de ce véhicule a été homologué aux Pays-Bas (E4) en application des Règlements n</w:t>
      </w:r>
      <w:r>
        <w:rPr>
          <w:vertAlign w:val="superscript"/>
          <w:lang w:val="fr-FR"/>
        </w:rPr>
        <w:t>o</w:t>
      </w:r>
      <w:r w:rsidR="00532D2B">
        <w:rPr>
          <w:lang w:val="fr-FR"/>
        </w:rPr>
        <w:t> </w:t>
      </w:r>
      <w:r>
        <w:rPr>
          <w:lang w:val="fr-FR"/>
        </w:rPr>
        <w:t>95 et</w:t>
      </w:r>
      <w:r w:rsidR="003250DD">
        <w:rPr>
          <w:lang w:val="fr-FR"/>
        </w:rPr>
        <w:t> </w:t>
      </w:r>
      <w:r>
        <w:rPr>
          <w:lang w:val="fr-FR"/>
        </w:rPr>
        <w:t>24</w:t>
      </w:r>
      <w:r w:rsidRPr="006F4A6E">
        <w:rPr>
          <w:rStyle w:val="Appelnotedebasdep"/>
        </w:rPr>
        <w:footnoteReference w:id="4"/>
      </w:r>
      <w:r>
        <w:rPr>
          <w:lang w:val="fr-FR"/>
        </w:rPr>
        <w:t>. Les deux premiers chiffres des numéros d’homologation signifient qu’aux dates où les homologations respectives ont été délivrées, le Règlement n</w:t>
      </w:r>
      <w:r>
        <w:rPr>
          <w:vertAlign w:val="superscript"/>
          <w:lang w:val="fr-FR"/>
        </w:rPr>
        <w:t>o</w:t>
      </w:r>
      <w:r w:rsidR="00532D2B">
        <w:rPr>
          <w:lang w:val="fr-FR"/>
        </w:rPr>
        <w:t> </w:t>
      </w:r>
      <w:r>
        <w:rPr>
          <w:lang w:val="fr-FR"/>
        </w:rPr>
        <w:t xml:space="preserve">95 comprenait la série </w:t>
      </w:r>
      <w:r>
        <w:rPr>
          <w:b/>
          <w:bCs/>
          <w:lang w:val="fr-FR"/>
        </w:rPr>
        <w:t>04</w:t>
      </w:r>
      <w:r>
        <w:rPr>
          <w:lang w:val="fr-FR"/>
        </w:rPr>
        <w:t xml:space="preserve"> d’amendements et le Règlement n</w:t>
      </w:r>
      <w:r>
        <w:rPr>
          <w:vertAlign w:val="superscript"/>
          <w:lang w:val="fr-FR"/>
        </w:rPr>
        <w:t>o</w:t>
      </w:r>
      <w:r w:rsidR="00532D2B">
        <w:rPr>
          <w:lang w:val="fr-FR"/>
        </w:rPr>
        <w:t> </w:t>
      </w:r>
      <w:r>
        <w:rPr>
          <w:lang w:val="fr-FR"/>
        </w:rPr>
        <w:t>24 de la série 03 d’amendements. ».</w:t>
      </w:r>
    </w:p>
    <w:p w:rsidR="002D2F58" w:rsidRPr="00DD4661" w:rsidRDefault="002D2F58" w:rsidP="002D2F58">
      <w:pPr>
        <w:pStyle w:val="HChG"/>
      </w:pPr>
      <w:r>
        <w:rPr>
          <w:lang w:val="fr-FR"/>
        </w:rPr>
        <w:lastRenderedPageBreak/>
        <w:tab/>
        <w:t>II.</w:t>
      </w:r>
      <w:r>
        <w:rPr>
          <w:lang w:val="fr-FR"/>
        </w:rPr>
        <w:tab/>
      </w:r>
      <w:r>
        <w:rPr>
          <w:bCs/>
          <w:lang w:val="fr-FR"/>
        </w:rPr>
        <w:t>Justification</w:t>
      </w:r>
    </w:p>
    <w:p w:rsidR="006F4A6E" w:rsidRDefault="002D2F58" w:rsidP="006F4A6E">
      <w:pPr>
        <w:pStyle w:val="SingleTxtG"/>
        <w:rPr>
          <w:lang w:val="fr-FR"/>
        </w:rPr>
      </w:pPr>
      <w:r>
        <w:rPr>
          <w:lang w:val="fr-FR"/>
        </w:rPr>
        <w:t>1.</w:t>
      </w:r>
      <w:r>
        <w:rPr>
          <w:lang w:val="fr-FR"/>
        </w:rPr>
        <w:tab/>
        <w:t>L’Union européenne est en train d’adopter la version révisée du Règlement sur la sécurité générale des véhicules à moteur, qui introduit plusieurs nouveaux dispositifs de sécurité. Toutefois,</w:t>
      </w:r>
      <w:r w:rsidR="006F4A6E">
        <w:rPr>
          <w:lang w:val="fr-FR"/>
        </w:rPr>
        <w:t xml:space="preserve"> </w:t>
      </w:r>
      <w:r>
        <w:rPr>
          <w:lang w:val="fr-FR"/>
        </w:rPr>
        <w:t>ce Règlement prévoit également un certain nombre d’exemptions applicables aux prescriptions essentielles</w:t>
      </w:r>
      <w:r w:rsidR="006F4A6E">
        <w:rPr>
          <w:lang w:val="fr-FR"/>
        </w:rPr>
        <w:t xml:space="preserve"> </w:t>
      </w:r>
      <w:r>
        <w:rPr>
          <w:lang w:val="fr-FR"/>
        </w:rPr>
        <w:t>en matière de sécurité des véhicules, par exemple pour les véhicules tout terrain de loisir et les fourgons</w:t>
      </w:r>
      <w:r w:rsidR="003250DD">
        <w:rPr>
          <w:lang w:val="fr-FR"/>
        </w:rPr>
        <w:t>.</w:t>
      </w:r>
    </w:p>
    <w:p w:rsidR="002D2F58" w:rsidRPr="00DD4661" w:rsidRDefault="002D2F58" w:rsidP="006F4A6E">
      <w:pPr>
        <w:pStyle w:val="SingleTxtG"/>
      </w:pPr>
      <w:r>
        <w:rPr>
          <w:lang w:val="fr-FR"/>
        </w:rPr>
        <w:t>2.</w:t>
      </w:r>
      <w:r>
        <w:rPr>
          <w:lang w:val="fr-FR"/>
        </w:rPr>
        <w:tab/>
        <w:t>Ces vastes exemptions ne se justifient plus compte tenu de l’électrification croissante du parc de véhicules et, d’une manière générale, de la protection des personnes contre les risques de choc électrique et de fuite de carburant après un accident, ainsi que de l’ouverture ou du blocage des portes et de l’évacuation en toute sécurité des occupants de ces véhicules.</w:t>
      </w:r>
    </w:p>
    <w:p w:rsidR="002D2F58" w:rsidRPr="00DD4661" w:rsidRDefault="002D2F58" w:rsidP="002D2F58">
      <w:pPr>
        <w:pStyle w:val="SingleTxtG"/>
      </w:pPr>
      <w:r>
        <w:rPr>
          <w:lang w:val="fr-FR"/>
        </w:rPr>
        <w:t>3.</w:t>
      </w:r>
      <w:r>
        <w:rPr>
          <w:lang w:val="fr-FR"/>
        </w:rPr>
        <w:tab/>
        <w:t>Les dates d’application envisagées qui ont été décidées par le Parlement européen et les États membres de l’Union européenne sont également proposées dans de nouvelles dispositions transitoires pour le présent Règlement.</w:t>
      </w:r>
    </w:p>
    <w:p w:rsidR="006F4A6E" w:rsidRDefault="002D2F58" w:rsidP="002D2F58">
      <w:pPr>
        <w:pStyle w:val="SingleTxtG"/>
        <w:rPr>
          <w:lang w:val="fr-FR"/>
        </w:rPr>
      </w:pPr>
      <w:r>
        <w:rPr>
          <w:lang w:val="fr-FR"/>
        </w:rPr>
        <w:t>4.</w:t>
      </w:r>
      <w:r>
        <w:rPr>
          <w:lang w:val="fr-FR"/>
        </w:rPr>
        <w:tab/>
        <w:t xml:space="preserve">Dans les véhicules larges, il n’est peut-être pas nécessaire que les sièges avant soient munis d’un système de déplacement (conformément au Règlement </w:t>
      </w:r>
      <w:r w:rsidR="00BC4B66">
        <w:rPr>
          <w:lang w:val="fr-FR"/>
        </w:rPr>
        <w:t xml:space="preserve">ONU </w:t>
      </w:r>
      <w:r>
        <w:rPr>
          <w:lang w:val="fr-FR"/>
        </w:rPr>
        <w:t>n</w:t>
      </w:r>
      <w:r>
        <w:rPr>
          <w:vertAlign w:val="superscript"/>
          <w:lang w:val="fr-FR"/>
        </w:rPr>
        <w:t>o</w:t>
      </w:r>
      <w:r w:rsidR="006F4A6E">
        <w:rPr>
          <w:lang w:val="fr-FR"/>
        </w:rPr>
        <w:t> </w:t>
      </w:r>
      <w:r>
        <w:rPr>
          <w:lang w:val="fr-FR"/>
        </w:rPr>
        <w:t>17), car les occupants peuvent se déplacer entre les sièges. Il est proposé de prévoir une telle possibilité dans le présent Règlement aussi afin</w:t>
      </w:r>
      <w:r w:rsidR="006F4A6E">
        <w:rPr>
          <w:lang w:val="fr-FR"/>
        </w:rPr>
        <w:t xml:space="preserve"> </w:t>
      </w:r>
      <w:r>
        <w:rPr>
          <w:lang w:val="fr-FR"/>
        </w:rPr>
        <w:t>que les occupants assis à l’arrière puissent évacuer par une porte avant en cas de collision latérale. Dans certains véhicules utilitaires où il n’est pas possible d’atteindre la première rangée de sièges et où aucun siège avan</w:t>
      </w:r>
      <w:bookmarkStart w:id="3" w:name="_GoBack"/>
      <w:bookmarkEnd w:id="3"/>
      <w:r>
        <w:rPr>
          <w:lang w:val="fr-FR"/>
        </w:rPr>
        <w:t>t n’est équipé d’un dispositif de déplacement, l’évacuation doit pouvoir se faire, par exemple, par une fenêtre de secours.</w:t>
      </w:r>
    </w:p>
    <w:p w:rsidR="002D2F58" w:rsidRPr="00DD4661" w:rsidRDefault="002D2F58" w:rsidP="002D2F58">
      <w:pPr>
        <w:pStyle w:val="SingleTxtG"/>
      </w:pPr>
      <w:r>
        <w:rPr>
          <w:lang w:val="fr-FR"/>
        </w:rPr>
        <w:t>5.</w:t>
      </w:r>
      <w:r>
        <w:rPr>
          <w:lang w:val="fr-FR"/>
        </w:rPr>
        <w:tab/>
        <w:t>Afin d’éviter les divergences d’interprétation entre les services techniques et les autorités d’homologation de type, il est précisé qu’au moins la configuration la plus défavorable pour les portes latérales, le système d’alimentation en carburant et/ou la disposition du circuit électrique doit être évaluée pour éviter que certaines configurations .échappent d’une façon ou d’une autre à la vérification.</w:t>
      </w:r>
    </w:p>
    <w:p w:rsidR="002D2F58" w:rsidRPr="006F4A6E" w:rsidRDefault="006F4A6E" w:rsidP="006F4A6E">
      <w:pPr>
        <w:pStyle w:val="SingleTxtG"/>
        <w:spacing w:before="240" w:after="0"/>
        <w:jc w:val="center"/>
        <w:rPr>
          <w:u w:val="single"/>
        </w:rPr>
      </w:pPr>
      <w:r>
        <w:rPr>
          <w:u w:val="single"/>
        </w:rPr>
        <w:tab/>
      </w:r>
      <w:r>
        <w:rPr>
          <w:u w:val="single"/>
        </w:rPr>
        <w:tab/>
      </w:r>
      <w:r>
        <w:rPr>
          <w:u w:val="single"/>
        </w:rPr>
        <w:tab/>
      </w:r>
    </w:p>
    <w:sectPr w:rsidR="002D2F58" w:rsidRPr="006F4A6E" w:rsidSect="002D2F58">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220" w:rsidRDefault="00984220" w:rsidP="00F95C08">
      <w:pPr>
        <w:spacing w:line="240" w:lineRule="auto"/>
      </w:pPr>
    </w:p>
  </w:endnote>
  <w:endnote w:type="continuationSeparator" w:id="0">
    <w:p w:rsidR="00984220" w:rsidRPr="00AC3823" w:rsidRDefault="00984220" w:rsidP="00AC3823">
      <w:pPr>
        <w:pStyle w:val="Pieddepage"/>
      </w:pPr>
    </w:p>
  </w:endnote>
  <w:endnote w:type="continuationNotice" w:id="1">
    <w:p w:rsidR="00984220" w:rsidRDefault="009842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F58" w:rsidRPr="002D2F58" w:rsidRDefault="002D2F58" w:rsidP="002D2F58">
    <w:pPr>
      <w:pStyle w:val="Pieddepage"/>
      <w:tabs>
        <w:tab w:val="right" w:pos="9638"/>
      </w:tabs>
    </w:pPr>
    <w:r w:rsidRPr="002D2F58">
      <w:rPr>
        <w:b/>
        <w:sz w:val="18"/>
      </w:rPr>
      <w:fldChar w:fldCharType="begin"/>
    </w:r>
    <w:r w:rsidRPr="002D2F58">
      <w:rPr>
        <w:b/>
        <w:sz w:val="18"/>
      </w:rPr>
      <w:instrText xml:space="preserve"> PAGE  \* MERGEFORMAT </w:instrText>
    </w:r>
    <w:r w:rsidRPr="002D2F58">
      <w:rPr>
        <w:b/>
        <w:sz w:val="18"/>
      </w:rPr>
      <w:fldChar w:fldCharType="separate"/>
    </w:r>
    <w:r w:rsidRPr="002D2F58">
      <w:rPr>
        <w:b/>
        <w:noProof/>
        <w:sz w:val="18"/>
      </w:rPr>
      <w:t>2</w:t>
    </w:r>
    <w:r w:rsidRPr="002D2F58">
      <w:rPr>
        <w:b/>
        <w:sz w:val="18"/>
      </w:rPr>
      <w:fldChar w:fldCharType="end"/>
    </w:r>
    <w:r>
      <w:rPr>
        <w:b/>
        <w:sz w:val="18"/>
      </w:rPr>
      <w:tab/>
    </w:r>
    <w:r>
      <w:t>GE.19-16622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F58" w:rsidRPr="002D2F58" w:rsidRDefault="002D2F58" w:rsidP="002D2F58">
    <w:pPr>
      <w:pStyle w:val="Pieddepage"/>
      <w:tabs>
        <w:tab w:val="right" w:pos="9638"/>
      </w:tabs>
      <w:rPr>
        <w:b/>
        <w:sz w:val="18"/>
      </w:rPr>
    </w:pPr>
    <w:r>
      <w:t>GE.19-16622</w:t>
    </w:r>
    <w:r>
      <w:tab/>
    </w:r>
    <w:r w:rsidRPr="002D2F58">
      <w:rPr>
        <w:b/>
        <w:sz w:val="18"/>
      </w:rPr>
      <w:fldChar w:fldCharType="begin"/>
    </w:r>
    <w:r w:rsidRPr="002D2F58">
      <w:rPr>
        <w:b/>
        <w:sz w:val="18"/>
      </w:rPr>
      <w:instrText xml:space="preserve"> PAGE  \* MERGEFORMAT </w:instrText>
    </w:r>
    <w:r w:rsidRPr="002D2F58">
      <w:rPr>
        <w:b/>
        <w:sz w:val="18"/>
      </w:rPr>
      <w:fldChar w:fldCharType="separate"/>
    </w:r>
    <w:r w:rsidRPr="002D2F58">
      <w:rPr>
        <w:b/>
        <w:noProof/>
        <w:sz w:val="18"/>
      </w:rPr>
      <w:t>3</w:t>
    </w:r>
    <w:r w:rsidRPr="002D2F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2D2F58" w:rsidRDefault="002D2F58" w:rsidP="002D2F58">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19-16622  (F)    211019    211019</w:t>
    </w:r>
    <w:r>
      <w:rPr>
        <w:sz w:val="20"/>
      </w:rPr>
      <w:br/>
    </w:r>
    <w:r w:rsidRPr="002D2F58">
      <w:rPr>
        <w:rFonts w:ascii="C39T30Lfz" w:hAnsi="C39T30Lfz"/>
        <w:sz w:val="56"/>
      </w:rPr>
      <w:t></w:t>
    </w:r>
    <w:r w:rsidRPr="002D2F58">
      <w:rPr>
        <w:rFonts w:ascii="C39T30Lfz" w:hAnsi="C39T30Lfz"/>
        <w:sz w:val="56"/>
      </w:rPr>
      <w:t></w:t>
    </w:r>
    <w:r w:rsidRPr="002D2F58">
      <w:rPr>
        <w:rFonts w:ascii="C39T30Lfz" w:hAnsi="C39T30Lfz"/>
        <w:sz w:val="56"/>
      </w:rPr>
      <w:t></w:t>
    </w:r>
    <w:r w:rsidRPr="002D2F58">
      <w:rPr>
        <w:rFonts w:ascii="C39T30Lfz" w:hAnsi="C39T30Lfz"/>
        <w:sz w:val="56"/>
      </w:rPr>
      <w:t></w:t>
    </w:r>
    <w:r w:rsidRPr="002D2F58">
      <w:rPr>
        <w:rFonts w:ascii="C39T30Lfz" w:hAnsi="C39T30Lfz"/>
        <w:sz w:val="56"/>
      </w:rPr>
      <w:t></w:t>
    </w:r>
    <w:r w:rsidRPr="002D2F58">
      <w:rPr>
        <w:rFonts w:ascii="C39T30Lfz" w:hAnsi="C39T30Lfz"/>
        <w:sz w:val="56"/>
      </w:rPr>
      <w:t></w:t>
    </w:r>
    <w:r w:rsidRPr="002D2F58">
      <w:rPr>
        <w:rFonts w:ascii="C39T30Lfz" w:hAnsi="C39T30Lfz"/>
        <w:sz w:val="56"/>
      </w:rPr>
      <w:t></w:t>
    </w:r>
    <w:r w:rsidRPr="002D2F58">
      <w:rPr>
        <w:rFonts w:ascii="C39T30Lfz" w:hAnsi="C39T30Lfz"/>
        <w:sz w:val="56"/>
      </w:rPr>
      <w:t></w:t>
    </w:r>
    <w:r w:rsidRPr="002D2F5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9/3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3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220" w:rsidRPr="00AC3823" w:rsidRDefault="00984220" w:rsidP="00AC3823">
      <w:pPr>
        <w:pStyle w:val="Pieddepage"/>
        <w:tabs>
          <w:tab w:val="right" w:pos="2155"/>
        </w:tabs>
        <w:spacing w:after="80" w:line="240" w:lineRule="atLeast"/>
        <w:ind w:left="680"/>
        <w:rPr>
          <w:u w:val="single"/>
        </w:rPr>
      </w:pPr>
      <w:r>
        <w:rPr>
          <w:u w:val="single"/>
        </w:rPr>
        <w:tab/>
      </w:r>
    </w:p>
  </w:footnote>
  <w:footnote w:type="continuationSeparator" w:id="0">
    <w:p w:rsidR="00984220" w:rsidRPr="00AC3823" w:rsidRDefault="00984220" w:rsidP="00AC3823">
      <w:pPr>
        <w:pStyle w:val="Pieddepage"/>
        <w:tabs>
          <w:tab w:val="right" w:pos="2155"/>
        </w:tabs>
        <w:spacing w:after="80" w:line="240" w:lineRule="atLeast"/>
        <w:ind w:left="680"/>
        <w:rPr>
          <w:u w:val="single"/>
        </w:rPr>
      </w:pPr>
      <w:r>
        <w:rPr>
          <w:u w:val="single"/>
        </w:rPr>
        <w:tab/>
      </w:r>
    </w:p>
  </w:footnote>
  <w:footnote w:type="continuationNotice" w:id="1">
    <w:p w:rsidR="00984220" w:rsidRPr="00AC3823" w:rsidRDefault="00984220">
      <w:pPr>
        <w:spacing w:line="240" w:lineRule="auto"/>
        <w:rPr>
          <w:sz w:val="2"/>
          <w:szCs w:val="2"/>
        </w:rPr>
      </w:pPr>
    </w:p>
  </w:footnote>
  <w:footnote w:id="2">
    <w:p w:rsidR="002D2F58" w:rsidRPr="002D2F58" w:rsidRDefault="002D2F58">
      <w:pPr>
        <w:pStyle w:val="Notedebasdepage"/>
      </w:pPr>
      <w:r>
        <w:rPr>
          <w:rStyle w:val="Appelnotedebasdep"/>
        </w:rPr>
        <w:tab/>
      </w:r>
      <w:r w:rsidRPr="002D2F58">
        <w:rPr>
          <w:rStyle w:val="Appelnotedebasdep"/>
          <w:sz w:val="20"/>
          <w:vertAlign w:val="baseline"/>
        </w:rPr>
        <w:t>*</w:t>
      </w:r>
      <w:r>
        <w:rPr>
          <w:rStyle w:val="Appelnotedebasdep"/>
          <w:sz w:val="20"/>
          <w:vertAlign w:val="baseline"/>
        </w:rPr>
        <w:tab/>
      </w:r>
      <w:r>
        <w:rPr>
          <w:lang w:val="fr-FR"/>
        </w:rPr>
        <w:t xml:space="preserve">Conformément au </w:t>
      </w:r>
      <w:r w:rsidRPr="002D2F58">
        <w:rPr>
          <w:spacing w:val="-2"/>
          <w:lang w:val="fr-FR"/>
        </w:rPr>
        <w:t>programme de travail du Comité des transports intérieurs pour la période</w:t>
      </w:r>
      <w:r>
        <w:rPr>
          <w:lang w:val="fr-FR"/>
        </w:rPr>
        <w:t xml:space="preserve"> 2018-2019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 w:id="3">
    <w:p w:rsidR="002D2F58" w:rsidRDefault="002D2F58">
      <w:pPr>
        <w:pStyle w:val="Notedebasdepage"/>
      </w:pPr>
      <w:r>
        <w:tab/>
      </w:r>
      <w:r>
        <w:rPr>
          <w:rStyle w:val="Appelnotedebasdep"/>
        </w:rPr>
        <w:footnoteRef/>
      </w:r>
      <w:r>
        <w:tab/>
      </w:r>
      <w:r>
        <w:rPr>
          <w:lang w:val="fr-FR"/>
        </w:rPr>
        <w:t>Tels qu’ils sont définis dans la Résolution d’ensemble sur la construction des véhicules (R.E.3) (ECE/TRANS/WP.29/78/Rev.6, par. 2 − www.unece.org/trans/main/wp29/wp29wgs/wp29gen/ wp29resolutions.html).</w:t>
      </w:r>
    </w:p>
  </w:footnote>
  <w:footnote w:id="4">
    <w:p w:rsidR="002D2F58" w:rsidRPr="00DD4661" w:rsidRDefault="002D2F58" w:rsidP="006F4A6E">
      <w:pPr>
        <w:pStyle w:val="Notedebasdepage"/>
      </w:pPr>
      <w:r>
        <w:rPr>
          <w:lang w:val="fr-FR"/>
        </w:rPr>
        <w:tab/>
      </w:r>
      <w:r w:rsidRPr="006F4A6E">
        <w:rPr>
          <w:rStyle w:val="Appelnotedebasdep"/>
        </w:rPr>
        <w:footnoteRef/>
      </w:r>
      <w:r>
        <w:rPr>
          <w:lang w:val="fr-FR"/>
        </w:rPr>
        <w:tab/>
        <w:t>Le second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F58" w:rsidRPr="002D2F58" w:rsidRDefault="006321B5">
    <w:pPr>
      <w:pStyle w:val="En-tte"/>
    </w:pPr>
    <w:r>
      <w:fldChar w:fldCharType="begin"/>
    </w:r>
    <w:r>
      <w:instrText xml:space="preserve"> </w:instrText>
    </w:r>
    <w:r>
      <w:instrText xml:space="preserve">TITLE  \* MERGEFORMAT </w:instrText>
    </w:r>
    <w:r>
      <w:fldChar w:fldCharType="separate"/>
    </w:r>
    <w:r w:rsidR="00015942">
      <w:t>ECE/TRANS/WP.29/GRSP/2019/30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F58" w:rsidRPr="002D2F58" w:rsidRDefault="006321B5" w:rsidP="002D2F58">
    <w:pPr>
      <w:pStyle w:val="En-tte"/>
      <w:jc w:val="right"/>
    </w:pPr>
    <w:r>
      <w:fldChar w:fldCharType="begin"/>
    </w:r>
    <w:r>
      <w:instrText xml:space="preserve"> TITLE  \* MERGEFORMAT </w:instrText>
    </w:r>
    <w:r>
      <w:fldChar w:fldCharType="separate"/>
    </w:r>
    <w:r w:rsidR="00015942">
      <w:t>ECE/TRANS/WP.29/GRSP/2019/30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4220"/>
    <w:rsid w:val="00015942"/>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2F58"/>
    <w:rsid w:val="002D7C93"/>
    <w:rsid w:val="00305801"/>
    <w:rsid w:val="003250DD"/>
    <w:rsid w:val="003916DE"/>
    <w:rsid w:val="00421996"/>
    <w:rsid w:val="00441C3B"/>
    <w:rsid w:val="00444714"/>
    <w:rsid w:val="00446FE5"/>
    <w:rsid w:val="00452396"/>
    <w:rsid w:val="004837D8"/>
    <w:rsid w:val="004A1E97"/>
    <w:rsid w:val="004E2EED"/>
    <w:rsid w:val="004E468C"/>
    <w:rsid w:val="00532D2B"/>
    <w:rsid w:val="005505B7"/>
    <w:rsid w:val="00573BE5"/>
    <w:rsid w:val="00586ED3"/>
    <w:rsid w:val="00596AA9"/>
    <w:rsid w:val="005C42E5"/>
    <w:rsid w:val="006F4A6E"/>
    <w:rsid w:val="0071601D"/>
    <w:rsid w:val="007A62E6"/>
    <w:rsid w:val="007F20FA"/>
    <w:rsid w:val="0080684C"/>
    <w:rsid w:val="00871C75"/>
    <w:rsid w:val="008776DC"/>
    <w:rsid w:val="009446C0"/>
    <w:rsid w:val="009705C8"/>
    <w:rsid w:val="00984220"/>
    <w:rsid w:val="009C1CF4"/>
    <w:rsid w:val="009F6B74"/>
    <w:rsid w:val="00A3029F"/>
    <w:rsid w:val="00A30353"/>
    <w:rsid w:val="00AC3823"/>
    <w:rsid w:val="00AE323C"/>
    <w:rsid w:val="00AF0CB5"/>
    <w:rsid w:val="00B00181"/>
    <w:rsid w:val="00B00B0D"/>
    <w:rsid w:val="00B07B18"/>
    <w:rsid w:val="00B45F2E"/>
    <w:rsid w:val="00B765F7"/>
    <w:rsid w:val="00BA0CA9"/>
    <w:rsid w:val="00BC4B66"/>
    <w:rsid w:val="00C02897"/>
    <w:rsid w:val="00C63FB5"/>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D24C6"/>
  <w15:docId w15:val="{B53F63F9-03C7-4D80-9EF9-876CFE76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2D2F58"/>
    <w:rPr>
      <w:rFonts w:ascii="Times New Roman" w:eastAsiaTheme="minorHAnsi" w:hAnsi="Times New Roman" w:cs="Times New Roman"/>
      <w:sz w:val="20"/>
      <w:szCs w:val="20"/>
      <w:lang w:eastAsia="en-US"/>
    </w:rPr>
  </w:style>
  <w:style w:type="character" w:customStyle="1" w:styleId="HChGChar">
    <w:name w:val="_ H _Ch_G Char"/>
    <w:link w:val="HChG"/>
    <w:rsid w:val="002D2F58"/>
    <w:rPr>
      <w:rFonts w:ascii="Times New Roman" w:eastAsiaTheme="minorHAnsi" w:hAnsi="Times New Roman" w:cs="Times New Roman"/>
      <w:b/>
      <w:sz w:val="28"/>
      <w:szCs w:val="20"/>
      <w:lang w:eastAsia="en-US"/>
    </w:rPr>
  </w:style>
  <w:style w:type="character" w:customStyle="1" w:styleId="H1GChar">
    <w:name w:val="_ H_1_G Char"/>
    <w:link w:val="H1G"/>
    <w:rsid w:val="002D2F58"/>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1262</Words>
  <Characters>7162</Characters>
  <Application>Microsoft Office Word</Application>
  <DocSecurity>0</DocSecurity>
  <Lines>115</Lines>
  <Paragraphs>27</Paragraphs>
  <ScaleCrop>false</ScaleCrop>
  <HeadingPairs>
    <vt:vector size="2" baseType="variant">
      <vt:variant>
        <vt:lpstr>Titre</vt:lpstr>
      </vt:variant>
      <vt:variant>
        <vt:i4>1</vt:i4>
      </vt:variant>
    </vt:vector>
  </HeadingPairs>
  <TitlesOfParts>
    <vt:vector size="1" baseType="lpstr">
      <vt:lpstr>ECE/TRANS/WP.29/GRSP/2019/30</vt:lpstr>
    </vt:vector>
  </TitlesOfParts>
  <Company>DCM</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ECE/TRANS/WP.29/GRSP/2019/30</dc:title>
  <dc:subject/>
  <dc:creator>Fabienne CRELIER</dc:creator>
  <cp:keywords/>
  <cp:lastModifiedBy>Fabienne CRELIER</cp:lastModifiedBy>
  <cp:revision>2</cp:revision>
  <cp:lastPrinted>2019-10-21T13:41:00Z</cp:lastPrinted>
  <dcterms:created xsi:type="dcterms:W3CDTF">2019-10-21T14:43:00Z</dcterms:created>
  <dcterms:modified xsi:type="dcterms:W3CDTF">2019-10-21T14:43:00Z</dcterms:modified>
</cp:coreProperties>
</file>