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433FD" w:rsidRPr="00DB58B5" w14:paraId="132C7D78" w14:textId="77777777" w:rsidTr="005316B0">
        <w:trPr>
          <w:trHeight w:hRule="exact" w:val="851"/>
        </w:trPr>
        <w:tc>
          <w:tcPr>
            <w:tcW w:w="1276" w:type="dxa"/>
            <w:tcBorders>
              <w:bottom w:val="single" w:sz="4" w:space="0" w:color="auto"/>
            </w:tcBorders>
          </w:tcPr>
          <w:p w14:paraId="2F439948" w14:textId="77777777" w:rsidR="001433FD" w:rsidRPr="00DB58B5" w:rsidRDefault="001433FD" w:rsidP="0001207F">
            <w:bookmarkStart w:id="0" w:name="_GoBack"/>
            <w:bookmarkEnd w:id="0"/>
          </w:p>
        </w:tc>
        <w:tc>
          <w:tcPr>
            <w:tcW w:w="2268" w:type="dxa"/>
            <w:tcBorders>
              <w:bottom w:val="single" w:sz="4" w:space="0" w:color="auto"/>
            </w:tcBorders>
            <w:vAlign w:val="bottom"/>
          </w:tcPr>
          <w:p w14:paraId="4F5C3ACB" w14:textId="77777777" w:rsidR="001433FD" w:rsidRPr="00DB58B5" w:rsidRDefault="001433FD" w:rsidP="007D323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20485D35" w14:textId="77777777" w:rsidR="001433FD" w:rsidRPr="00DB58B5" w:rsidRDefault="005821E7" w:rsidP="005821E7">
            <w:pPr>
              <w:jc w:val="right"/>
            </w:pPr>
            <w:r w:rsidRPr="005821E7">
              <w:rPr>
                <w:sz w:val="40"/>
              </w:rPr>
              <w:t>ECE</w:t>
            </w:r>
            <w:r>
              <w:t>/TRANS/WP.15/AC.2/2020/10</w:t>
            </w:r>
          </w:p>
        </w:tc>
      </w:tr>
      <w:tr w:rsidR="001433FD" w:rsidRPr="00DB58B5" w14:paraId="05CDBC9A" w14:textId="77777777" w:rsidTr="007D3236">
        <w:trPr>
          <w:trHeight w:hRule="exact" w:val="2835"/>
        </w:trPr>
        <w:tc>
          <w:tcPr>
            <w:tcW w:w="1276" w:type="dxa"/>
            <w:tcBorders>
              <w:top w:val="single" w:sz="4" w:space="0" w:color="auto"/>
              <w:bottom w:val="single" w:sz="12" w:space="0" w:color="auto"/>
            </w:tcBorders>
          </w:tcPr>
          <w:p w14:paraId="2CD61573" w14:textId="77777777" w:rsidR="001433FD" w:rsidRPr="00DB58B5" w:rsidRDefault="001433FD" w:rsidP="007D3236">
            <w:pPr>
              <w:spacing w:before="120"/>
              <w:jc w:val="center"/>
            </w:pPr>
            <w:r>
              <w:rPr>
                <w:noProof/>
                <w:lang w:eastAsia="fr-CH"/>
              </w:rPr>
              <w:drawing>
                <wp:inline distT="0" distB="0" distL="0" distR="0" wp14:anchorId="4D23B924" wp14:editId="6E827F4E">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C01A0BD" w14:textId="77777777" w:rsidR="001433FD" w:rsidRPr="00740562" w:rsidRDefault="001433FD" w:rsidP="007D3236">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558042D5" w14:textId="77777777" w:rsidR="0001207F" w:rsidRDefault="005821E7" w:rsidP="005821E7">
            <w:pPr>
              <w:spacing w:before="240" w:line="240" w:lineRule="exact"/>
            </w:pPr>
            <w:proofErr w:type="spellStart"/>
            <w:r>
              <w:t>Distr</w:t>
            </w:r>
            <w:proofErr w:type="spellEnd"/>
            <w:r>
              <w:t xml:space="preserve">. </w:t>
            </w:r>
            <w:proofErr w:type="gramStart"/>
            <w:r>
              <w:t>générale</w:t>
            </w:r>
            <w:proofErr w:type="gramEnd"/>
          </w:p>
          <w:p w14:paraId="3490CCDB" w14:textId="77777777" w:rsidR="005821E7" w:rsidRDefault="00686B89" w:rsidP="005821E7">
            <w:pPr>
              <w:spacing w:line="240" w:lineRule="exact"/>
            </w:pPr>
            <w:r>
              <w:t>1</w:t>
            </w:r>
            <w:r w:rsidR="00F25DE8">
              <w:t>2</w:t>
            </w:r>
            <w:r w:rsidR="005821E7">
              <w:t xml:space="preserve"> novembre 2019</w:t>
            </w:r>
          </w:p>
          <w:p w14:paraId="320FC17B" w14:textId="77777777" w:rsidR="005821E7" w:rsidRDefault="005821E7" w:rsidP="005821E7">
            <w:pPr>
              <w:spacing w:line="240" w:lineRule="exact"/>
            </w:pPr>
          </w:p>
          <w:p w14:paraId="217E4FF2" w14:textId="77777777" w:rsidR="005821E7" w:rsidRPr="00DB58B5" w:rsidRDefault="005821E7" w:rsidP="005821E7">
            <w:pPr>
              <w:spacing w:line="240" w:lineRule="exact"/>
            </w:pPr>
            <w:r>
              <w:t>Original : français</w:t>
            </w:r>
          </w:p>
        </w:tc>
      </w:tr>
    </w:tbl>
    <w:p w14:paraId="40C91093" w14:textId="77777777" w:rsidR="008F7500" w:rsidRDefault="008F7500" w:rsidP="00FD1581">
      <w:pPr>
        <w:spacing w:before="120"/>
        <w:rPr>
          <w:b/>
          <w:sz w:val="28"/>
          <w:szCs w:val="28"/>
        </w:rPr>
      </w:pPr>
      <w:r w:rsidRPr="00883605">
        <w:rPr>
          <w:b/>
          <w:sz w:val="28"/>
          <w:szCs w:val="28"/>
        </w:rPr>
        <w:t>Commission économique pour l’Europe</w:t>
      </w:r>
    </w:p>
    <w:p w14:paraId="7C8DACD1" w14:textId="77777777" w:rsidR="008F7500" w:rsidRDefault="008F7500" w:rsidP="00FD1581">
      <w:pPr>
        <w:spacing w:before="120"/>
        <w:rPr>
          <w:sz w:val="28"/>
          <w:szCs w:val="28"/>
        </w:rPr>
      </w:pPr>
      <w:r w:rsidRPr="00685843">
        <w:rPr>
          <w:sz w:val="28"/>
          <w:szCs w:val="28"/>
        </w:rPr>
        <w:t>Comité des transports intérieurs</w:t>
      </w:r>
    </w:p>
    <w:p w14:paraId="622BD0D3" w14:textId="77777777" w:rsidR="008F7500" w:rsidRPr="009E01B8" w:rsidRDefault="008F7500" w:rsidP="00FD1581">
      <w:pPr>
        <w:spacing w:before="120"/>
        <w:rPr>
          <w:b/>
          <w:sz w:val="24"/>
          <w:szCs w:val="24"/>
        </w:rPr>
      </w:pPr>
      <w:r w:rsidRPr="009E01B8">
        <w:rPr>
          <w:b/>
          <w:sz w:val="24"/>
          <w:szCs w:val="24"/>
        </w:rPr>
        <w:t>Groupe de travail des transports</w:t>
      </w:r>
      <w:r>
        <w:rPr>
          <w:b/>
          <w:sz w:val="24"/>
          <w:szCs w:val="24"/>
        </w:rPr>
        <w:t xml:space="preserve"> </w:t>
      </w:r>
      <w:r w:rsidRPr="009E01B8">
        <w:rPr>
          <w:b/>
          <w:sz w:val="24"/>
          <w:szCs w:val="24"/>
        </w:rPr>
        <w:t>de marchandises dangereuses</w:t>
      </w:r>
    </w:p>
    <w:p w14:paraId="45F71514" w14:textId="77777777" w:rsidR="008F7500" w:rsidRPr="004812F5" w:rsidRDefault="008F7500" w:rsidP="00FD1581">
      <w:pPr>
        <w:spacing w:before="120"/>
        <w:rPr>
          <w:b/>
        </w:rPr>
      </w:pPr>
      <w:r w:rsidRPr="004812F5">
        <w:rPr>
          <w:b/>
          <w:lang w:val="fr-FR"/>
        </w:rPr>
        <w:t>Réunion commune d’experts sur le Règlement annexé</w:t>
      </w:r>
      <w:r>
        <w:rPr>
          <w:b/>
          <w:lang w:val="fr-FR"/>
        </w:rPr>
        <w:t xml:space="preserve"> </w:t>
      </w:r>
      <w:r>
        <w:rPr>
          <w:b/>
          <w:lang w:val="fr-FR"/>
        </w:rPr>
        <w:br/>
      </w:r>
      <w:r w:rsidRPr="004812F5">
        <w:rPr>
          <w:b/>
          <w:lang w:val="fr-FR"/>
        </w:rPr>
        <w:t>à l’Accord européen</w:t>
      </w:r>
      <w:r>
        <w:rPr>
          <w:b/>
          <w:lang w:val="fr-FR"/>
        </w:rPr>
        <w:t xml:space="preserve"> </w:t>
      </w:r>
      <w:r w:rsidRPr="004812F5">
        <w:rPr>
          <w:b/>
          <w:lang w:val="fr-FR"/>
        </w:rPr>
        <w:t>relatif au transport international</w:t>
      </w:r>
      <w:r>
        <w:rPr>
          <w:b/>
          <w:lang w:val="fr-FR"/>
        </w:rPr>
        <w:t xml:space="preserve"> </w:t>
      </w:r>
      <w:r>
        <w:rPr>
          <w:b/>
          <w:lang w:val="fr-FR"/>
        </w:rPr>
        <w:br/>
      </w:r>
      <w:r w:rsidRPr="004812F5">
        <w:rPr>
          <w:b/>
          <w:lang w:val="fr-FR"/>
        </w:rPr>
        <w:t xml:space="preserve">des marchandises </w:t>
      </w:r>
      <w:r w:rsidRPr="004812F5">
        <w:rPr>
          <w:b/>
          <w:bCs/>
          <w:iCs/>
          <w:lang w:val="fr-FR"/>
        </w:rPr>
        <w:t>dangereuses par voies</w:t>
      </w:r>
      <w:r>
        <w:rPr>
          <w:b/>
          <w:bCs/>
          <w:iCs/>
          <w:lang w:val="fr-FR"/>
        </w:rPr>
        <w:t xml:space="preserve"> </w:t>
      </w:r>
      <w:r w:rsidRPr="004812F5">
        <w:rPr>
          <w:b/>
          <w:bCs/>
          <w:iCs/>
          <w:lang w:val="fr-FR"/>
        </w:rPr>
        <w:t>de navigation</w:t>
      </w:r>
      <w:r>
        <w:rPr>
          <w:b/>
          <w:bCs/>
          <w:iCs/>
          <w:lang w:val="fr-FR"/>
        </w:rPr>
        <w:t xml:space="preserve"> </w:t>
      </w:r>
      <w:r>
        <w:rPr>
          <w:b/>
          <w:bCs/>
          <w:iCs/>
          <w:lang w:val="fr-FR"/>
        </w:rPr>
        <w:br/>
      </w:r>
      <w:r w:rsidRPr="004812F5">
        <w:rPr>
          <w:b/>
          <w:bCs/>
          <w:iCs/>
          <w:lang w:val="fr-FR"/>
        </w:rPr>
        <w:t xml:space="preserve">intérieures (ADN) </w:t>
      </w:r>
      <w:r w:rsidRPr="004812F5">
        <w:rPr>
          <w:b/>
          <w:bCs/>
          <w:lang w:val="fr-FR"/>
        </w:rPr>
        <w:t>(Comité de sécurité de l’ADN)</w:t>
      </w:r>
    </w:p>
    <w:p w14:paraId="32F085B8" w14:textId="77777777" w:rsidR="008F7500" w:rsidRPr="00234E40" w:rsidRDefault="008F7500" w:rsidP="00FD1581">
      <w:pPr>
        <w:spacing w:before="120"/>
        <w:rPr>
          <w:b/>
        </w:rPr>
      </w:pPr>
      <w:r>
        <w:rPr>
          <w:b/>
        </w:rPr>
        <w:t xml:space="preserve">Trente-sixième </w:t>
      </w:r>
      <w:r w:rsidRPr="00234E40">
        <w:rPr>
          <w:b/>
        </w:rPr>
        <w:t>session</w:t>
      </w:r>
    </w:p>
    <w:p w14:paraId="5046BB6F" w14:textId="77777777" w:rsidR="008F7500" w:rsidRDefault="008F7500" w:rsidP="00FD1581">
      <w:r>
        <w:t>Genève, 27-31 janvier 2020</w:t>
      </w:r>
    </w:p>
    <w:p w14:paraId="44917820" w14:textId="77777777" w:rsidR="008F7500" w:rsidRDefault="008F7500" w:rsidP="00FD1581">
      <w:r w:rsidRPr="00B93E72">
        <w:t xml:space="preserve">Point </w:t>
      </w:r>
      <w:r>
        <w:t xml:space="preserve">5 b) </w:t>
      </w:r>
      <w:r w:rsidRPr="00B93E72">
        <w:t>de l’ordre du jour provisoire</w:t>
      </w:r>
    </w:p>
    <w:p w14:paraId="1BBA458F" w14:textId="77777777" w:rsidR="008F7500" w:rsidRPr="008F7500" w:rsidRDefault="008F7500" w:rsidP="00FD1581">
      <w:pPr>
        <w:rPr>
          <w:b/>
          <w:bCs/>
        </w:rPr>
      </w:pPr>
      <w:r w:rsidRPr="008F7500">
        <w:rPr>
          <w:b/>
          <w:bCs/>
        </w:rPr>
        <w:t>Propositions d’amendements au Règlement annexé à l’ADN :</w:t>
      </w:r>
    </w:p>
    <w:p w14:paraId="540B41EF" w14:textId="77777777" w:rsidR="008F7500" w:rsidRDefault="008F7500" w:rsidP="00FD1581">
      <w:pPr>
        <w:rPr>
          <w:b/>
          <w:bCs/>
        </w:rPr>
      </w:pPr>
      <w:proofErr w:type="gramStart"/>
      <w:r>
        <w:rPr>
          <w:b/>
          <w:bCs/>
        </w:rPr>
        <w:t>a</w:t>
      </w:r>
      <w:r w:rsidRPr="008F7500">
        <w:rPr>
          <w:b/>
          <w:bCs/>
        </w:rPr>
        <w:t>utres</w:t>
      </w:r>
      <w:proofErr w:type="gramEnd"/>
      <w:r w:rsidRPr="008F7500">
        <w:rPr>
          <w:b/>
          <w:bCs/>
        </w:rPr>
        <w:t xml:space="preserve"> propositions</w:t>
      </w:r>
    </w:p>
    <w:p w14:paraId="4EED5680" w14:textId="77777777" w:rsidR="008F7500" w:rsidRDefault="008F7500" w:rsidP="008F7500">
      <w:pPr>
        <w:pStyle w:val="HChG"/>
        <w:rPr>
          <w:snapToGrid w:val="0"/>
          <w:szCs w:val="28"/>
        </w:rPr>
      </w:pPr>
      <w:r>
        <w:rPr>
          <w:snapToGrid w:val="0"/>
          <w:szCs w:val="28"/>
        </w:rPr>
        <w:tab/>
      </w:r>
      <w:r>
        <w:rPr>
          <w:snapToGrid w:val="0"/>
          <w:szCs w:val="28"/>
        </w:rPr>
        <w:tab/>
      </w:r>
      <w:r w:rsidRPr="000A21C4">
        <w:rPr>
          <w:snapToGrid w:val="0"/>
          <w:szCs w:val="28"/>
        </w:rPr>
        <w:t>Amendements au 8.1.2.2 du Règlement annexé à l</w:t>
      </w:r>
      <w:r w:rsidRPr="00E53F4A">
        <w:rPr>
          <w:snapToGrid w:val="0"/>
          <w:szCs w:val="28"/>
        </w:rPr>
        <w:t>’</w:t>
      </w:r>
      <w:r w:rsidRPr="000A21C4">
        <w:rPr>
          <w:snapToGrid w:val="0"/>
          <w:szCs w:val="28"/>
        </w:rPr>
        <w:t>ADN</w:t>
      </w:r>
    </w:p>
    <w:p w14:paraId="021C3CD4" w14:textId="77777777" w:rsidR="008F7500" w:rsidRDefault="008F7500" w:rsidP="008F7500">
      <w:pPr>
        <w:pStyle w:val="H1G"/>
        <w:rPr>
          <w:lang w:val="fr-FR"/>
        </w:rPr>
      </w:pPr>
      <w:r>
        <w:rPr>
          <w:lang w:val="fr-FR"/>
        </w:rPr>
        <w:tab/>
      </w:r>
      <w:r>
        <w:rPr>
          <w:lang w:val="fr-FR"/>
        </w:rPr>
        <w:tab/>
      </w:r>
      <w:r w:rsidRPr="00D81920">
        <w:rPr>
          <w:lang w:val="fr-FR"/>
        </w:rPr>
        <w:t xml:space="preserve">Communication du Gouvernement de la </w:t>
      </w:r>
      <w:r w:rsidR="00D86081">
        <w:rPr>
          <w:lang w:val="fr-FR"/>
        </w:rPr>
        <w:t>France</w:t>
      </w:r>
      <w:r w:rsidR="00800CD6" w:rsidRPr="00800CD6">
        <w:rPr>
          <w:rStyle w:val="FootnoteReference"/>
          <w:b w:val="0"/>
          <w:bCs/>
          <w:sz w:val="20"/>
        </w:rPr>
        <w:footnoteReference w:customMarkFollows="1" w:id="2"/>
        <w:t>*</w:t>
      </w:r>
      <w:r w:rsidR="00800CD6" w:rsidRPr="00800CD6">
        <w:rPr>
          <w:sz w:val="20"/>
          <w:vertAlign w:val="superscript"/>
        </w:rPr>
        <w:t xml:space="preserve">, </w:t>
      </w:r>
      <w:r w:rsidR="00800CD6" w:rsidRPr="00800CD6">
        <w:rPr>
          <w:rStyle w:val="FootnoteReference"/>
          <w:b w:val="0"/>
          <w:bCs/>
          <w:sz w:val="20"/>
        </w:rPr>
        <w:footnoteReference w:customMarkFollows="1" w:id="3"/>
        <w:t>**</w:t>
      </w:r>
    </w:p>
    <w:tbl>
      <w:tblPr>
        <w:tblW w:w="9639" w:type="dxa"/>
        <w:jc w:val="center"/>
        <w:tblBorders>
          <w:top w:val="single" w:sz="4" w:space="0" w:color="auto"/>
          <w:left w:val="single" w:sz="4" w:space="0" w:color="auto"/>
          <w:bottom w:val="single" w:sz="4" w:space="0" w:color="auto"/>
          <w:right w:val="single" w:sz="4" w:space="0" w:color="auto"/>
          <w:insideV w:val="single" w:sz="4" w:space="0" w:color="auto"/>
        </w:tblBorders>
        <w:tblCellMar>
          <w:left w:w="70" w:type="dxa"/>
          <w:right w:w="70" w:type="dxa"/>
        </w:tblCellMar>
        <w:tblLook w:val="0000" w:firstRow="0" w:lastRow="0" w:firstColumn="0" w:lastColumn="0" w:noHBand="0" w:noVBand="0"/>
      </w:tblPr>
      <w:tblGrid>
        <w:gridCol w:w="2330"/>
        <w:gridCol w:w="7309"/>
      </w:tblGrid>
      <w:tr w:rsidR="008F7500" w:rsidRPr="00D81920" w14:paraId="6287E08D" w14:textId="77777777" w:rsidTr="008F7500">
        <w:trPr>
          <w:jc w:val="center"/>
        </w:trPr>
        <w:tc>
          <w:tcPr>
            <w:tcW w:w="2330" w:type="dxa"/>
          </w:tcPr>
          <w:p w14:paraId="105639B4" w14:textId="77777777" w:rsidR="008F7500" w:rsidRPr="00D81920" w:rsidRDefault="008F7500" w:rsidP="000A21C4">
            <w:pPr>
              <w:widowControl w:val="0"/>
              <w:tabs>
                <w:tab w:val="left" w:pos="284"/>
              </w:tabs>
              <w:suppressAutoHyphens w:val="0"/>
              <w:spacing w:before="120" w:after="120" w:line="240" w:lineRule="auto"/>
              <w:ind w:left="1134" w:hanging="1134"/>
              <w:jc w:val="both"/>
              <w:textAlignment w:val="baseline"/>
              <w:rPr>
                <w:i/>
                <w:lang w:eastAsia="fr-FR"/>
              </w:rPr>
            </w:pPr>
            <w:bookmarkStart w:id="1" w:name="_Hlk515009299"/>
            <w:r w:rsidRPr="00D81920">
              <w:rPr>
                <w:i/>
                <w:sz w:val="24"/>
                <w:szCs w:val="24"/>
                <w:lang w:eastAsia="fr-FR"/>
              </w:rPr>
              <w:t>Résumé</w:t>
            </w:r>
          </w:p>
        </w:tc>
        <w:tc>
          <w:tcPr>
            <w:tcW w:w="7309" w:type="dxa"/>
          </w:tcPr>
          <w:p w14:paraId="56F07A12" w14:textId="77777777" w:rsidR="008F7500" w:rsidRPr="00D81920" w:rsidRDefault="008F7500" w:rsidP="000A21C4">
            <w:pPr>
              <w:widowControl w:val="0"/>
              <w:suppressAutoHyphens w:val="0"/>
              <w:spacing w:before="120" w:after="120" w:line="240" w:lineRule="auto"/>
              <w:ind w:left="1134" w:hanging="1134"/>
              <w:jc w:val="both"/>
              <w:textAlignment w:val="baseline"/>
              <w:rPr>
                <w:lang w:eastAsia="fr-FR"/>
              </w:rPr>
            </w:pPr>
          </w:p>
        </w:tc>
      </w:tr>
      <w:tr w:rsidR="008F7500" w:rsidRPr="00D81920" w14:paraId="1E287161" w14:textId="77777777" w:rsidTr="008F7500">
        <w:tblPrEx>
          <w:jc w:val="left"/>
          <w:tblCellMar>
            <w:left w:w="108" w:type="dxa"/>
            <w:right w:w="108" w:type="dxa"/>
          </w:tblCellMar>
        </w:tblPrEx>
        <w:tc>
          <w:tcPr>
            <w:tcW w:w="2330" w:type="dxa"/>
          </w:tcPr>
          <w:p w14:paraId="11BE5D2A" w14:textId="77777777" w:rsidR="008F7500" w:rsidRPr="00D81920" w:rsidRDefault="008F7500" w:rsidP="000A21C4">
            <w:pPr>
              <w:widowControl w:val="0"/>
              <w:suppressAutoHyphens w:val="0"/>
              <w:spacing w:before="40" w:after="120" w:line="240" w:lineRule="auto"/>
              <w:textAlignment w:val="baseline"/>
              <w:rPr>
                <w:b/>
                <w:lang w:eastAsia="fr-FR"/>
              </w:rPr>
            </w:pPr>
            <w:r w:rsidRPr="00D81920">
              <w:rPr>
                <w:b/>
                <w:lang w:eastAsia="fr-FR"/>
              </w:rPr>
              <w:t>Résumé analytique :</w:t>
            </w:r>
          </w:p>
        </w:tc>
        <w:tc>
          <w:tcPr>
            <w:tcW w:w="7309" w:type="dxa"/>
          </w:tcPr>
          <w:p w14:paraId="4F08C2DD" w14:textId="77777777" w:rsidR="008F7500" w:rsidRDefault="008F7500" w:rsidP="000A21C4">
            <w:pPr>
              <w:suppressAutoHyphens w:val="0"/>
              <w:kinsoku/>
              <w:overflowPunct/>
              <w:snapToGrid/>
              <w:spacing w:line="240" w:lineRule="auto"/>
              <w:rPr>
                <w:rFonts w:cs="Arial"/>
                <w:lang w:eastAsia="fr-FR"/>
              </w:rPr>
            </w:pPr>
            <w:r w:rsidRPr="00D81920">
              <w:t xml:space="preserve">Le document </w:t>
            </w:r>
            <w:r>
              <w:t>propose un amendement au 8.1.2.2 du Règlement annexé à l’ADN (</w:t>
            </w:r>
            <w:r w:rsidRPr="00134A59">
              <w:t xml:space="preserve">documents </w:t>
            </w:r>
            <w:r>
              <w:t>additionnels devant</w:t>
            </w:r>
            <w:r w:rsidRPr="00134A59">
              <w:t xml:space="preserve"> se trouver à bord des</w:t>
            </w:r>
            <w:r>
              <w:t xml:space="preserve"> </w:t>
            </w:r>
            <w:r w:rsidRPr="00134A59">
              <w:t>bateaux à marchandises sèches</w:t>
            </w:r>
            <w:r>
              <w:t>)</w:t>
            </w:r>
          </w:p>
        </w:tc>
      </w:tr>
      <w:tr w:rsidR="008F7500" w:rsidRPr="00D81920" w14:paraId="75855432" w14:textId="77777777" w:rsidTr="008F7500">
        <w:tblPrEx>
          <w:jc w:val="left"/>
          <w:tblCellMar>
            <w:left w:w="108" w:type="dxa"/>
            <w:right w:w="108" w:type="dxa"/>
          </w:tblCellMar>
        </w:tblPrEx>
        <w:tc>
          <w:tcPr>
            <w:tcW w:w="2330" w:type="dxa"/>
          </w:tcPr>
          <w:p w14:paraId="10924898" w14:textId="77777777" w:rsidR="008F7500" w:rsidRPr="00D81920" w:rsidRDefault="008F7500" w:rsidP="000A21C4">
            <w:pPr>
              <w:widowControl w:val="0"/>
              <w:suppressAutoHyphens w:val="0"/>
              <w:spacing w:before="40" w:after="120" w:line="240" w:lineRule="auto"/>
              <w:textAlignment w:val="baseline"/>
              <w:rPr>
                <w:b/>
                <w:lang w:eastAsia="fr-FR"/>
              </w:rPr>
            </w:pPr>
            <w:r w:rsidRPr="00D81920">
              <w:rPr>
                <w:b/>
                <w:lang w:eastAsia="fr-FR"/>
              </w:rPr>
              <w:t>Mesure à prendre :</w:t>
            </w:r>
          </w:p>
        </w:tc>
        <w:tc>
          <w:tcPr>
            <w:tcW w:w="7309" w:type="dxa"/>
          </w:tcPr>
          <w:p w14:paraId="56F7A517" w14:textId="77777777" w:rsidR="008F7500" w:rsidRPr="00D81920" w:rsidRDefault="008F7500" w:rsidP="000A21C4">
            <w:pPr>
              <w:widowControl w:val="0"/>
              <w:suppressAutoHyphens w:val="0"/>
              <w:spacing w:before="40" w:after="120" w:line="240" w:lineRule="auto"/>
              <w:ind w:left="11"/>
              <w:jc w:val="both"/>
              <w:textAlignment w:val="baseline"/>
              <w:rPr>
                <w:lang w:eastAsia="fr-FR"/>
              </w:rPr>
            </w:pPr>
            <w:r w:rsidRPr="00D81920">
              <w:t>Voir paragraphe</w:t>
            </w:r>
            <w:r>
              <w:t xml:space="preserve"> </w:t>
            </w:r>
            <w:r w:rsidR="00686B89">
              <w:t>5</w:t>
            </w:r>
          </w:p>
        </w:tc>
      </w:tr>
      <w:tr w:rsidR="008F7500" w:rsidRPr="00EB6625" w14:paraId="76538BB2" w14:textId="77777777" w:rsidTr="008F7500">
        <w:trPr>
          <w:jc w:val="center"/>
        </w:trPr>
        <w:tc>
          <w:tcPr>
            <w:tcW w:w="2330" w:type="dxa"/>
          </w:tcPr>
          <w:p w14:paraId="16FBF123" w14:textId="77777777" w:rsidR="008F7500" w:rsidRPr="00D81920" w:rsidRDefault="008F7500" w:rsidP="000A21C4">
            <w:pPr>
              <w:widowControl w:val="0"/>
              <w:tabs>
                <w:tab w:val="left" w:pos="284"/>
              </w:tabs>
              <w:suppressAutoHyphens w:val="0"/>
              <w:spacing w:before="40" w:after="120" w:line="240" w:lineRule="auto"/>
              <w:textAlignment w:val="baseline"/>
              <w:rPr>
                <w:b/>
                <w:lang w:eastAsia="fr-FR"/>
              </w:rPr>
            </w:pPr>
            <w:r w:rsidRPr="00D81920">
              <w:rPr>
                <w:b/>
                <w:lang w:eastAsia="fr-FR"/>
              </w:rPr>
              <w:t>Documents de référence :</w:t>
            </w:r>
          </w:p>
        </w:tc>
        <w:tc>
          <w:tcPr>
            <w:tcW w:w="7309" w:type="dxa"/>
          </w:tcPr>
          <w:p w14:paraId="5A5E7FA4" w14:textId="77777777" w:rsidR="008F7500" w:rsidRPr="00134A59" w:rsidRDefault="008F7500" w:rsidP="000A21C4">
            <w:pPr>
              <w:widowControl w:val="0"/>
              <w:suppressAutoHyphens w:val="0"/>
              <w:spacing w:before="40" w:after="120" w:line="240" w:lineRule="auto"/>
              <w:ind w:left="11"/>
              <w:jc w:val="both"/>
              <w:textAlignment w:val="baseline"/>
              <w:rPr>
                <w:lang w:val="fr-FR" w:eastAsia="fr-FR"/>
              </w:rPr>
            </w:pPr>
            <w:r w:rsidRPr="00134A59">
              <w:rPr>
                <w:lang w:val="fr-FR" w:eastAsia="de-DE"/>
              </w:rPr>
              <w:t>Néant</w:t>
            </w:r>
          </w:p>
        </w:tc>
      </w:tr>
    </w:tbl>
    <w:bookmarkEnd w:id="1"/>
    <w:p w14:paraId="7E2312B0" w14:textId="77777777" w:rsidR="008F7500" w:rsidRDefault="008F7500" w:rsidP="008F7500">
      <w:pPr>
        <w:pStyle w:val="HChG"/>
      </w:pPr>
      <w:r w:rsidRPr="008F7500">
        <w:tab/>
      </w:r>
      <w:r w:rsidRPr="008F7500">
        <w:tab/>
        <w:t>Introduction</w:t>
      </w:r>
    </w:p>
    <w:p w14:paraId="2290E0DA" w14:textId="77777777" w:rsidR="008F7500" w:rsidRDefault="008F7500" w:rsidP="008F7500">
      <w:pPr>
        <w:pStyle w:val="SingleTxtG"/>
      </w:pPr>
      <w:r w:rsidRPr="00B87B46">
        <w:t>1.</w:t>
      </w:r>
      <w:r w:rsidRPr="00B87B46">
        <w:tab/>
      </w:r>
      <w:r>
        <w:t xml:space="preserve">Le travail, conjoint avec d’autres délégations, sur les listes de contrôle standardisées, a mis en évidence </w:t>
      </w:r>
      <w:r w:rsidR="00686B89">
        <w:t>le</w:t>
      </w:r>
      <w:r>
        <w:t xml:space="preserve"> fait que la dernière phrase du 8.1.2.2 du Règlement annexé à l’ADN nécessitait d’être amendée.</w:t>
      </w:r>
    </w:p>
    <w:p w14:paraId="2B0EC8DD" w14:textId="77777777" w:rsidR="008F7500" w:rsidRDefault="008F7500" w:rsidP="008F7500">
      <w:pPr>
        <w:pStyle w:val="SingleTxtG"/>
      </w:pPr>
      <w:r w:rsidRPr="00B87B46">
        <w:t>2.</w:t>
      </w:r>
      <w:r w:rsidRPr="00B87B46">
        <w:tab/>
      </w:r>
      <w:r>
        <w:t>Dans la version française, la dernière phrase du 8.1.2.2 est ainsi rédigée :</w:t>
      </w:r>
    </w:p>
    <w:p w14:paraId="713C8C91" w14:textId="77777777" w:rsidR="008F7500" w:rsidRPr="00134A59" w:rsidRDefault="008F7500" w:rsidP="00C6072B">
      <w:pPr>
        <w:pStyle w:val="SingleTxtG"/>
        <w:ind w:left="1560"/>
        <w:rPr>
          <w:i/>
          <w:iCs/>
        </w:rPr>
      </w:pPr>
      <w:r w:rsidRPr="00134A59">
        <w:rPr>
          <w:i/>
          <w:iCs/>
        </w:rPr>
        <w:t>«</w:t>
      </w:r>
      <w:r>
        <w:rPr>
          <w:i/>
          <w:iCs/>
        </w:rPr>
        <w:t> </w:t>
      </w:r>
      <w:r w:rsidRPr="00134A59">
        <w:rPr>
          <w:i/>
          <w:iCs/>
        </w:rPr>
        <w:t>Les documents énumérés ci-dessus doivent porter le visa de l</w:t>
      </w:r>
      <w:r>
        <w:rPr>
          <w:i/>
          <w:iCs/>
        </w:rPr>
        <w:t>’</w:t>
      </w:r>
      <w:r w:rsidRPr="00134A59">
        <w:rPr>
          <w:i/>
          <w:iCs/>
        </w:rPr>
        <w:t>autorité compétente ayant délivré le certificat d</w:t>
      </w:r>
      <w:r>
        <w:rPr>
          <w:i/>
          <w:iCs/>
        </w:rPr>
        <w:t>’</w:t>
      </w:r>
      <w:r w:rsidRPr="00134A59">
        <w:rPr>
          <w:i/>
          <w:iCs/>
        </w:rPr>
        <w:t>agrément.</w:t>
      </w:r>
      <w:r>
        <w:rPr>
          <w:i/>
          <w:iCs/>
        </w:rPr>
        <w:t> </w:t>
      </w:r>
      <w:r w:rsidRPr="00134A59">
        <w:rPr>
          <w:i/>
          <w:iCs/>
        </w:rPr>
        <w:t>».</w:t>
      </w:r>
    </w:p>
    <w:p w14:paraId="3AE97F0D" w14:textId="77777777" w:rsidR="008F7500" w:rsidRDefault="00C6072B" w:rsidP="008F7500">
      <w:pPr>
        <w:pStyle w:val="SingleTxtG"/>
      </w:pPr>
      <w:r>
        <w:t>3.</w:t>
      </w:r>
      <w:r>
        <w:tab/>
      </w:r>
      <w:r w:rsidR="008F7500">
        <w:t>On trouve la même phrase dans les versions anglaise et russe de l’ADN.</w:t>
      </w:r>
    </w:p>
    <w:p w14:paraId="2ABBF09D" w14:textId="77777777" w:rsidR="008F7500" w:rsidRDefault="00C6072B" w:rsidP="008F7500">
      <w:pPr>
        <w:pStyle w:val="SingleTxtG"/>
      </w:pPr>
      <w:r>
        <w:lastRenderedPageBreak/>
        <w:t>4</w:t>
      </w:r>
      <w:r w:rsidR="008F7500" w:rsidRPr="00B87B46">
        <w:t>.</w:t>
      </w:r>
      <w:r w:rsidR="008F7500" w:rsidRPr="00B87B46">
        <w:tab/>
      </w:r>
      <w:proofErr w:type="gramStart"/>
      <w:r w:rsidR="008F7500">
        <w:t>Par contre</w:t>
      </w:r>
      <w:proofErr w:type="gramEnd"/>
      <w:r w:rsidR="008F7500">
        <w:t>, la version allemande du Règlement annexé à l’ADN ne fait porter cette prescription (visa de l’autorité compétente) que sur les alinéas e) à h) du 8.1.2.2, qui correspondent à des documents portant sur des prescriptions d’équipement et de structure du bateau, par analogie avec le 8.1.2.3 sur les bateaux-citernes où le visa de l’autorité compétente ne porte que sur les alinéas r) à v).</w:t>
      </w:r>
    </w:p>
    <w:p w14:paraId="070A772D" w14:textId="77777777" w:rsidR="008F7500" w:rsidRPr="00136BB2" w:rsidRDefault="008F7500" w:rsidP="008F7500">
      <w:pPr>
        <w:pStyle w:val="HChG"/>
      </w:pPr>
      <w:r>
        <w:rPr>
          <w:sz w:val="24"/>
          <w:szCs w:val="24"/>
        </w:rPr>
        <w:tab/>
        <w:t>I.</w:t>
      </w:r>
      <w:r>
        <w:rPr>
          <w:sz w:val="24"/>
          <w:szCs w:val="24"/>
        </w:rPr>
        <w:tab/>
      </w:r>
      <w:r w:rsidRPr="00B87B46">
        <w:rPr>
          <w:sz w:val="24"/>
          <w:szCs w:val="24"/>
        </w:rPr>
        <w:t>Proposition de modification</w:t>
      </w:r>
    </w:p>
    <w:p w14:paraId="378ABF68" w14:textId="77777777" w:rsidR="008F7500" w:rsidRDefault="00800CD6" w:rsidP="008F7500">
      <w:pPr>
        <w:pStyle w:val="SingleTxtG"/>
      </w:pPr>
      <w:r>
        <w:t>5</w:t>
      </w:r>
      <w:r w:rsidR="008F7500">
        <w:t>.</w:t>
      </w:r>
      <w:r w:rsidR="008F7500">
        <w:tab/>
        <w:t>La version allemande du 8.1.2.2 semble ainsi bien plus logique, et il est proposé d’aligner les versions française, anglaise et russe de la dernière phrase du 8.1.2.2 sur la version allemande comme suit :</w:t>
      </w:r>
    </w:p>
    <w:p w14:paraId="60DDCC40" w14:textId="77777777" w:rsidR="008F7500" w:rsidRDefault="008F7500" w:rsidP="008F7500">
      <w:pPr>
        <w:pStyle w:val="SingleTxtG"/>
        <w:rPr>
          <w:i/>
          <w:iCs/>
        </w:rPr>
      </w:pPr>
      <w:r w:rsidRPr="00E70BE1">
        <w:rPr>
          <w:i/>
          <w:iCs/>
        </w:rPr>
        <w:t xml:space="preserve">« Les documents énumérés </w:t>
      </w:r>
      <w:r w:rsidRPr="00A95324">
        <w:rPr>
          <w:b/>
          <w:bCs/>
          <w:i/>
          <w:iCs/>
          <w:u w:val="single"/>
        </w:rPr>
        <w:t>aux alinéas e) à h)</w:t>
      </w:r>
      <w:r>
        <w:rPr>
          <w:i/>
          <w:iCs/>
        </w:rPr>
        <w:t xml:space="preserve"> </w:t>
      </w:r>
      <w:r w:rsidRPr="00E70BE1">
        <w:rPr>
          <w:i/>
          <w:iCs/>
        </w:rPr>
        <w:t>ci-dessus doivent porter le visa de l’autorité compétente ayant délivré le certificat d’agrément. ».</w:t>
      </w:r>
    </w:p>
    <w:p w14:paraId="37F19A6D" w14:textId="77777777" w:rsidR="008F7500" w:rsidRPr="00136BB2" w:rsidRDefault="008F7500" w:rsidP="008F7500">
      <w:pPr>
        <w:pStyle w:val="HChG"/>
      </w:pPr>
      <w:r>
        <w:rPr>
          <w:sz w:val="24"/>
          <w:szCs w:val="24"/>
        </w:rPr>
        <w:tab/>
        <w:t>II.</w:t>
      </w:r>
      <w:r>
        <w:rPr>
          <w:sz w:val="24"/>
          <w:szCs w:val="24"/>
        </w:rPr>
        <w:tab/>
        <w:t>Suites à donner</w:t>
      </w:r>
    </w:p>
    <w:p w14:paraId="4ABE2602" w14:textId="77777777" w:rsidR="008F7500" w:rsidRDefault="00800CD6" w:rsidP="008F7500">
      <w:pPr>
        <w:pStyle w:val="SingleTxtG"/>
        <w:kinsoku/>
        <w:overflowPunct/>
        <w:autoSpaceDE/>
        <w:autoSpaceDN/>
        <w:adjustRightInd/>
        <w:snapToGrid/>
      </w:pPr>
      <w:r>
        <w:t>6</w:t>
      </w:r>
      <w:r w:rsidR="008F7500">
        <w:t>.</w:t>
      </w:r>
      <w:r w:rsidR="008F7500">
        <w:tab/>
        <w:t xml:space="preserve">Le Comité de sécurité est invité à prendre connaissance de la proposition figurant dans le paragraphe </w:t>
      </w:r>
      <w:r w:rsidR="00686B89">
        <w:t>5</w:t>
      </w:r>
      <w:r w:rsidR="008F7500">
        <w:t xml:space="preserve"> ci-dessus et à lui donner la suite qu’il jugera appropriée.</w:t>
      </w:r>
    </w:p>
    <w:p w14:paraId="7BC4EF78" w14:textId="77777777" w:rsidR="008F7500" w:rsidRPr="003845C0" w:rsidRDefault="008F7500" w:rsidP="008F7500">
      <w:pPr>
        <w:spacing w:before="240"/>
        <w:jc w:val="center"/>
        <w:rPr>
          <w:u w:val="single"/>
          <w:lang w:val="fr-FR" w:eastAsia="en-US"/>
        </w:rPr>
      </w:pPr>
      <w:r>
        <w:rPr>
          <w:u w:val="single"/>
          <w:lang w:val="fr-FR" w:eastAsia="en-US"/>
        </w:rPr>
        <w:tab/>
      </w:r>
      <w:r>
        <w:rPr>
          <w:u w:val="single"/>
          <w:lang w:val="fr-FR" w:eastAsia="en-US"/>
        </w:rPr>
        <w:tab/>
      </w:r>
      <w:r>
        <w:rPr>
          <w:u w:val="single"/>
          <w:lang w:val="fr-FR" w:eastAsia="en-US"/>
        </w:rPr>
        <w:tab/>
      </w:r>
    </w:p>
    <w:sectPr w:rsidR="008F7500" w:rsidRPr="003845C0" w:rsidSect="008F7500">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E37141" w14:textId="77777777" w:rsidR="005821E7" w:rsidRDefault="005821E7" w:rsidP="00F95C08">
      <w:pPr>
        <w:spacing w:line="240" w:lineRule="auto"/>
      </w:pPr>
    </w:p>
  </w:endnote>
  <w:endnote w:type="continuationSeparator" w:id="0">
    <w:p w14:paraId="2B9B495E" w14:textId="77777777" w:rsidR="005821E7" w:rsidRPr="00AC3823" w:rsidRDefault="005821E7" w:rsidP="00AC3823">
      <w:pPr>
        <w:pStyle w:val="Footer"/>
      </w:pPr>
    </w:p>
  </w:endnote>
  <w:endnote w:type="continuationNotice" w:id="1">
    <w:p w14:paraId="481F4F6F" w14:textId="77777777" w:rsidR="005821E7" w:rsidRDefault="005821E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90450" w14:textId="77777777" w:rsidR="005821E7" w:rsidRPr="005821E7" w:rsidRDefault="005821E7" w:rsidP="005821E7">
    <w:pPr>
      <w:pStyle w:val="Footer"/>
      <w:tabs>
        <w:tab w:val="right" w:pos="9638"/>
      </w:tabs>
      <w:rPr>
        <w:sz w:val="18"/>
      </w:rPr>
    </w:pPr>
    <w:r w:rsidRPr="005821E7">
      <w:rPr>
        <w:b/>
        <w:sz w:val="18"/>
      </w:rPr>
      <w:fldChar w:fldCharType="begin"/>
    </w:r>
    <w:r w:rsidRPr="005821E7">
      <w:rPr>
        <w:b/>
        <w:sz w:val="18"/>
      </w:rPr>
      <w:instrText xml:space="preserve"> PAGE  \* MERGEFORMAT </w:instrText>
    </w:r>
    <w:r w:rsidRPr="005821E7">
      <w:rPr>
        <w:b/>
        <w:sz w:val="18"/>
      </w:rPr>
      <w:fldChar w:fldCharType="separate"/>
    </w:r>
    <w:r w:rsidRPr="005821E7">
      <w:rPr>
        <w:b/>
        <w:noProof/>
        <w:sz w:val="18"/>
      </w:rPr>
      <w:t>2</w:t>
    </w:r>
    <w:r w:rsidRPr="005821E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4B83E" w14:textId="77777777" w:rsidR="005821E7" w:rsidRPr="005821E7" w:rsidRDefault="005821E7" w:rsidP="005821E7">
    <w:pPr>
      <w:pStyle w:val="Footer"/>
      <w:tabs>
        <w:tab w:val="right" w:pos="9638"/>
      </w:tabs>
      <w:rPr>
        <w:b/>
        <w:sz w:val="18"/>
      </w:rPr>
    </w:pPr>
    <w:r>
      <w:tab/>
    </w:r>
    <w:r w:rsidRPr="005821E7">
      <w:rPr>
        <w:b/>
        <w:sz w:val="18"/>
      </w:rPr>
      <w:fldChar w:fldCharType="begin"/>
    </w:r>
    <w:r w:rsidRPr="005821E7">
      <w:rPr>
        <w:b/>
        <w:sz w:val="18"/>
      </w:rPr>
      <w:instrText xml:space="preserve"> PAGE  \* MERGEFORMAT </w:instrText>
    </w:r>
    <w:r w:rsidRPr="005821E7">
      <w:rPr>
        <w:b/>
        <w:sz w:val="18"/>
      </w:rPr>
      <w:fldChar w:fldCharType="separate"/>
    </w:r>
    <w:r w:rsidRPr="005821E7">
      <w:rPr>
        <w:b/>
        <w:noProof/>
        <w:sz w:val="18"/>
      </w:rPr>
      <w:t>3</w:t>
    </w:r>
    <w:r w:rsidRPr="005821E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891DA" w14:textId="77777777" w:rsidR="000D3EE9" w:rsidRPr="005821E7" w:rsidRDefault="000D3EE9" w:rsidP="0001207F">
    <w:pPr>
      <w:pStyle w:val="Footer"/>
      <w:spacing w:before="12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5ABC63" w14:textId="77777777" w:rsidR="005821E7" w:rsidRPr="00AC3823" w:rsidRDefault="005821E7" w:rsidP="00AC3823">
      <w:pPr>
        <w:pStyle w:val="Footer"/>
        <w:tabs>
          <w:tab w:val="right" w:pos="2155"/>
        </w:tabs>
        <w:spacing w:after="80" w:line="240" w:lineRule="atLeast"/>
        <w:ind w:left="680"/>
        <w:rPr>
          <w:u w:val="single"/>
        </w:rPr>
      </w:pPr>
      <w:r>
        <w:rPr>
          <w:u w:val="single"/>
        </w:rPr>
        <w:tab/>
      </w:r>
    </w:p>
  </w:footnote>
  <w:footnote w:type="continuationSeparator" w:id="0">
    <w:p w14:paraId="6D4F75C0" w14:textId="77777777" w:rsidR="005821E7" w:rsidRPr="00AC3823" w:rsidRDefault="005821E7" w:rsidP="00AC3823">
      <w:pPr>
        <w:pStyle w:val="Footer"/>
        <w:tabs>
          <w:tab w:val="right" w:pos="2155"/>
        </w:tabs>
        <w:spacing w:after="80" w:line="240" w:lineRule="atLeast"/>
        <w:ind w:left="680"/>
        <w:rPr>
          <w:u w:val="single"/>
        </w:rPr>
      </w:pPr>
      <w:r>
        <w:rPr>
          <w:u w:val="single"/>
        </w:rPr>
        <w:tab/>
      </w:r>
    </w:p>
  </w:footnote>
  <w:footnote w:type="continuationNotice" w:id="1">
    <w:p w14:paraId="7151F390" w14:textId="77777777" w:rsidR="005821E7" w:rsidRPr="00AC3823" w:rsidRDefault="005821E7">
      <w:pPr>
        <w:spacing w:line="240" w:lineRule="auto"/>
        <w:rPr>
          <w:sz w:val="2"/>
          <w:szCs w:val="2"/>
        </w:rPr>
      </w:pPr>
    </w:p>
  </w:footnote>
  <w:footnote w:id="2">
    <w:p w14:paraId="484B273A" w14:textId="77777777" w:rsidR="00800CD6" w:rsidRPr="003F0F88" w:rsidRDefault="00800CD6" w:rsidP="00800CD6">
      <w:pPr>
        <w:pStyle w:val="FootnoteText"/>
      </w:pPr>
      <w:r>
        <w:rPr>
          <w:rStyle w:val="FootnoteReference"/>
        </w:rPr>
        <w:tab/>
      </w:r>
      <w:r w:rsidRPr="00F8009F">
        <w:rPr>
          <w:rStyle w:val="FootnoteReference"/>
          <w:sz w:val="20"/>
        </w:rPr>
        <w:t>*</w:t>
      </w:r>
      <w:r>
        <w:rPr>
          <w:rStyle w:val="FootnoteReference"/>
          <w:sz w:val="20"/>
          <w:vertAlign w:val="baseline"/>
        </w:rPr>
        <w:tab/>
      </w:r>
      <w:r w:rsidRPr="003F0F88">
        <w:rPr>
          <w:szCs w:val="18"/>
          <w:lang w:val="fr-FR"/>
        </w:rPr>
        <w:t>Diffusé en langue allemande par la Commission centrale pour la navigation du Rhin sous la cote CCNR/ZKR/ADN/WP.15/AC.2/2020/</w:t>
      </w:r>
      <w:r>
        <w:rPr>
          <w:szCs w:val="18"/>
          <w:lang w:val="fr-FR"/>
        </w:rPr>
        <w:t>10</w:t>
      </w:r>
      <w:r w:rsidRPr="003F0F88">
        <w:rPr>
          <w:szCs w:val="18"/>
          <w:lang w:val="fr-FR"/>
        </w:rPr>
        <w:t>.</w:t>
      </w:r>
    </w:p>
  </w:footnote>
  <w:footnote w:id="3">
    <w:p w14:paraId="062CC007" w14:textId="77777777" w:rsidR="00800CD6" w:rsidRPr="003F0F88" w:rsidRDefault="00800CD6" w:rsidP="00800CD6">
      <w:pPr>
        <w:pStyle w:val="FootnoteText"/>
      </w:pPr>
      <w:r>
        <w:rPr>
          <w:rStyle w:val="FootnoteReference"/>
        </w:rPr>
        <w:tab/>
      </w:r>
      <w:r w:rsidRPr="00F8009F">
        <w:rPr>
          <w:rStyle w:val="FootnoteReference"/>
          <w:sz w:val="20"/>
        </w:rPr>
        <w:t>**</w:t>
      </w:r>
      <w:r>
        <w:rPr>
          <w:rStyle w:val="FootnoteReference"/>
          <w:sz w:val="20"/>
          <w:vertAlign w:val="baseline"/>
        </w:rPr>
        <w:tab/>
      </w:r>
      <w:r w:rsidRPr="003F0F88">
        <w:rPr>
          <w:szCs w:val="18"/>
          <w:lang w:val="fr-FR"/>
        </w:rPr>
        <w:t>Conformément au programme de travail du Comité des transports intérieurs pour 2018-2019 (ECE/TRANS/2018/21/Add.1, (9.3)).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24186" w14:textId="5F0F04EB" w:rsidR="005821E7" w:rsidRPr="005821E7" w:rsidRDefault="000F1103">
    <w:pPr>
      <w:pStyle w:val="Header"/>
    </w:pPr>
    <w:r>
      <w:fldChar w:fldCharType="begin"/>
    </w:r>
    <w:r>
      <w:instrText xml:space="preserve"> TITLE  \* MERGEFORMAT </w:instrText>
    </w:r>
    <w:r>
      <w:fldChar w:fldCharType="separate"/>
    </w:r>
    <w:r>
      <w:t>ECE/TRANS/WP.15/AC.2/2020/10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31B96" w14:textId="54E3025D" w:rsidR="005821E7" w:rsidRPr="005821E7" w:rsidRDefault="000F1103" w:rsidP="005821E7">
    <w:pPr>
      <w:pStyle w:val="Header"/>
      <w:jc w:val="right"/>
    </w:pPr>
    <w:r>
      <w:fldChar w:fldCharType="begin"/>
    </w:r>
    <w:r>
      <w:instrText xml:space="preserve"> TITLE  \* MERGEFORMAT </w:instrText>
    </w:r>
    <w:r>
      <w:fldChar w:fldCharType="separate"/>
    </w:r>
    <w:r>
      <w:t>ECE/TRANS/WP.15/AC.2/2020/10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567"/>
  <w:hyphenationZone w:val="425"/>
  <w:evenAndOddHeaders/>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F2324AE-7E1B-46E0-BE39-6171A5137F5D}"/>
    <w:docVar w:name="dgnword-eventsink" w:val="646185176"/>
  </w:docVars>
  <w:rsids>
    <w:rsidRoot w:val="005821E7"/>
    <w:rsid w:val="0001207F"/>
    <w:rsid w:val="00017F94"/>
    <w:rsid w:val="00023842"/>
    <w:rsid w:val="000334F9"/>
    <w:rsid w:val="0004639C"/>
    <w:rsid w:val="0007796D"/>
    <w:rsid w:val="000942EE"/>
    <w:rsid w:val="000A52BF"/>
    <w:rsid w:val="000B7790"/>
    <w:rsid w:val="000D3EE9"/>
    <w:rsid w:val="000D62F3"/>
    <w:rsid w:val="000E6C65"/>
    <w:rsid w:val="000F1103"/>
    <w:rsid w:val="00111F2F"/>
    <w:rsid w:val="001433FD"/>
    <w:rsid w:val="0014365E"/>
    <w:rsid w:val="001541D3"/>
    <w:rsid w:val="00156B77"/>
    <w:rsid w:val="00176178"/>
    <w:rsid w:val="00177140"/>
    <w:rsid w:val="001D400F"/>
    <w:rsid w:val="001F525A"/>
    <w:rsid w:val="00223272"/>
    <w:rsid w:val="00240333"/>
    <w:rsid w:val="0024779E"/>
    <w:rsid w:val="002832AC"/>
    <w:rsid w:val="002D7C93"/>
    <w:rsid w:val="0037241C"/>
    <w:rsid w:val="003819FF"/>
    <w:rsid w:val="0041572A"/>
    <w:rsid w:val="00441C3B"/>
    <w:rsid w:val="00446B0A"/>
    <w:rsid w:val="00446FE5"/>
    <w:rsid w:val="00452396"/>
    <w:rsid w:val="00471288"/>
    <w:rsid w:val="0049687C"/>
    <w:rsid w:val="004E468C"/>
    <w:rsid w:val="005316B0"/>
    <w:rsid w:val="005505B7"/>
    <w:rsid w:val="00573BE5"/>
    <w:rsid w:val="005821E7"/>
    <w:rsid w:val="00586ED3"/>
    <w:rsid w:val="00596AA9"/>
    <w:rsid w:val="005B4D0F"/>
    <w:rsid w:val="00686B89"/>
    <w:rsid w:val="00703D0F"/>
    <w:rsid w:val="00706363"/>
    <w:rsid w:val="007158BB"/>
    <w:rsid w:val="0071601D"/>
    <w:rsid w:val="0075410D"/>
    <w:rsid w:val="007A62E6"/>
    <w:rsid w:val="00800CD6"/>
    <w:rsid w:val="0080684C"/>
    <w:rsid w:val="008204DA"/>
    <w:rsid w:val="008535AD"/>
    <w:rsid w:val="00871C75"/>
    <w:rsid w:val="008767E8"/>
    <w:rsid w:val="008776DC"/>
    <w:rsid w:val="00883605"/>
    <w:rsid w:val="008E6043"/>
    <w:rsid w:val="008F7500"/>
    <w:rsid w:val="00961E7B"/>
    <w:rsid w:val="009705C8"/>
    <w:rsid w:val="009C1CF4"/>
    <w:rsid w:val="009F02C9"/>
    <w:rsid w:val="00A30353"/>
    <w:rsid w:val="00A62D91"/>
    <w:rsid w:val="00A90D54"/>
    <w:rsid w:val="00AA113A"/>
    <w:rsid w:val="00AC3823"/>
    <w:rsid w:val="00AE323C"/>
    <w:rsid w:val="00AF774C"/>
    <w:rsid w:val="00B00181"/>
    <w:rsid w:val="00B00B0D"/>
    <w:rsid w:val="00B40927"/>
    <w:rsid w:val="00B50E25"/>
    <w:rsid w:val="00B64918"/>
    <w:rsid w:val="00B765F7"/>
    <w:rsid w:val="00BA0CA9"/>
    <w:rsid w:val="00C02897"/>
    <w:rsid w:val="00C1626B"/>
    <w:rsid w:val="00C6072B"/>
    <w:rsid w:val="00C66A47"/>
    <w:rsid w:val="00C7616F"/>
    <w:rsid w:val="00CB16B5"/>
    <w:rsid w:val="00CE0608"/>
    <w:rsid w:val="00D3439C"/>
    <w:rsid w:val="00D44CF3"/>
    <w:rsid w:val="00D46C8C"/>
    <w:rsid w:val="00D86081"/>
    <w:rsid w:val="00DB1831"/>
    <w:rsid w:val="00DD3BFD"/>
    <w:rsid w:val="00DE239D"/>
    <w:rsid w:val="00DF431C"/>
    <w:rsid w:val="00DF6678"/>
    <w:rsid w:val="00E428C8"/>
    <w:rsid w:val="00EF2E22"/>
    <w:rsid w:val="00F0592C"/>
    <w:rsid w:val="00F06ED4"/>
    <w:rsid w:val="00F25DE8"/>
    <w:rsid w:val="00F43289"/>
    <w:rsid w:val="00F660DF"/>
    <w:rsid w:val="00F95C08"/>
    <w:rsid w:val="00FD1581"/>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B741C85"/>
  <w15:docId w15:val="{32C6DF55-8C45-4ADD-8168-205107E51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0E25"/>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Footnote Reference/"/>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706363"/>
    <w:rPr>
      <w:color w:val="0000FF"/>
      <w:u w:val="none"/>
    </w:rPr>
  </w:style>
  <w:style w:type="character" w:styleId="FollowedHyperlink">
    <w:name w:val="FollowedHyperlink"/>
    <w:basedOn w:val="DefaultParagraphFont"/>
    <w:unhideWhenUsed/>
    <w:rsid w:val="00706363"/>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433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3FD"/>
    <w:rPr>
      <w:rFonts w:ascii="Tahoma" w:hAnsi="Tahoma" w:cs="Tahoma"/>
      <w:sz w:val="16"/>
      <w:szCs w:val="16"/>
      <w:lang w:eastAsia="en-US"/>
    </w:rPr>
  </w:style>
  <w:style w:type="character" w:customStyle="1" w:styleId="SingleTxtGChar">
    <w:name w:val="_ Single Txt_G Char"/>
    <w:link w:val="SingleTxtG"/>
    <w:uiPriority w:val="99"/>
    <w:rsid w:val="0001207F"/>
    <w:rPr>
      <w:rFonts w:ascii="Times New Roman" w:hAnsi="Times New Roman" w:cs="Times New Roman"/>
      <w:sz w:val="20"/>
      <w:szCs w:val="20"/>
      <w:lang w:eastAsia="en-US"/>
    </w:rPr>
  </w:style>
  <w:style w:type="character" w:customStyle="1" w:styleId="HChGChar">
    <w:name w:val="_ H _Ch_G Char"/>
    <w:link w:val="HChG"/>
    <w:uiPriority w:val="99"/>
    <w:rsid w:val="0001207F"/>
    <w:rPr>
      <w:rFonts w:ascii="Times New Roman"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1_24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TRANS_WP1_24_F.dotm</Template>
  <TotalTime>21</TotalTime>
  <Pages>2</Pages>
  <Words>370</Words>
  <Characters>2112</Characters>
  <Application>Microsoft Office Word</Application>
  <DocSecurity>0</DocSecurity>
  <Lines>17</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ECE/TRANS/WP.15/AC.2/2020/10</vt:lpstr>
      <vt:lpstr>ECE/EX/22</vt:lpstr>
    </vt:vector>
  </TitlesOfParts>
  <Company>DCM</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ECE/TRANS/WP.15/AC.2/2020/10</dc:title>
  <dc:subject>FINAL</dc:subject>
  <dc:creator>Marie-Claude Collet</dc:creator>
  <cp:keywords/>
  <dc:description/>
  <cp:lastModifiedBy>Marie-Claude Collet</cp:lastModifiedBy>
  <cp:revision>10</cp:revision>
  <cp:lastPrinted>2019-11-12T07:09:00Z</cp:lastPrinted>
  <dcterms:created xsi:type="dcterms:W3CDTF">2019-10-24T13:59:00Z</dcterms:created>
  <dcterms:modified xsi:type="dcterms:W3CDTF">2019-11-12T07:10:00Z</dcterms:modified>
</cp:coreProperties>
</file>