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0D6351" w:rsidP="000D6351">
            <w:pPr>
              <w:jc w:val="right"/>
            </w:pPr>
            <w:r w:rsidRPr="000D6351">
              <w:rPr>
                <w:sz w:val="40"/>
              </w:rPr>
              <w:t>ECE</w:t>
            </w:r>
            <w:r>
              <w:t>/TRANS/WP.15/AC.2/2020/13</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0D6351" w:rsidP="000D6351">
            <w:pPr>
              <w:spacing w:before="240" w:line="240" w:lineRule="exact"/>
            </w:pPr>
            <w:proofErr w:type="spellStart"/>
            <w:r>
              <w:t>Distr</w:t>
            </w:r>
            <w:proofErr w:type="spellEnd"/>
            <w:r>
              <w:t xml:space="preserve">. </w:t>
            </w:r>
            <w:proofErr w:type="gramStart"/>
            <w:r>
              <w:t>générale</w:t>
            </w:r>
            <w:proofErr w:type="gramEnd"/>
          </w:p>
          <w:p w:rsidR="000D6351" w:rsidRDefault="000960A2" w:rsidP="000D6351">
            <w:pPr>
              <w:spacing w:line="240" w:lineRule="exact"/>
            </w:pPr>
            <w:r>
              <w:t>1</w:t>
            </w:r>
            <w:r w:rsidR="00C57344">
              <w:t>2</w:t>
            </w:r>
            <w:bookmarkStart w:id="0" w:name="_GoBack"/>
            <w:bookmarkEnd w:id="0"/>
            <w:r>
              <w:t xml:space="preserve"> </w:t>
            </w:r>
            <w:r w:rsidR="000D6351">
              <w:t>novembre 2019</w:t>
            </w:r>
          </w:p>
          <w:p w:rsidR="000D6351" w:rsidRDefault="000D6351" w:rsidP="000D6351">
            <w:pPr>
              <w:spacing w:line="240" w:lineRule="exact"/>
            </w:pPr>
          </w:p>
          <w:p w:rsidR="000D6351" w:rsidRPr="00DB58B5" w:rsidRDefault="000D6351" w:rsidP="000D6351">
            <w:pPr>
              <w:spacing w:line="240" w:lineRule="exact"/>
            </w:pPr>
            <w:r>
              <w:t>Original : français</w:t>
            </w:r>
          </w:p>
        </w:tc>
      </w:tr>
    </w:tbl>
    <w:p w:rsidR="00254F98" w:rsidRDefault="00254F98" w:rsidP="00FD1581">
      <w:pPr>
        <w:spacing w:before="120"/>
        <w:rPr>
          <w:b/>
          <w:sz w:val="28"/>
          <w:szCs w:val="28"/>
        </w:rPr>
      </w:pPr>
      <w:r w:rsidRPr="00883605">
        <w:rPr>
          <w:b/>
          <w:sz w:val="28"/>
          <w:szCs w:val="28"/>
        </w:rPr>
        <w:t>Commission économique pour l’Europe</w:t>
      </w:r>
    </w:p>
    <w:p w:rsidR="00254F98" w:rsidRDefault="00254F98" w:rsidP="00FD1581">
      <w:pPr>
        <w:spacing w:before="120"/>
        <w:rPr>
          <w:sz w:val="28"/>
          <w:szCs w:val="28"/>
        </w:rPr>
      </w:pPr>
      <w:r w:rsidRPr="00685843">
        <w:rPr>
          <w:sz w:val="28"/>
          <w:szCs w:val="28"/>
        </w:rPr>
        <w:t>Comité des transports intérieurs</w:t>
      </w:r>
    </w:p>
    <w:p w:rsidR="00254F98" w:rsidRPr="009E01B8" w:rsidRDefault="00254F98"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254F98" w:rsidRPr="004812F5" w:rsidRDefault="00254F98"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rsidR="00254F98" w:rsidRPr="00234E40" w:rsidRDefault="00254F98" w:rsidP="00FD1581">
      <w:pPr>
        <w:spacing w:before="120"/>
        <w:rPr>
          <w:b/>
        </w:rPr>
      </w:pPr>
      <w:r>
        <w:rPr>
          <w:b/>
        </w:rPr>
        <w:t xml:space="preserve">Trente-sixième </w:t>
      </w:r>
      <w:r w:rsidRPr="00234E40">
        <w:rPr>
          <w:b/>
        </w:rPr>
        <w:t>session</w:t>
      </w:r>
    </w:p>
    <w:p w:rsidR="00254F98" w:rsidRDefault="00254F98" w:rsidP="00FD1581">
      <w:r>
        <w:t>Genève, 27-31 janvier 2020</w:t>
      </w:r>
    </w:p>
    <w:p w:rsidR="00254F98" w:rsidRDefault="00254F98" w:rsidP="00FD1581">
      <w:r w:rsidRPr="00B93E72">
        <w:t xml:space="preserve">Point </w:t>
      </w:r>
      <w:r>
        <w:t xml:space="preserve">5 b) </w:t>
      </w:r>
      <w:r w:rsidRPr="00B93E72">
        <w:t>de l’ordre du jour provisoire</w:t>
      </w:r>
    </w:p>
    <w:p w:rsidR="00C1626B" w:rsidRDefault="00254F98" w:rsidP="00F06ED4">
      <w:pPr>
        <w:rPr>
          <w:b/>
          <w:bCs/>
        </w:rPr>
      </w:pPr>
      <w:r w:rsidRPr="00254F98">
        <w:rPr>
          <w:b/>
          <w:bCs/>
        </w:rPr>
        <w:t>Propositions d’amendements au Règlement annexé à l’ADN :</w:t>
      </w:r>
      <w:r w:rsidRPr="00254F98">
        <w:rPr>
          <w:b/>
          <w:bCs/>
        </w:rPr>
        <w:br/>
        <w:t>autres propositions</w:t>
      </w:r>
    </w:p>
    <w:p w:rsidR="00254F98" w:rsidRPr="001E6723" w:rsidRDefault="00254F98" w:rsidP="00254F98">
      <w:pPr>
        <w:pStyle w:val="HChG"/>
        <w:rPr>
          <w:snapToGrid w:val="0"/>
          <w:sz w:val="24"/>
          <w:szCs w:val="24"/>
          <w:u w:val="single"/>
          <w:lang w:val="fr-FR"/>
        </w:rPr>
      </w:pPr>
      <w:r>
        <w:rPr>
          <w:snapToGrid w:val="0"/>
          <w:lang w:val="fr-FR"/>
        </w:rPr>
        <w:tab/>
      </w:r>
      <w:r>
        <w:rPr>
          <w:snapToGrid w:val="0"/>
          <w:lang w:val="fr-FR"/>
        </w:rPr>
        <w:tab/>
      </w:r>
      <w:r w:rsidRPr="001E6723">
        <w:rPr>
          <w:snapToGrid w:val="0"/>
          <w:lang w:val="fr-FR"/>
        </w:rPr>
        <w:t>Amendement au 7.1.4.1 : limitation des quantités transportées</w:t>
      </w:r>
    </w:p>
    <w:p w:rsidR="00254F98" w:rsidRPr="001E6723" w:rsidRDefault="00254F98" w:rsidP="00254F98">
      <w:pPr>
        <w:pStyle w:val="H1G"/>
        <w:rPr>
          <w:bCs/>
          <w:sz w:val="18"/>
          <w:szCs w:val="24"/>
          <w:vertAlign w:val="superscript"/>
          <w:lang w:val="fr-FR"/>
        </w:rPr>
      </w:pPr>
      <w:r>
        <w:rPr>
          <w:lang w:val="fr-FR"/>
        </w:rPr>
        <w:tab/>
      </w:r>
      <w:r>
        <w:rPr>
          <w:lang w:val="fr-FR"/>
        </w:rPr>
        <w:tab/>
      </w:r>
      <w:r w:rsidRPr="001E6723">
        <w:rPr>
          <w:lang w:val="fr-FR"/>
        </w:rPr>
        <w:t>Communication conjointe de l'Union européenne de la navigation fluviale (UENF) et de l'Organisation européenne des bateliers (OEB)</w:t>
      </w:r>
      <w:r w:rsidRPr="00B37499">
        <w:rPr>
          <w:b w:val="0"/>
          <w:sz w:val="18"/>
          <w:szCs w:val="24"/>
          <w:vertAlign w:val="superscript"/>
          <w:lang w:val="fr-FR"/>
        </w:rPr>
        <w:footnoteReference w:customMarkFollows="1" w:id="2"/>
        <w:t>*</w:t>
      </w:r>
      <w:r w:rsidRPr="001E6723">
        <w:rPr>
          <w:bCs/>
          <w:sz w:val="18"/>
          <w:szCs w:val="24"/>
          <w:vertAlign w:val="superscript"/>
          <w:lang w:val="fr-FR"/>
        </w:rPr>
        <w:t>,</w:t>
      </w:r>
      <w:r>
        <w:rPr>
          <w:bCs/>
          <w:sz w:val="18"/>
          <w:szCs w:val="24"/>
          <w:vertAlign w:val="superscript"/>
          <w:lang w:val="fr-FR"/>
        </w:rPr>
        <w:t xml:space="preserve"> </w:t>
      </w:r>
      <w:r w:rsidRPr="00B37499">
        <w:rPr>
          <w:b w:val="0"/>
          <w:sz w:val="18"/>
          <w:szCs w:val="24"/>
          <w:vertAlign w:val="superscript"/>
          <w:lang w:val="fr-FR"/>
        </w:rPr>
        <w:footnoteReference w:customMarkFollows="1" w:id="3"/>
        <w:t>**</w:t>
      </w:r>
    </w:p>
    <w:p w:rsidR="00254F98" w:rsidRPr="001E6723" w:rsidRDefault="00254F98" w:rsidP="00254F98">
      <w:pPr>
        <w:pStyle w:val="HChG"/>
        <w:rPr>
          <w:lang w:val="fr-FR"/>
        </w:rPr>
      </w:pPr>
      <w:r>
        <w:rPr>
          <w:lang w:val="fr-FR"/>
        </w:rPr>
        <w:tab/>
      </w:r>
      <w:r>
        <w:rPr>
          <w:lang w:val="fr-FR"/>
        </w:rPr>
        <w:tab/>
      </w:r>
      <w:r>
        <w:rPr>
          <w:lang w:val="fr-FR"/>
        </w:rPr>
        <w:tab/>
      </w:r>
      <w:r w:rsidRPr="001E6723">
        <w:rPr>
          <w:lang w:val="fr-FR"/>
        </w:rPr>
        <w:t>Introduction</w:t>
      </w:r>
    </w:p>
    <w:p w:rsidR="00254F98" w:rsidRPr="00E367AD" w:rsidRDefault="00254F98" w:rsidP="00254F98">
      <w:pPr>
        <w:pStyle w:val="SingleTxtG"/>
        <w:rPr>
          <w:lang w:val="fr-FR"/>
        </w:rPr>
      </w:pPr>
      <w:r>
        <w:rPr>
          <w:lang w:val="fr-FR"/>
        </w:rPr>
        <w:t>1.</w:t>
      </w:r>
      <w:r>
        <w:rPr>
          <w:lang w:val="fr-FR"/>
        </w:rPr>
        <w:tab/>
      </w:r>
      <w:r w:rsidRPr="001E6723">
        <w:rPr>
          <w:lang w:val="fr-FR"/>
        </w:rPr>
        <w:t xml:space="preserve">Les représentants du secteur de la navigation intérieure ont présenté et expliqué ce sujet avec le document </w:t>
      </w:r>
      <w:r w:rsidR="000960A2">
        <w:rPr>
          <w:lang w:val="fr-FR"/>
        </w:rPr>
        <w:t>ECE/TRANS</w:t>
      </w:r>
      <w:r w:rsidRPr="001E6723">
        <w:rPr>
          <w:lang w:val="fr-FR"/>
        </w:rPr>
        <w:t xml:space="preserve">/WP.15/AC.2/2019/32 lors </w:t>
      </w:r>
      <w:r w:rsidRPr="00E367AD">
        <w:rPr>
          <w:lang w:val="fr-FR"/>
        </w:rPr>
        <w:t xml:space="preserve">de la </w:t>
      </w:r>
      <w:r w:rsidR="00E367AD" w:rsidRPr="00E367AD">
        <w:t>trente-cinquième</w:t>
      </w:r>
      <w:r w:rsidRPr="00E367AD">
        <w:rPr>
          <w:lang w:val="fr-FR"/>
        </w:rPr>
        <w:t xml:space="preserve"> session du Comité de sécurité de l'ADN de la CEE-ONU.</w:t>
      </w:r>
    </w:p>
    <w:p w:rsidR="00254F98" w:rsidRPr="00254F98" w:rsidRDefault="00254F98" w:rsidP="00254F98">
      <w:pPr>
        <w:pStyle w:val="SingleTxtG"/>
        <w:rPr>
          <w:rStyle w:val="SingleTxtGChar"/>
        </w:rPr>
      </w:pPr>
      <w:r w:rsidRPr="00A80CE0">
        <w:rPr>
          <w:lang w:val="fr-FR"/>
        </w:rPr>
        <w:t>2.</w:t>
      </w:r>
      <w:r w:rsidRPr="00A80CE0">
        <w:rPr>
          <w:lang w:val="fr-FR"/>
        </w:rPr>
        <w:tab/>
      </w:r>
      <w:r w:rsidRPr="00254F98">
        <w:rPr>
          <w:rStyle w:val="SingleTxtGChar"/>
        </w:rPr>
        <w:t>Lors de cette session, le Comité de sécurité a estimé que l'indication « Pas de limitation » utilisée dans l'actuelle sous-section 7.1.4.1 devrait être assimilée à 1 100 00</w:t>
      </w:r>
      <w:r w:rsidR="000960A2">
        <w:rPr>
          <w:rStyle w:val="SingleTxtGChar"/>
        </w:rPr>
        <w:t>0</w:t>
      </w:r>
      <w:r w:rsidRPr="00254F98">
        <w:rPr>
          <w:rStyle w:val="SingleTxtGChar"/>
        </w:rPr>
        <w:t xml:space="preserve"> kg dans ce contexte.</w:t>
      </w:r>
    </w:p>
    <w:p w:rsidR="00254F98" w:rsidRPr="00A80CE0" w:rsidRDefault="00254F98" w:rsidP="00254F98">
      <w:pPr>
        <w:pStyle w:val="SingleTxtG"/>
        <w:rPr>
          <w:lang w:val="fr-FR"/>
        </w:rPr>
      </w:pPr>
      <w:r w:rsidRPr="00A80CE0">
        <w:rPr>
          <w:lang w:val="fr-FR"/>
        </w:rPr>
        <w:t>3.</w:t>
      </w:r>
      <w:r w:rsidRPr="00A80CE0">
        <w:rPr>
          <w:lang w:val="fr-FR"/>
        </w:rPr>
        <w:tab/>
        <w:t>Au cours de la session, certaines formulations jugées ambigües ont été modifiées ou supprimées dans le nouveau texte proposé pour le 7.1.4.1.1. Deux modifications ont également été effectuées dans le tableau 7.1.4.1.3 à la demande de certains États.</w:t>
      </w:r>
    </w:p>
    <w:p w:rsidR="00254F98" w:rsidRPr="00A80CE0" w:rsidRDefault="00254F98" w:rsidP="00254F98">
      <w:pPr>
        <w:pStyle w:val="SingleTxtG"/>
        <w:rPr>
          <w:lang w:val="fr-FR"/>
        </w:rPr>
      </w:pPr>
      <w:r w:rsidRPr="00A80CE0">
        <w:rPr>
          <w:lang w:val="fr-FR"/>
        </w:rPr>
        <w:lastRenderedPageBreak/>
        <w:t>4.</w:t>
      </w:r>
      <w:r w:rsidRPr="00A80CE0">
        <w:rPr>
          <w:lang w:val="fr-FR"/>
        </w:rPr>
        <w:tab/>
        <w:t>Afin de clarifier la nouvelle sous-section 7.1.4.1.1, nous recommandons d'insérer la phrase suivante :</w:t>
      </w:r>
    </w:p>
    <w:p w:rsidR="00254F98" w:rsidRPr="001E6723" w:rsidRDefault="00254F98" w:rsidP="00254F98">
      <w:pPr>
        <w:pStyle w:val="SingleTxtG"/>
        <w:rPr>
          <w:rFonts w:eastAsia="Calibri"/>
          <w:lang w:val="fr-FR"/>
        </w:rPr>
      </w:pPr>
      <w:r w:rsidRPr="001E6723">
        <w:rPr>
          <w:rFonts w:eastAsia="Calibri"/>
          <w:lang w:val="fr-FR"/>
        </w:rPr>
        <w:t>« Lorsqu’un bateau transporte plusieurs types de marchandises dangereuses, la quantité totale de celles-ci ne doit pas être supérieure à 1 100 000 kg. ».</w:t>
      </w:r>
    </w:p>
    <w:p w:rsidR="00254F98" w:rsidRDefault="00254F98" w:rsidP="00254F98">
      <w:pPr>
        <w:pStyle w:val="SingleTxtG"/>
        <w:rPr>
          <w:lang w:val="fr-FR"/>
        </w:rPr>
      </w:pPr>
      <w:r w:rsidRPr="001E6723">
        <w:rPr>
          <w:lang w:val="fr-FR"/>
        </w:rPr>
        <w:t>5.</w:t>
      </w:r>
      <w:r w:rsidRPr="001E6723">
        <w:rPr>
          <w:lang w:val="fr-FR"/>
        </w:rPr>
        <w:tab/>
      </w:r>
      <w:r w:rsidRPr="00A80CE0">
        <w:rPr>
          <w:lang w:val="fr-FR"/>
        </w:rPr>
        <w:t>L'objectif de la présente demande est de réorganiser la teneur du 7.1.4.1 afin de le rendre plus clair et transparent. Cela</w:t>
      </w:r>
      <w:r w:rsidRPr="001E6723">
        <w:rPr>
          <w:lang w:val="fr-FR"/>
        </w:rPr>
        <w:t xml:space="preserve"> est nécessaire en particulier afin de rendre cette thématique accessible aux usagers qui n'utilisent pas régulièrement l'ADN.</w:t>
      </w:r>
    </w:p>
    <w:p w:rsidR="005630CA" w:rsidRPr="001E6723" w:rsidRDefault="005630CA" w:rsidP="005630CA">
      <w:pPr>
        <w:pStyle w:val="HChG"/>
        <w:rPr>
          <w:lang w:val="fr-FR"/>
        </w:rPr>
      </w:pPr>
      <w:r>
        <w:rPr>
          <w:lang w:val="fr-FR"/>
        </w:rPr>
        <w:tab/>
        <w:t>I.</w:t>
      </w:r>
      <w:r>
        <w:rPr>
          <w:lang w:val="fr-FR"/>
        </w:rPr>
        <w:tab/>
      </w:r>
      <w:r>
        <w:rPr>
          <w:lang w:val="fr-FR"/>
        </w:rPr>
        <w:tab/>
      </w:r>
      <w:r w:rsidRPr="001E6723">
        <w:rPr>
          <w:lang w:val="fr-FR"/>
        </w:rPr>
        <w:t>Proposition</w:t>
      </w:r>
    </w:p>
    <w:p w:rsidR="005630CA" w:rsidRPr="001E6723" w:rsidRDefault="005630CA" w:rsidP="005630CA">
      <w:pPr>
        <w:pStyle w:val="SingleTxtG"/>
        <w:rPr>
          <w:lang w:val="fr-FR"/>
        </w:rPr>
      </w:pPr>
      <w:r w:rsidRPr="001E6723">
        <w:rPr>
          <w:lang w:val="fr-FR"/>
        </w:rPr>
        <w:t>1.</w:t>
      </w:r>
      <w:r w:rsidRPr="001E6723">
        <w:rPr>
          <w:lang w:val="fr-FR"/>
        </w:rPr>
        <w:tab/>
        <w:t>Le nouveau texte est libellé comme suit :</w:t>
      </w:r>
    </w:p>
    <w:p w:rsidR="005630CA" w:rsidRPr="001E6723" w:rsidRDefault="005630CA" w:rsidP="005630CA">
      <w:pPr>
        <w:pStyle w:val="SingleTxtG"/>
        <w:rPr>
          <w:rFonts w:eastAsia="Calibri"/>
          <w:lang w:val="fr-FR"/>
        </w:rPr>
      </w:pPr>
      <w:r>
        <w:rPr>
          <w:rFonts w:eastAsia="Calibri"/>
          <w:lang w:val="fr-FR"/>
        </w:rPr>
        <w:tab/>
      </w:r>
      <w:r>
        <w:rPr>
          <w:rFonts w:eastAsia="Calibri"/>
          <w:lang w:val="fr-FR"/>
        </w:rPr>
        <w:tab/>
      </w:r>
      <w:r w:rsidRPr="001E6723">
        <w:rPr>
          <w:rFonts w:eastAsia="Calibri"/>
          <w:lang w:val="fr-FR"/>
        </w:rPr>
        <w:t>«</w:t>
      </w:r>
      <w:r w:rsidRPr="001E6723">
        <w:rPr>
          <w:rFonts w:eastAsia="Calibri"/>
          <w:bCs/>
          <w:lang w:val="fr-FR"/>
        </w:rPr>
        <w:t>7.1.4.1.1</w:t>
      </w:r>
      <w:r w:rsidRPr="001E6723">
        <w:rPr>
          <w:rFonts w:eastAsia="Calibri"/>
          <w:lang w:val="fr-FR"/>
        </w:rPr>
        <w:tab/>
        <w:t>(sans titre)</w:t>
      </w:r>
    </w:p>
    <w:p w:rsidR="005630CA" w:rsidRPr="00EC500C" w:rsidRDefault="005630CA" w:rsidP="005630CA">
      <w:pPr>
        <w:pStyle w:val="SingleTxtG"/>
        <w:tabs>
          <w:tab w:val="left" w:pos="1701"/>
        </w:tabs>
        <w:ind w:left="1701" w:hanging="567"/>
        <w:rPr>
          <w:rFonts w:eastAsia="Calibri"/>
          <w:lang w:val="fr-FR"/>
        </w:rPr>
      </w:pPr>
      <w:r>
        <w:rPr>
          <w:rFonts w:eastAsia="Calibri"/>
          <w:lang w:val="fr-FR"/>
        </w:rPr>
        <w:tab/>
      </w:r>
      <w:r w:rsidRPr="00EC500C">
        <w:rPr>
          <w:rFonts w:eastAsia="Calibri"/>
          <w:lang w:val="fr-FR"/>
        </w:rPr>
        <w:t>Les bateaux à simple coque ne peuvent transporter des marchandises des classes 1, 2, 3, 4.1, 4.2, 4.3, 5.1, 5.2, 6.1, 7, 8 et 9 que dans des quantités limitées conformément au 7.1.4.1.3.</w:t>
      </w:r>
    </w:p>
    <w:p w:rsidR="005630CA" w:rsidRPr="001E6723" w:rsidRDefault="005630CA" w:rsidP="005630CA">
      <w:pPr>
        <w:pStyle w:val="SingleTxtG"/>
        <w:tabs>
          <w:tab w:val="left" w:pos="1701"/>
        </w:tabs>
        <w:ind w:left="1701" w:hanging="567"/>
        <w:rPr>
          <w:rFonts w:eastAsia="Calibri"/>
          <w:lang w:val="fr-FR"/>
        </w:rPr>
      </w:pPr>
      <w:r>
        <w:rPr>
          <w:rFonts w:eastAsia="Calibri"/>
          <w:lang w:val="fr-FR"/>
        </w:rPr>
        <w:tab/>
      </w:r>
      <w:r w:rsidRPr="001E6723">
        <w:rPr>
          <w:rFonts w:eastAsia="Calibri"/>
          <w:lang w:val="fr-FR"/>
        </w:rPr>
        <w:t>Cette disposition s’applique également aux barges de poussage et bateaux à double coque qui ne satisfont pas aux règles de construction supplémentaires des 9.1.0.88 à 9.1.0.95 ou 9.2.0.88 à 9.2.0.95.</w:t>
      </w:r>
    </w:p>
    <w:p w:rsidR="005630CA" w:rsidRPr="001E6723" w:rsidRDefault="005630CA" w:rsidP="005630CA">
      <w:pPr>
        <w:pStyle w:val="SingleTxtG"/>
        <w:tabs>
          <w:tab w:val="left" w:pos="1701"/>
        </w:tabs>
        <w:ind w:left="1701" w:hanging="567"/>
        <w:rPr>
          <w:lang w:val="fr-FR"/>
        </w:rPr>
      </w:pPr>
      <w:r>
        <w:rPr>
          <w:lang w:val="fr-FR"/>
        </w:rPr>
        <w:tab/>
      </w:r>
      <w:r w:rsidRPr="001E6723">
        <w:rPr>
          <w:lang w:val="fr-FR"/>
        </w:rPr>
        <w:t>Pour les convois poussés et les formations à couple, les limitations de quantités énoncées au 7.1.4.1.3 s'appliquent à chaque unité. Pour chaque unité sont autorisés 1 100 000 kg au maximum.</w:t>
      </w:r>
    </w:p>
    <w:p w:rsidR="005630CA" w:rsidRPr="001E6723" w:rsidRDefault="005630CA" w:rsidP="005630CA">
      <w:pPr>
        <w:pStyle w:val="SingleTxtG"/>
        <w:tabs>
          <w:tab w:val="left" w:pos="1701"/>
        </w:tabs>
        <w:ind w:left="1701" w:hanging="567"/>
        <w:rPr>
          <w:rFonts w:eastAsia="Calibri"/>
          <w:lang w:val="fr-FR"/>
        </w:rPr>
      </w:pPr>
      <w:r>
        <w:rPr>
          <w:rFonts w:eastAsia="Calibri"/>
          <w:lang w:val="fr-FR"/>
        </w:rPr>
        <w:tab/>
      </w:r>
      <w:r w:rsidRPr="001E6723">
        <w:rPr>
          <w:rFonts w:eastAsia="Calibri"/>
          <w:lang w:val="fr-FR"/>
        </w:rPr>
        <w:t>Lorsqu’un bateau transporte plusieurs types de marchandises dangereuses, la quantité totale de celles-ci doit ne pas être supérieure à 1 100 000 kg.</w:t>
      </w:r>
    </w:p>
    <w:p w:rsidR="005630CA" w:rsidRPr="001E6723" w:rsidRDefault="005630CA" w:rsidP="005630CA">
      <w:pPr>
        <w:pStyle w:val="SingleTxtG"/>
        <w:rPr>
          <w:rFonts w:eastAsia="Calibri"/>
          <w:lang w:val="fr-FR"/>
        </w:rPr>
      </w:pPr>
      <w:r>
        <w:rPr>
          <w:rFonts w:eastAsia="Calibri"/>
          <w:bCs/>
          <w:lang w:val="fr-FR"/>
        </w:rPr>
        <w:tab/>
      </w:r>
      <w:r>
        <w:rPr>
          <w:rFonts w:eastAsia="Calibri"/>
          <w:bCs/>
          <w:lang w:val="fr-FR"/>
        </w:rPr>
        <w:tab/>
      </w:r>
      <w:r w:rsidRPr="001E6723">
        <w:rPr>
          <w:rFonts w:eastAsia="Calibri"/>
          <w:bCs/>
          <w:lang w:val="fr-FR"/>
        </w:rPr>
        <w:t>7.1.4.1.2</w:t>
      </w:r>
      <w:r w:rsidRPr="001E6723">
        <w:rPr>
          <w:rFonts w:eastAsia="Calibri"/>
          <w:bCs/>
          <w:lang w:val="fr-FR"/>
        </w:rPr>
        <w:tab/>
      </w:r>
      <w:r w:rsidRPr="001E6723">
        <w:rPr>
          <w:rFonts w:eastAsia="Calibri"/>
          <w:lang w:val="fr-FR"/>
        </w:rPr>
        <w:t>(sans titre)</w:t>
      </w:r>
    </w:p>
    <w:p w:rsidR="005630CA" w:rsidRPr="001E6723" w:rsidRDefault="005630CA" w:rsidP="005630CA">
      <w:pPr>
        <w:pStyle w:val="SingleTxtG"/>
        <w:ind w:left="1701"/>
        <w:rPr>
          <w:rFonts w:eastAsia="Calibri"/>
          <w:lang w:val="fr-FR"/>
        </w:rPr>
      </w:pPr>
      <w:r w:rsidRPr="001E6723">
        <w:rPr>
          <w:lang w:val="fr-FR"/>
        </w:rPr>
        <w:t xml:space="preserve">Les bateaux à double coque </w:t>
      </w:r>
      <w:r w:rsidRPr="001E6723">
        <w:rPr>
          <w:rFonts w:eastAsia="Calibri"/>
          <w:lang w:val="fr-FR"/>
        </w:rPr>
        <w:t xml:space="preserve">qui satisfont aux règles de construction supplémentaires des 9.1.0.88 à 9.1.0.95 ou 9.2.0.88 à 9.2.0.95 peuvent transporter des marchandises des classes 2, 3, 4.1, 4.2, 4.3, 5.1, 5.2, 6.1, 7, 8 et 9 </w:t>
      </w:r>
      <w:r w:rsidRPr="001E6723">
        <w:rPr>
          <w:lang w:val="fr-FR"/>
        </w:rPr>
        <w:t>sans limitation de la quantité transportée</w:t>
      </w:r>
      <w:r w:rsidRPr="001E6723">
        <w:rPr>
          <w:rFonts w:eastAsia="Calibri"/>
          <w:lang w:val="fr-FR"/>
        </w:rPr>
        <w:t>.</w:t>
      </w:r>
    </w:p>
    <w:p w:rsidR="005630CA" w:rsidRPr="001E6723" w:rsidRDefault="005630CA" w:rsidP="005630CA">
      <w:pPr>
        <w:pStyle w:val="Bullet2G"/>
        <w:rPr>
          <w:rFonts w:eastAsia="Calibri"/>
          <w:lang w:val="fr-FR"/>
        </w:rPr>
      </w:pPr>
      <w:r w:rsidRPr="001E6723">
        <w:rPr>
          <w:rFonts w:eastAsia="Calibri"/>
          <w:lang w:val="fr-FR"/>
        </w:rPr>
        <w:tab/>
        <w:t>Les marchandises de classe 1 ne peuvent être transportées que dans les quantités énoncées au 7.1.4.1.3</w:t>
      </w:r>
      <w:r>
        <w:rPr>
          <w:rFonts w:eastAsia="Calibri"/>
          <w:lang w:val="fr-FR"/>
        </w:rPr>
        <w:t> ;</w:t>
      </w:r>
    </w:p>
    <w:p w:rsidR="005630CA" w:rsidRPr="001E6723" w:rsidRDefault="005630CA" w:rsidP="005630CA">
      <w:pPr>
        <w:pStyle w:val="Bullet2G"/>
        <w:rPr>
          <w:rFonts w:eastAsia="Calibri"/>
          <w:lang w:val="fr-FR"/>
        </w:rPr>
      </w:pPr>
      <w:r w:rsidRPr="001E6723">
        <w:rPr>
          <w:rFonts w:eastAsia="Calibri"/>
          <w:lang w:val="fr-FR"/>
        </w:rPr>
        <w:t>Les marchandises pour lesquelles une étiquette de danger de modèle No</w:t>
      </w:r>
      <w:r w:rsidR="00E367AD">
        <w:rPr>
          <w:rFonts w:eastAsia="Calibri"/>
          <w:lang w:val="fr-FR"/>
        </w:rPr>
        <w:t> </w:t>
      </w:r>
      <w:r w:rsidRPr="001E6723">
        <w:rPr>
          <w:rFonts w:eastAsia="Calibri"/>
          <w:lang w:val="fr-FR"/>
        </w:rPr>
        <w:t>1 est exigée à la colonne (5) du tableau A du chapitre 3.2, ne peuvent être transportées à bord de chaque unité que dans les quantités énoncées au 7.1.4.1.3.</w:t>
      </w:r>
    </w:p>
    <w:p w:rsidR="005630CA" w:rsidRPr="001E6723" w:rsidRDefault="005630CA" w:rsidP="005630CA">
      <w:pPr>
        <w:overflowPunct/>
        <w:autoSpaceDE/>
        <w:autoSpaceDN/>
        <w:adjustRightInd/>
        <w:rPr>
          <w:lang w:val="fr-FR"/>
        </w:rPr>
      </w:pPr>
    </w:p>
    <w:p w:rsidR="005630CA" w:rsidRPr="001E6723" w:rsidRDefault="005630CA" w:rsidP="005630CA">
      <w:pPr>
        <w:overflowPunct/>
        <w:autoSpaceDE/>
        <w:autoSpaceDN/>
        <w:adjustRightInd/>
        <w:spacing w:after="240"/>
        <w:ind w:left="1701"/>
        <w:rPr>
          <w:lang w:val="fr-FR"/>
        </w:rPr>
        <w:sectPr w:rsidR="005630CA" w:rsidRPr="001E6723" w:rsidSect="006B6EB9">
          <w:headerReference w:type="even" r:id="rId9"/>
          <w:headerReference w:type="default" r:id="rId10"/>
          <w:footerReference w:type="default" r:id="rId11"/>
          <w:pgSz w:w="11906" w:h="16838"/>
          <w:pgMar w:top="1418" w:right="1418" w:bottom="1418" w:left="1418" w:header="709" w:footer="709" w:gutter="0"/>
          <w:cols w:space="708"/>
          <w:titlePg/>
          <w:docGrid w:linePitch="360"/>
        </w:sectPr>
      </w:pPr>
    </w:p>
    <w:p w:rsidR="00834CE6" w:rsidRDefault="00834CE6">
      <w:pPr>
        <w:suppressAutoHyphens w:val="0"/>
        <w:kinsoku/>
        <w:overflowPunct/>
        <w:autoSpaceDE/>
        <w:autoSpaceDN/>
        <w:adjustRightInd/>
        <w:snapToGrid/>
        <w:spacing w:after="200" w:line="276" w:lineRule="auto"/>
        <w:rPr>
          <w:b/>
          <w:bCs/>
        </w:rPr>
      </w:pPr>
      <w:r w:rsidRPr="001E6723">
        <w:rPr>
          <w:lang w:val="fr-FR"/>
        </w:rPr>
        <w:lastRenderedPageBreak/>
        <w:t>7.1.4.1.3</w:t>
      </w:r>
      <w:r w:rsidRPr="001E6723">
        <w:rPr>
          <w:lang w:val="fr-FR"/>
        </w:rPr>
        <w:tab/>
        <w:t>Limitations de quantités</w:t>
      </w:r>
    </w:p>
    <w:tbl>
      <w:tblPr>
        <w:tblStyle w:val="TableGrid1"/>
        <w:tblW w:w="0" w:type="auto"/>
        <w:tblInd w:w="-227" w:type="dxa"/>
        <w:tblLayout w:type="fixed"/>
        <w:tblLook w:val="04A0" w:firstRow="1" w:lastRow="0" w:firstColumn="1" w:lastColumn="0" w:noHBand="0" w:noVBand="1"/>
      </w:tblPr>
      <w:tblGrid>
        <w:gridCol w:w="794"/>
        <w:gridCol w:w="8788"/>
        <w:gridCol w:w="459"/>
        <w:gridCol w:w="459"/>
        <w:gridCol w:w="459"/>
        <w:gridCol w:w="459"/>
        <w:gridCol w:w="459"/>
        <w:gridCol w:w="459"/>
        <w:gridCol w:w="459"/>
      </w:tblGrid>
      <w:tr w:rsidR="00834CE6" w:rsidRPr="001E6723" w:rsidTr="00AA3B13">
        <w:trPr>
          <w:cantSplit/>
          <w:trHeight w:val="737"/>
          <w:tblHeader/>
        </w:trPr>
        <w:tc>
          <w:tcPr>
            <w:tcW w:w="794" w:type="dxa"/>
          </w:tcPr>
          <w:p w:rsidR="00834CE6" w:rsidRPr="001E6723" w:rsidRDefault="00834CE6" w:rsidP="001A6CA2">
            <w:pPr>
              <w:overflowPunct/>
              <w:autoSpaceDE/>
              <w:autoSpaceDN/>
              <w:adjustRightInd/>
              <w:spacing w:after="240"/>
              <w:ind w:left="-111"/>
              <w:rPr>
                <w:sz w:val="18"/>
                <w:szCs w:val="18"/>
                <w:lang w:val="fr-FR"/>
              </w:rPr>
            </w:pPr>
            <w:r w:rsidRPr="001E6723">
              <w:rPr>
                <w:b/>
                <w:lang w:val="fr-FR"/>
              </w:rPr>
              <w:t>Classe</w:t>
            </w:r>
          </w:p>
        </w:tc>
        <w:tc>
          <w:tcPr>
            <w:tcW w:w="8788" w:type="dxa"/>
            <w:tcBorders>
              <w:right w:val="single" w:sz="4" w:space="0" w:color="auto"/>
            </w:tcBorders>
          </w:tcPr>
          <w:p w:rsidR="00834CE6" w:rsidRPr="001E6723" w:rsidRDefault="00834CE6" w:rsidP="001A6CA2">
            <w:pPr>
              <w:overflowPunct/>
              <w:autoSpaceDE/>
              <w:autoSpaceDN/>
              <w:adjustRightInd/>
              <w:spacing w:after="240"/>
              <w:rPr>
                <w:sz w:val="18"/>
                <w:szCs w:val="18"/>
                <w:lang w:val="fr-FR"/>
              </w:rPr>
            </w:pPr>
            <w:r w:rsidRPr="001E6723">
              <w:rPr>
                <w:b/>
                <w:lang w:val="fr-FR"/>
              </w:rPr>
              <w:t>Description</w:t>
            </w:r>
          </w:p>
        </w:tc>
        <w:tc>
          <w:tcPr>
            <w:tcW w:w="459" w:type="dxa"/>
            <w:tcBorders>
              <w:top w:val="nil"/>
              <w:left w:val="single" w:sz="4" w:space="0" w:color="auto"/>
              <w:bottom w:val="single" w:sz="4" w:space="0" w:color="auto"/>
              <w:right w:val="nil"/>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p>
        </w:tc>
        <w:tc>
          <w:tcPr>
            <w:tcW w:w="459" w:type="dxa"/>
            <w:tcBorders>
              <w:top w:val="nil"/>
              <w:left w:val="nil"/>
              <w:bottom w:val="single" w:sz="4" w:space="0" w:color="auto"/>
              <w:right w:val="nil"/>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p>
        </w:tc>
        <w:tc>
          <w:tcPr>
            <w:tcW w:w="459" w:type="dxa"/>
            <w:tcBorders>
              <w:top w:val="nil"/>
              <w:left w:val="nil"/>
              <w:bottom w:val="single" w:sz="4" w:space="0" w:color="auto"/>
              <w:right w:val="nil"/>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p>
        </w:tc>
        <w:tc>
          <w:tcPr>
            <w:tcW w:w="459" w:type="dxa"/>
            <w:tcBorders>
              <w:top w:val="nil"/>
              <w:left w:val="nil"/>
              <w:bottom w:val="single" w:sz="4" w:space="0" w:color="auto"/>
              <w:right w:val="nil"/>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p>
        </w:tc>
        <w:tc>
          <w:tcPr>
            <w:tcW w:w="459" w:type="dxa"/>
            <w:tcBorders>
              <w:top w:val="nil"/>
              <w:left w:val="nil"/>
              <w:bottom w:val="single" w:sz="4" w:space="0" w:color="auto"/>
              <w:right w:val="nil"/>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p>
        </w:tc>
        <w:tc>
          <w:tcPr>
            <w:tcW w:w="459" w:type="dxa"/>
            <w:tcBorders>
              <w:top w:val="nil"/>
              <w:left w:val="nil"/>
              <w:bottom w:val="single" w:sz="4" w:space="0" w:color="auto"/>
              <w:right w:val="nil"/>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p>
        </w:tc>
        <w:tc>
          <w:tcPr>
            <w:tcW w:w="459" w:type="dxa"/>
            <w:tcBorders>
              <w:top w:val="nil"/>
              <w:left w:val="nil"/>
              <w:bottom w:val="single" w:sz="4" w:space="0" w:color="auto"/>
              <w:right w:val="nil"/>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p>
        </w:tc>
      </w:tr>
      <w:tr w:rsidR="00834CE6" w:rsidRPr="001E6723" w:rsidTr="00834CE6">
        <w:trPr>
          <w:trHeight w:val="1448"/>
          <w:tblHeader/>
        </w:trPr>
        <w:tc>
          <w:tcPr>
            <w:tcW w:w="794" w:type="dxa"/>
          </w:tcPr>
          <w:p w:rsidR="00834CE6" w:rsidRPr="001E6723" w:rsidRDefault="00834CE6" w:rsidP="001A6CA2">
            <w:pPr>
              <w:overflowPunct/>
              <w:autoSpaceDE/>
              <w:autoSpaceDN/>
              <w:adjustRightInd/>
              <w:spacing w:after="240"/>
              <w:ind w:left="-111"/>
              <w:rPr>
                <w:sz w:val="18"/>
                <w:szCs w:val="18"/>
                <w:lang w:val="fr-FR"/>
              </w:rPr>
            </w:pPr>
          </w:p>
        </w:tc>
        <w:tc>
          <w:tcPr>
            <w:tcW w:w="8788" w:type="dxa"/>
          </w:tcPr>
          <w:p w:rsidR="00834CE6" w:rsidRPr="001E6723" w:rsidRDefault="00834CE6" w:rsidP="001A6CA2">
            <w:pPr>
              <w:overflowPunct/>
              <w:autoSpaceDE/>
              <w:autoSpaceDN/>
              <w:adjustRightInd/>
              <w:spacing w:after="240"/>
              <w:rPr>
                <w:sz w:val="18"/>
                <w:szCs w:val="18"/>
                <w:lang w:val="fr-FR"/>
              </w:rPr>
            </w:pPr>
          </w:p>
        </w:tc>
        <w:tc>
          <w:tcPr>
            <w:tcW w:w="459" w:type="dxa"/>
            <w:tcBorders>
              <w:top w:val="single" w:sz="4" w:space="0" w:color="auto"/>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r w:rsidRPr="001E6723">
              <w:rPr>
                <w:sz w:val="18"/>
                <w:szCs w:val="18"/>
                <w:lang w:val="fr-FR"/>
              </w:rPr>
              <w:t>0 kg</w:t>
            </w:r>
          </w:p>
        </w:tc>
        <w:tc>
          <w:tcPr>
            <w:tcW w:w="459" w:type="dxa"/>
            <w:tcBorders>
              <w:top w:val="single" w:sz="4" w:space="0" w:color="auto"/>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r w:rsidRPr="001E6723">
              <w:rPr>
                <w:sz w:val="18"/>
                <w:szCs w:val="18"/>
                <w:lang w:val="fr-FR"/>
              </w:rPr>
              <w:t>90 kg</w:t>
            </w:r>
          </w:p>
        </w:tc>
        <w:tc>
          <w:tcPr>
            <w:tcW w:w="459" w:type="dxa"/>
            <w:tcBorders>
              <w:top w:val="single" w:sz="4" w:space="0" w:color="auto"/>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r w:rsidRPr="001E6723">
              <w:rPr>
                <w:sz w:val="18"/>
                <w:szCs w:val="18"/>
                <w:lang w:val="fr-FR"/>
              </w:rPr>
              <w:t>15 000 kg</w:t>
            </w:r>
          </w:p>
        </w:tc>
        <w:tc>
          <w:tcPr>
            <w:tcW w:w="459" w:type="dxa"/>
            <w:tcBorders>
              <w:top w:val="single" w:sz="4" w:space="0" w:color="auto"/>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r w:rsidRPr="001E6723">
              <w:rPr>
                <w:sz w:val="18"/>
                <w:szCs w:val="18"/>
                <w:lang w:val="fr-FR"/>
              </w:rPr>
              <w:t>50 000 kg</w:t>
            </w:r>
          </w:p>
        </w:tc>
        <w:tc>
          <w:tcPr>
            <w:tcW w:w="459" w:type="dxa"/>
            <w:tcBorders>
              <w:top w:val="single" w:sz="4" w:space="0" w:color="auto"/>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r w:rsidRPr="001E6723">
              <w:rPr>
                <w:sz w:val="18"/>
                <w:szCs w:val="18"/>
                <w:lang w:val="fr-FR"/>
              </w:rPr>
              <w:t>120 000 kg</w:t>
            </w:r>
          </w:p>
        </w:tc>
        <w:tc>
          <w:tcPr>
            <w:tcW w:w="459" w:type="dxa"/>
            <w:tcBorders>
              <w:top w:val="single" w:sz="4" w:space="0" w:color="auto"/>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r w:rsidRPr="001E6723">
              <w:rPr>
                <w:sz w:val="18"/>
                <w:szCs w:val="18"/>
                <w:lang w:val="fr-FR"/>
              </w:rPr>
              <w:t>300 000 kg</w:t>
            </w:r>
          </w:p>
        </w:tc>
        <w:tc>
          <w:tcPr>
            <w:tcW w:w="459" w:type="dxa"/>
            <w:tcBorders>
              <w:top w:val="single" w:sz="4" w:space="0" w:color="auto"/>
            </w:tcBorders>
            <w:textDirection w:val="tbRl"/>
          </w:tcPr>
          <w:p w:rsidR="00834CE6" w:rsidRPr="001E6723" w:rsidRDefault="00834CE6" w:rsidP="001A6CA2">
            <w:pPr>
              <w:overflowPunct/>
              <w:autoSpaceDE/>
              <w:autoSpaceDN/>
              <w:adjustRightInd/>
              <w:spacing w:after="240"/>
              <w:ind w:left="113" w:right="113"/>
              <w:jc w:val="center"/>
              <w:rPr>
                <w:sz w:val="18"/>
                <w:szCs w:val="18"/>
                <w:lang w:val="fr-FR"/>
              </w:rPr>
            </w:pPr>
            <w:r w:rsidRPr="001E6723">
              <w:rPr>
                <w:sz w:val="18"/>
                <w:szCs w:val="18"/>
                <w:lang w:val="fr-FR"/>
              </w:rPr>
              <w:t>1 100 000 kg</w:t>
            </w: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1</w:t>
            </w:r>
          </w:p>
        </w:tc>
        <w:tc>
          <w:tcPr>
            <w:tcW w:w="8788" w:type="dxa"/>
          </w:tcPr>
          <w:p w:rsidR="00834CE6" w:rsidRPr="001E6723" w:rsidRDefault="00834CE6" w:rsidP="001A6CA2">
            <w:pPr>
              <w:overflowPunct/>
              <w:autoSpaceDE/>
              <w:autoSpaceDN/>
              <w:adjustRightInd/>
              <w:rPr>
                <w:sz w:val="18"/>
                <w:szCs w:val="18"/>
                <w:vertAlign w:val="superscript"/>
                <w:lang w:val="fr-FR"/>
              </w:rPr>
            </w:pPr>
            <w:r w:rsidRPr="001E6723">
              <w:rPr>
                <w:rFonts w:eastAsia="Calibri"/>
                <w:sz w:val="18"/>
                <w:szCs w:val="18"/>
                <w:lang w:val="fr-FR"/>
              </w:rPr>
              <w:t xml:space="preserve">Tous les matières et objets de la division 1.1 du groupe de compatibilité A </w:t>
            </w:r>
            <w:r w:rsidRPr="001E6723">
              <w:rPr>
                <w:rFonts w:eastAsia="Calibri"/>
                <w:sz w:val="18"/>
                <w:szCs w:val="18"/>
                <w:vertAlign w:val="superscript"/>
                <w:lang w:val="fr-FR"/>
              </w:rPr>
              <w:t>1)</w:t>
            </w: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rPr>
                <w:sz w:val="18"/>
                <w:szCs w:val="18"/>
                <w:lang w:val="fr-FR"/>
              </w:rPr>
            </w:pPr>
          </w:p>
        </w:tc>
        <w:tc>
          <w:tcPr>
            <w:tcW w:w="8788" w:type="dxa"/>
            <w:tcBorders>
              <w:right w:val="single" w:sz="6" w:space="0" w:color="auto"/>
            </w:tcBorders>
          </w:tcPr>
          <w:p w:rsidR="00834CE6" w:rsidRPr="001E6723" w:rsidRDefault="00834CE6" w:rsidP="001A6CA2">
            <w:pPr>
              <w:overflowPunct/>
              <w:autoSpaceDE/>
              <w:autoSpaceDN/>
              <w:adjustRightInd/>
              <w:rPr>
                <w:sz w:val="18"/>
                <w:szCs w:val="18"/>
                <w:vertAlign w:val="superscript"/>
                <w:lang w:val="fr-FR"/>
              </w:rPr>
            </w:pPr>
            <w:r w:rsidRPr="001E6723">
              <w:rPr>
                <w:rFonts w:eastAsia="Calibri"/>
                <w:sz w:val="18"/>
                <w:szCs w:val="18"/>
                <w:lang w:val="fr-FR"/>
              </w:rPr>
              <w:t xml:space="preserve">Tous les matières et objets de la division 1.1 des groupes de compatibilité B, C, D, E, F, G, J ou L </w:t>
            </w:r>
            <w:r w:rsidRPr="001E6723">
              <w:rPr>
                <w:rFonts w:eastAsia="Calibri"/>
                <w:sz w:val="18"/>
                <w:szCs w:val="18"/>
                <w:vertAlign w:val="superscript"/>
                <w:lang w:val="fr-FR"/>
              </w:rPr>
              <w:t>2)</w:t>
            </w: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rPr>
                <w:sz w:val="18"/>
                <w:szCs w:val="18"/>
                <w:lang w:val="fr-FR"/>
              </w:rPr>
            </w:pPr>
          </w:p>
        </w:tc>
        <w:tc>
          <w:tcPr>
            <w:tcW w:w="8788" w:type="dxa"/>
            <w:tcBorders>
              <w:right w:val="single" w:sz="6" w:space="0" w:color="auto"/>
            </w:tcBorders>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Tous les matières et objets de la division 1.2 des groupes de compatibilité B, C, D, E, F, G, H, J ou L</w:t>
            </w: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rPr>
                <w:sz w:val="18"/>
                <w:szCs w:val="18"/>
                <w:lang w:val="fr-FR"/>
              </w:rPr>
            </w:pPr>
          </w:p>
        </w:tc>
        <w:tc>
          <w:tcPr>
            <w:tcW w:w="8788" w:type="dxa"/>
            <w:tcBorders>
              <w:right w:val="single" w:sz="6" w:space="0" w:color="auto"/>
            </w:tcBorders>
          </w:tcPr>
          <w:p w:rsidR="00834CE6" w:rsidRPr="001E6723" w:rsidRDefault="00834CE6" w:rsidP="001A6CA2">
            <w:pPr>
              <w:overflowPunct/>
              <w:autoSpaceDE/>
              <w:autoSpaceDN/>
              <w:adjustRightInd/>
              <w:rPr>
                <w:sz w:val="18"/>
                <w:szCs w:val="18"/>
                <w:vertAlign w:val="superscript"/>
                <w:lang w:val="fr-FR"/>
              </w:rPr>
            </w:pPr>
            <w:r w:rsidRPr="001E6723">
              <w:rPr>
                <w:rFonts w:eastAsia="Calibri"/>
                <w:sz w:val="18"/>
                <w:szCs w:val="18"/>
                <w:lang w:val="fr-FR"/>
              </w:rPr>
              <w:t xml:space="preserve">Tous les matières et objets de la division 1.3 des groupes de compatibilité C, G, H, J ou L </w:t>
            </w:r>
            <w:r w:rsidRPr="001E6723">
              <w:rPr>
                <w:rFonts w:eastAsia="Calibri"/>
                <w:sz w:val="18"/>
                <w:szCs w:val="18"/>
                <w:vertAlign w:val="superscript"/>
                <w:lang w:val="fr-FR"/>
              </w:rPr>
              <w:t>3)</w:t>
            </w: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rPr>
                <w:sz w:val="18"/>
                <w:szCs w:val="18"/>
                <w:lang w:val="fr-FR"/>
              </w:rPr>
            </w:pPr>
          </w:p>
        </w:tc>
        <w:tc>
          <w:tcPr>
            <w:tcW w:w="8788" w:type="dxa"/>
            <w:tcBorders>
              <w:right w:val="single" w:sz="6" w:space="0" w:color="auto"/>
            </w:tcBorders>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Tous les matières et objets de la division 1.4 des groupes de compatibilité B, C, D, E, F, G ou S</w:t>
            </w: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rPr>
                <w:sz w:val="18"/>
                <w:szCs w:val="18"/>
                <w:lang w:val="fr-FR"/>
              </w:rPr>
            </w:pPr>
          </w:p>
        </w:tc>
        <w:tc>
          <w:tcPr>
            <w:tcW w:w="8788" w:type="dxa"/>
            <w:tcBorders>
              <w:right w:val="single" w:sz="6" w:space="0" w:color="auto"/>
            </w:tcBorders>
          </w:tcPr>
          <w:p w:rsidR="00834CE6" w:rsidRPr="001E6723" w:rsidRDefault="00834CE6" w:rsidP="001A6CA2">
            <w:pPr>
              <w:overflowPunct/>
              <w:autoSpaceDE/>
              <w:autoSpaceDN/>
              <w:adjustRightInd/>
              <w:rPr>
                <w:sz w:val="18"/>
                <w:szCs w:val="18"/>
                <w:vertAlign w:val="superscript"/>
                <w:lang w:val="fr-FR"/>
              </w:rPr>
            </w:pPr>
            <w:r w:rsidRPr="001E6723">
              <w:rPr>
                <w:rFonts w:eastAsia="Calibri"/>
                <w:sz w:val="18"/>
                <w:szCs w:val="18"/>
                <w:lang w:val="fr-FR"/>
              </w:rPr>
              <w:t xml:space="preserve">Toutes les matières de la division 1.5 du groupe de compatibilité D </w:t>
            </w:r>
            <w:r w:rsidRPr="001E6723">
              <w:rPr>
                <w:rFonts w:eastAsia="Calibri"/>
                <w:sz w:val="18"/>
                <w:szCs w:val="18"/>
                <w:vertAlign w:val="superscript"/>
                <w:lang w:val="fr-FR"/>
              </w:rPr>
              <w:t>2)</w:t>
            </w: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rPr>
                <w:sz w:val="18"/>
                <w:szCs w:val="18"/>
                <w:lang w:val="fr-FR"/>
              </w:rPr>
            </w:pPr>
          </w:p>
        </w:tc>
        <w:tc>
          <w:tcPr>
            <w:tcW w:w="8788" w:type="dxa"/>
            <w:tcBorders>
              <w:right w:val="single" w:sz="6" w:space="0" w:color="auto"/>
            </w:tcBorders>
          </w:tcPr>
          <w:p w:rsidR="00834CE6" w:rsidRPr="001E6723" w:rsidRDefault="00834CE6" w:rsidP="001A6CA2">
            <w:pPr>
              <w:overflowPunct/>
              <w:autoSpaceDE/>
              <w:autoSpaceDN/>
              <w:adjustRightInd/>
              <w:rPr>
                <w:sz w:val="18"/>
                <w:szCs w:val="18"/>
                <w:vertAlign w:val="superscript"/>
                <w:lang w:val="fr-FR"/>
              </w:rPr>
            </w:pPr>
            <w:r w:rsidRPr="001E6723">
              <w:rPr>
                <w:rFonts w:eastAsia="Calibri"/>
                <w:sz w:val="18"/>
                <w:szCs w:val="18"/>
                <w:lang w:val="fr-FR"/>
              </w:rPr>
              <w:t xml:space="preserve">Tous les objets de division 1.6 du groupe de compatibilité N </w:t>
            </w:r>
            <w:r w:rsidRPr="001E6723">
              <w:rPr>
                <w:rFonts w:eastAsia="Calibri"/>
                <w:sz w:val="18"/>
                <w:szCs w:val="18"/>
                <w:vertAlign w:val="superscript"/>
                <w:lang w:val="fr-FR"/>
              </w:rPr>
              <w:t>3)</w:t>
            </w: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rPr>
                <w:sz w:val="18"/>
                <w:szCs w:val="18"/>
                <w:lang w:val="fr-FR"/>
              </w:rPr>
            </w:pPr>
          </w:p>
        </w:tc>
        <w:tc>
          <w:tcPr>
            <w:tcW w:w="8788" w:type="dxa"/>
            <w:tcBorders>
              <w:right w:val="single" w:sz="6" w:space="0" w:color="auto"/>
            </w:tcBorders>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Emballages vides, non nettoyés</w:t>
            </w: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834CE6">
        <w:tc>
          <w:tcPr>
            <w:tcW w:w="794" w:type="dxa"/>
            <w:tcBorders>
              <w:top w:val="nil"/>
              <w:bottom w:val="single" w:sz="4" w:space="0" w:color="auto"/>
            </w:tcBorders>
          </w:tcPr>
          <w:p w:rsidR="00834CE6" w:rsidRPr="001E6723" w:rsidRDefault="00834CE6" w:rsidP="001A6CA2">
            <w:pPr>
              <w:overflowPunct/>
              <w:autoSpaceDE/>
              <w:autoSpaceDN/>
              <w:adjustRightInd/>
              <w:ind w:left="-111"/>
              <w:rPr>
                <w:sz w:val="18"/>
                <w:szCs w:val="18"/>
                <w:lang w:val="fr-FR"/>
              </w:rPr>
            </w:pPr>
          </w:p>
        </w:tc>
        <w:tc>
          <w:tcPr>
            <w:tcW w:w="8788" w:type="dxa"/>
          </w:tcPr>
          <w:p w:rsidR="00834CE6" w:rsidRPr="001E6723" w:rsidRDefault="00834CE6" w:rsidP="001A6CA2">
            <w:pPr>
              <w:overflowPunct/>
              <w:autoSpaceDE/>
              <w:autoSpaceDN/>
              <w:adjustRightInd/>
              <w:ind w:left="731" w:hanging="731"/>
              <w:rPr>
                <w:rFonts w:eastAsia="Calibri"/>
                <w:b/>
                <w:bCs/>
                <w:i/>
                <w:sz w:val="18"/>
                <w:szCs w:val="18"/>
                <w:lang w:val="fr-FR"/>
              </w:rPr>
            </w:pPr>
            <w:r w:rsidRPr="001E6723">
              <w:rPr>
                <w:rFonts w:eastAsia="Calibri"/>
                <w:b/>
                <w:bCs/>
                <w:i/>
                <w:sz w:val="18"/>
                <w:szCs w:val="18"/>
                <w:lang w:val="fr-FR"/>
              </w:rPr>
              <w:t>NOTA :</w:t>
            </w:r>
          </w:p>
          <w:p w:rsidR="00834CE6" w:rsidRPr="001E6723" w:rsidRDefault="00834CE6" w:rsidP="001A6CA2">
            <w:pPr>
              <w:overflowPunct/>
              <w:autoSpaceDE/>
              <w:autoSpaceDN/>
              <w:adjustRightInd/>
              <w:ind w:left="731" w:hanging="731"/>
              <w:rPr>
                <w:rFonts w:eastAsia="Calibri"/>
                <w:i/>
                <w:sz w:val="18"/>
                <w:szCs w:val="18"/>
                <w:lang w:val="fr-FR"/>
              </w:rPr>
            </w:pPr>
            <w:r w:rsidRPr="001E6723">
              <w:rPr>
                <w:rFonts w:eastAsia="Calibri"/>
                <w:i/>
                <w:sz w:val="18"/>
                <w:szCs w:val="18"/>
                <w:vertAlign w:val="superscript"/>
                <w:lang w:val="fr-FR"/>
              </w:rPr>
              <w:t xml:space="preserve">1) </w:t>
            </w:r>
            <w:r w:rsidRPr="001E6723">
              <w:rPr>
                <w:rFonts w:eastAsia="Calibri"/>
                <w:i/>
                <w:sz w:val="18"/>
                <w:szCs w:val="18"/>
                <w:lang w:val="fr-FR"/>
              </w:rPr>
              <w:t>En trois lots au moins de 30 kg chacun maximum, distance entre les lots d’au moins 10,00 m.</w:t>
            </w:r>
          </w:p>
          <w:p w:rsidR="00834CE6" w:rsidRPr="001E6723" w:rsidRDefault="00834CE6" w:rsidP="001A6CA2">
            <w:pPr>
              <w:overflowPunct/>
              <w:autoSpaceDE/>
              <w:autoSpaceDN/>
              <w:adjustRightInd/>
              <w:ind w:left="731" w:hanging="731"/>
              <w:rPr>
                <w:rFonts w:eastAsia="Calibri"/>
                <w:i/>
                <w:sz w:val="18"/>
                <w:szCs w:val="18"/>
                <w:lang w:val="fr-FR"/>
              </w:rPr>
            </w:pPr>
            <w:r w:rsidRPr="001E6723">
              <w:rPr>
                <w:rFonts w:eastAsia="Calibri"/>
                <w:i/>
                <w:sz w:val="18"/>
                <w:szCs w:val="18"/>
                <w:vertAlign w:val="superscript"/>
                <w:lang w:val="fr-FR"/>
              </w:rPr>
              <w:t xml:space="preserve">2) </w:t>
            </w:r>
            <w:r w:rsidRPr="001E6723">
              <w:rPr>
                <w:rFonts w:eastAsia="Calibri"/>
                <w:i/>
                <w:sz w:val="18"/>
                <w:szCs w:val="18"/>
                <w:lang w:val="fr-FR"/>
              </w:rPr>
              <w:t>En trois lots au moins de 5 000 kg chacun maximum, distance entre les lots d'au moins 10,00 m.</w:t>
            </w:r>
          </w:p>
          <w:p w:rsidR="00834CE6" w:rsidRPr="001E6723" w:rsidRDefault="00834CE6" w:rsidP="001A6CA2">
            <w:pPr>
              <w:overflowPunct/>
              <w:autoSpaceDE/>
              <w:autoSpaceDN/>
              <w:adjustRightInd/>
              <w:ind w:left="731" w:hanging="731"/>
              <w:rPr>
                <w:i/>
                <w:sz w:val="18"/>
                <w:szCs w:val="18"/>
                <w:lang w:val="fr-FR"/>
              </w:rPr>
            </w:pPr>
            <w:r w:rsidRPr="001E6723">
              <w:rPr>
                <w:rFonts w:eastAsia="Calibri"/>
                <w:i/>
                <w:sz w:val="18"/>
                <w:szCs w:val="18"/>
                <w:vertAlign w:val="superscript"/>
                <w:lang w:val="fr-FR"/>
              </w:rPr>
              <w:t xml:space="preserve">3) </w:t>
            </w:r>
            <w:r w:rsidRPr="001E6723">
              <w:rPr>
                <w:rFonts w:eastAsia="Calibri"/>
                <w:i/>
                <w:sz w:val="18"/>
                <w:szCs w:val="18"/>
                <w:lang w:val="fr-FR"/>
              </w:rPr>
              <w:t>Pas plus de 100 000 kg par cale. Une cloison en bois est admise pour subdiviser une cale.</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2</w:t>
            </w:r>
          </w:p>
        </w:tc>
        <w:tc>
          <w:tcPr>
            <w:tcW w:w="8788" w:type="dxa"/>
            <w:tcBorders>
              <w:top w:val="single" w:sz="6" w:space="0" w:color="auto"/>
              <w:bottom w:val="single" w:sz="6" w:space="0" w:color="auto"/>
              <w:right w:val="single" w:sz="6" w:space="0" w:color="auto"/>
            </w:tcBorders>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Toutes les marchandises pour lesquelles le modèle d’étiquette No. 2.1 est exigé à la colonne (5) du tableau A du chapitre 3.2 : total</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r w:rsidRPr="001E6723">
              <w:rPr>
                <w:lang w:val="fr-FR"/>
              </w:rPr>
              <w:t>X</w:t>
            </w:r>
          </w:p>
        </w:tc>
        <w:tc>
          <w:tcPr>
            <w:tcW w:w="459" w:type="dxa"/>
          </w:tcPr>
          <w:p w:rsidR="00834CE6" w:rsidRPr="001E6723" w:rsidRDefault="00834CE6" w:rsidP="001A6CA2">
            <w:pP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jc w:val="center"/>
              <w:rPr>
                <w:sz w:val="18"/>
                <w:szCs w:val="18"/>
                <w:lang w:val="fr-FR"/>
              </w:rPr>
            </w:pPr>
          </w:p>
        </w:tc>
        <w:tc>
          <w:tcPr>
            <w:tcW w:w="8788" w:type="dxa"/>
            <w:tcBorders>
              <w:top w:val="single" w:sz="6" w:space="0" w:color="auto"/>
              <w:bottom w:val="single" w:sz="6" w:space="0" w:color="auto"/>
              <w:right w:val="single" w:sz="6" w:space="0" w:color="auto"/>
            </w:tcBorders>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Toutes les marchandises pour lesquelles le modèle d’étiquette No. 2.3 est exigé à la colonne (5) du tableau A du chapitre 3.2 : total</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r>
      <w:tr w:rsidR="00834CE6" w:rsidRPr="001E6723" w:rsidTr="00834CE6">
        <w:tc>
          <w:tcPr>
            <w:tcW w:w="794" w:type="dxa"/>
            <w:tcBorders>
              <w:top w:val="nil"/>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Borders>
              <w:top w:val="single" w:sz="6" w:space="0" w:color="auto"/>
              <w:bottom w:val="single" w:sz="6" w:space="0" w:color="auto"/>
              <w:right w:val="single" w:sz="6" w:space="0" w:color="auto"/>
            </w:tcBorders>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r w:rsidRPr="001E6723">
              <w:rPr>
                <w:lang w:val="fr-FR"/>
              </w:rPr>
              <w:t>X</w:t>
            </w: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3</w:t>
            </w:r>
          </w:p>
        </w:tc>
        <w:tc>
          <w:tcPr>
            <w:tcW w:w="8788" w:type="dxa"/>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Toutes les marchandises des groupes d'emballage I ou II, pour lesquelles, en plus de l'étiquette du modèle No 3, une étiquette du modèle No. 6.1 est exigée à la colonne (5) du tableau A du chapitre 3.2 : total</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rFonts w:eastAsia="Calibri"/>
                <w:sz w:val="18"/>
                <w:szCs w:val="18"/>
                <w:lang w:val="fr-FR"/>
              </w:rPr>
              <w:t>Toutes les autres marchandises des groupes d’emballage I ou II : total</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834CE6">
        <w:tc>
          <w:tcPr>
            <w:tcW w:w="794" w:type="dxa"/>
            <w:tcBorders>
              <w:bottom w:val="nil"/>
            </w:tcBorders>
          </w:tcPr>
          <w:p w:rsidR="00834CE6" w:rsidRPr="001E6723" w:rsidRDefault="00834CE6" w:rsidP="001A6CA2">
            <w:pPr>
              <w:pageBreakBefore/>
              <w:overflowPunct/>
              <w:autoSpaceDE/>
              <w:autoSpaceDN/>
              <w:adjustRightInd/>
              <w:ind w:left="-113"/>
              <w:jc w:val="center"/>
              <w:rPr>
                <w:b/>
                <w:sz w:val="18"/>
                <w:szCs w:val="18"/>
                <w:lang w:val="fr-FR"/>
              </w:rPr>
            </w:pPr>
            <w:r w:rsidRPr="001E6723">
              <w:rPr>
                <w:b/>
                <w:sz w:val="18"/>
                <w:szCs w:val="18"/>
                <w:lang w:val="fr-FR"/>
              </w:rPr>
              <w:lastRenderedPageBreak/>
              <w:t>4.1</w:t>
            </w:r>
          </w:p>
        </w:tc>
        <w:tc>
          <w:tcPr>
            <w:tcW w:w="8788" w:type="dxa"/>
          </w:tcPr>
          <w:p w:rsidR="00834CE6" w:rsidRPr="001E6723" w:rsidRDefault="00834CE6" w:rsidP="001A6CA2">
            <w:pPr>
              <w:tabs>
                <w:tab w:val="left" w:pos="-340"/>
                <w:tab w:val="left" w:pos="1418"/>
              </w:tabs>
              <w:rPr>
                <w:sz w:val="18"/>
                <w:szCs w:val="18"/>
                <w:lang w:val="fr-FR"/>
              </w:rPr>
            </w:pPr>
            <w:r w:rsidRPr="001E6723">
              <w:rPr>
                <w:rFonts w:eastAsia="Calibri"/>
                <w:sz w:val="18"/>
                <w:szCs w:val="18"/>
                <w:lang w:val="fr-FR"/>
              </w:rPr>
              <w:t>Nos. ONU 3221, 3222, 3231 et 3232 : total</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overflowPunct/>
              <w:autoSpaceDE/>
              <w:autoSpaceDN/>
              <w:adjustRightInd/>
              <w:rPr>
                <w:rFonts w:eastAsia="Calibri"/>
                <w:sz w:val="18"/>
                <w:szCs w:val="18"/>
                <w:lang w:val="fr-FR"/>
              </w:rPr>
            </w:pPr>
            <w:r w:rsidRPr="001E6723">
              <w:rPr>
                <w:rFonts w:eastAsia="Calibri"/>
                <w:sz w:val="18"/>
                <w:szCs w:val="18"/>
                <w:lang w:val="fr-FR"/>
              </w:rPr>
              <w:t>Toutes les marchandises du groupe d'emballage I ;</w:t>
            </w:r>
          </w:p>
          <w:p w:rsidR="00834CE6" w:rsidRPr="001E6723" w:rsidRDefault="00834CE6" w:rsidP="001A6CA2">
            <w:pPr>
              <w:overflowPunct/>
              <w:autoSpaceDE/>
              <w:autoSpaceDN/>
              <w:adjustRightInd/>
              <w:rPr>
                <w:rFonts w:eastAsia="Calibri"/>
                <w:sz w:val="18"/>
                <w:szCs w:val="18"/>
                <w:lang w:val="fr-FR"/>
              </w:rPr>
            </w:pPr>
            <w:r w:rsidRPr="001E6723">
              <w:rPr>
                <w:rFonts w:eastAsia="Calibri"/>
                <w:sz w:val="18"/>
                <w:szCs w:val="18"/>
                <w:lang w:val="fr-FR"/>
              </w:rPr>
              <w:t>Toutes les marchandises du groupe d’emballage II, pour lesquelles, en plus de l’étiquette du modèle No 4.1, une étiquette du modèle No 6.1 est exigée à la colonne (5) du tableau A du chapitre 3.2 ;</w:t>
            </w:r>
          </w:p>
          <w:p w:rsidR="00834CE6" w:rsidRPr="001E6723" w:rsidRDefault="00834CE6" w:rsidP="001A6CA2">
            <w:pPr>
              <w:overflowPunct/>
              <w:autoSpaceDE/>
              <w:autoSpaceDN/>
              <w:adjustRightInd/>
              <w:rPr>
                <w:rFonts w:eastAsia="Calibri"/>
                <w:sz w:val="18"/>
                <w:szCs w:val="18"/>
                <w:lang w:val="fr-FR"/>
              </w:rPr>
            </w:pPr>
            <w:r w:rsidRPr="001E6723">
              <w:rPr>
                <w:rFonts w:eastAsia="Calibri"/>
                <w:sz w:val="18"/>
                <w:szCs w:val="18"/>
                <w:lang w:val="fr-FR"/>
              </w:rPr>
              <w:t xml:space="preserve">Les matières </w:t>
            </w:r>
            <w:proofErr w:type="spellStart"/>
            <w:r w:rsidRPr="001E6723">
              <w:rPr>
                <w:rFonts w:eastAsia="Calibri"/>
                <w:sz w:val="18"/>
                <w:szCs w:val="18"/>
                <w:lang w:val="fr-FR"/>
              </w:rPr>
              <w:t>autoréactives</w:t>
            </w:r>
            <w:proofErr w:type="spellEnd"/>
            <w:r w:rsidRPr="001E6723">
              <w:rPr>
                <w:rFonts w:eastAsia="Calibri"/>
                <w:sz w:val="18"/>
                <w:szCs w:val="18"/>
                <w:lang w:val="fr-FR"/>
              </w:rPr>
              <w:t xml:space="preserve"> des types C, D, E et F (Nos ONU 3223 à 3230 et 3233 à 3240) ; </w:t>
            </w:r>
          </w:p>
          <w:p w:rsidR="00834CE6" w:rsidRPr="001E6723" w:rsidRDefault="00834CE6" w:rsidP="001A6CA2">
            <w:pPr>
              <w:overflowPunct/>
              <w:autoSpaceDE/>
              <w:autoSpaceDN/>
              <w:adjustRightInd/>
              <w:rPr>
                <w:rFonts w:eastAsia="Calibri"/>
                <w:sz w:val="18"/>
                <w:szCs w:val="18"/>
                <w:lang w:val="fr-FR"/>
              </w:rPr>
            </w:pPr>
            <w:r w:rsidRPr="001E6723">
              <w:rPr>
                <w:rFonts w:eastAsia="Calibri"/>
                <w:sz w:val="18"/>
                <w:szCs w:val="18"/>
                <w:lang w:val="fr-FR"/>
              </w:rPr>
              <w:t>Toutes les autres matières de code de classification SR1 ou SR2 (Nos ONU 2956, 3241, 3242 et 3251) ;</w:t>
            </w:r>
          </w:p>
          <w:p w:rsidR="00834CE6" w:rsidRPr="001E6723" w:rsidRDefault="00834CE6" w:rsidP="001A6CA2">
            <w:pPr>
              <w:overflowPunct/>
              <w:autoSpaceDE/>
              <w:autoSpaceDN/>
              <w:adjustRightInd/>
              <w:rPr>
                <w:sz w:val="18"/>
                <w:szCs w:val="18"/>
                <w:lang w:val="fr-FR"/>
              </w:rPr>
            </w:pPr>
            <w:proofErr w:type="gramStart"/>
            <w:r w:rsidRPr="001E6723">
              <w:rPr>
                <w:rFonts w:eastAsia="Calibri"/>
                <w:sz w:val="18"/>
                <w:szCs w:val="18"/>
                <w:lang w:val="fr-FR"/>
              </w:rPr>
              <w:t>et</w:t>
            </w:r>
            <w:proofErr w:type="gramEnd"/>
            <w:r w:rsidRPr="001E6723">
              <w:rPr>
                <w:rFonts w:eastAsia="Calibri"/>
                <w:sz w:val="18"/>
                <w:szCs w:val="18"/>
                <w:lang w:val="fr-FR"/>
              </w:rPr>
              <w:t xml:space="preserve"> les matières explosibles désensibilisées du groupe d’emballage II (Nos ONU 2907, 3319 et 3344) : total </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p w:rsidR="00834CE6" w:rsidRPr="001E6723" w:rsidRDefault="00834CE6" w:rsidP="001A6CA2">
            <w:pPr>
              <w:jc w:val="center"/>
              <w:rPr>
                <w:lang w:val="fr-FR"/>
              </w:rPr>
            </w:pPr>
          </w:p>
          <w:p w:rsidR="00834CE6" w:rsidRPr="001E6723" w:rsidRDefault="00834CE6" w:rsidP="001A6CA2">
            <w:pPr>
              <w:jc w:val="center"/>
              <w:rPr>
                <w:lang w:val="fr-FR"/>
              </w:rPr>
            </w:pPr>
          </w:p>
          <w:p w:rsidR="00834CE6" w:rsidRPr="001E6723" w:rsidRDefault="00834CE6" w:rsidP="001A6CA2">
            <w:pPr>
              <w:jc w:val="center"/>
              <w:rPr>
                <w:lang w:val="fr-FR"/>
              </w:rPr>
            </w:pPr>
          </w:p>
          <w:p w:rsidR="00834CE6" w:rsidRPr="001E6723" w:rsidRDefault="00834CE6" w:rsidP="001A6CA2">
            <w:pPr>
              <w:jc w:val="center"/>
              <w:rPr>
                <w:lang w:val="fr-FR"/>
              </w:rPr>
            </w:pPr>
          </w:p>
          <w:p w:rsidR="00834CE6" w:rsidRPr="001E6723" w:rsidRDefault="00834CE6" w:rsidP="001A6CA2">
            <w:pPr>
              <w:jc w:val="center"/>
              <w:rPr>
                <w:lang w:val="fr-FR"/>
              </w:rPr>
            </w:pPr>
            <w:r w:rsidRPr="00E367AD">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rPr>
                <w:lang w:val="fr-FR"/>
              </w:rPr>
            </w:pPr>
          </w:p>
        </w:tc>
        <w:tc>
          <w:tcPr>
            <w:tcW w:w="459" w:type="dxa"/>
          </w:tcPr>
          <w:p w:rsidR="00834CE6" w:rsidRPr="001E6723" w:rsidRDefault="00834CE6" w:rsidP="001A6CA2">
            <w:pP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4.2</w:t>
            </w:r>
          </w:p>
        </w:tc>
        <w:tc>
          <w:tcPr>
            <w:tcW w:w="8788" w:type="dxa"/>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Toutes les marchandises des groupes d'emballage I ou II pour lesquelles, en plus de l’étiquette du modèle No 4.2, une étiquette du modèle No 6.1 est exigée à la colonne (5) du tableau A du chapitre 3.2 : total</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4.3</w:t>
            </w:r>
          </w:p>
        </w:tc>
        <w:tc>
          <w:tcPr>
            <w:tcW w:w="8788" w:type="dxa"/>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Toutes les marchandises des groupes d'emballage I ou II pour lesquelles, en plus de l’étiquette du modèle No 4.3, une étiquette du modèle No. 3, 4.1 ou 6.1 est exigée à la colonne (5) du tableau A du chapitre 3.2 : total</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5.1</w:t>
            </w:r>
          </w:p>
        </w:tc>
        <w:tc>
          <w:tcPr>
            <w:tcW w:w="8788" w:type="dxa"/>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Toutes les marchandises des groupes d'emballage I ou II pour lesquelles en plus de l’étiquette du modèle No 5.1, une étiquette du modèle No 6.1 est exigée à la colonne (5) du tableau A du chapitre 3.2 : total</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5.2</w:t>
            </w:r>
          </w:p>
        </w:tc>
        <w:tc>
          <w:tcPr>
            <w:tcW w:w="8788" w:type="dxa"/>
          </w:tcPr>
          <w:p w:rsidR="00834CE6" w:rsidRPr="001E6723" w:rsidRDefault="00834CE6" w:rsidP="001A6CA2">
            <w:pPr>
              <w:tabs>
                <w:tab w:val="left" w:pos="-340"/>
                <w:tab w:val="left" w:pos="1418"/>
              </w:tabs>
              <w:rPr>
                <w:sz w:val="18"/>
                <w:szCs w:val="18"/>
                <w:lang w:val="fr-FR"/>
              </w:rPr>
            </w:pPr>
            <w:r w:rsidRPr="001E6723">
              <w:rPr>
                <w:rFonts w:eastAsia="Calibri"/>
                <w:sz w:val="18"/>
                <w:szCs w:val="18"/>
                <w:lang w:val="fr-FR"/>
              </w:rPr>
              <w:t>Nos. ONU 3101, 3102, 3111 et 3112 : total</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6.1</w:t>
            </w:r>
          </w:p>
        </w:tc>
        <w:tc>
          <w:tcPr>
            <w:tcW w:w="8788" w:type="dxa"/>
          </w:tcPr>
          <w:p w:rsidR="00834CE6" w:rsidRPr="001E6723" w:rsidRDefault="00834CE6" w:rsidP="001A6CA2">
            <w:pPr>
              <w:tabs>
                <w:tab w:val="left" w:pos="-340"/>
                <w:tab w:val="left" w:pos="1418"/>
              </w:tabs>
              <w:rPr>
                <w:sz w:val="18"/>
                <w:szCs w:val="18"/>
                <w:lang w:val="fr-FR"/>
              </w:rPr>
            </w:pPr>
            <w:r w:rsidRPr="001E6723">
              <w:rPr>
                <w:rFonts w:eastAsia="Calibri"/>
                <w:sz w:val="18"/>
                <w:szCs w:val="18"/>
                <w:lang w:val="fr-FR"/>
              </w:rPr>
              <w:t>Toutes les marchandises du groupe d’emballage I : total</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rFonts w:eastAsia="Calibri"/>
                <w:sz w:val="18"/>
                <w:szCs w:val="18"/>
                <w:lang w:val="fr-FR"/>
              </w:rPr>
              <w:t>Toutes les marchandises du groupe d’emballage II : total</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rFonts w:eastAsia="Calibri"/>
                <w:sz w:val="18"/>
                <w:szCs w:val="18"/>
                <w:lang w:val="fr-FR"/>
              </w:rPr>
              <w:t>Toutes les marchandises transportées en vrac</w:t>
            </w: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7</w:t>
            </w:r>
          </w:p>
        </w:tc>
        <w:tc>
          <w:tcPr>
            <w:tcW w:w="8788" w:type="dxa"/>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Nos. ONU 2912, 2913, 2915, 2916, 2917, 2919, 2977, 2978 et 3321 à 3333</w:t>
            </w: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E367AD">
        <w:tc>
          <w:tcPr>
            <w:tcW w:w="794" w:type="dxa"/>
            <w:tcBorders>
              <w:top w:val="nil"/>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E367AD">
        <w:tc>
          <w:tcPr>
            <w:tcW w:w="794" w:type="dxa"/>
            <w:tcBorders>
              <w:bottom w:val="single" w:sz="4" w:space="0" w:color="auto"/>
            </w:tcBorders>
          </w:tcPr>
          <w:p w:rsidR="00834CE6" w:rsidRPr="001E6723" w:rsidRDefault="00834CE6" w:rsidP="00AD790D">
            <w:pPr>
              <w:pageBreakBefore/>
              <w:overflowPunct/>
              <w:autoSpaceDE/>
              <w:autoSpaceDN/>
              <w:adjustRightInd/>
              <w:ind w:left="-113"/>
              <w:jc w:val="center"/>
              <w:rPr>
                <w:b/>
                <w:sz w:val="18"/>
                <w:szCs w:val="18"/>
                <w:lang w:val="fr-FR"/>
              </w:rPr>
            </w:pPr>
            <w:r w:rsidRPr="001E6723">
              <w:rPr>
                <w:b/>
                <w:sz w:val="18"/>
                <w:szCs w:val="18"/>
                <w:lang w:val="fr-FR"/>
              </w:rPr>
              <w:lastRenderedPageBreak/>
              <w:t>8</w:t>
            </w:r>
          </w:p>
        </w:tc>
        <w:tc>
          <w:tcPr>
            <w:tcW w:w="8788" w:type="dxa"/>
          </w:tcPr>
          <w:p w:rsidR="00834CE6" w:rsidRPr="001E6723" w:rsidRDefault="00834CE6" w:rsidP="001A6CA2">
            <w:pPr>
              <w:overflowPunct/>
              <w:autoSpaceDE/>
              <w:autoSpaceDN/>
              <w:adjustRightInd/>
              <w:rPr>
                <w:rFonts w:eastAsia="Calibri"/>
                <w:sz w:val="18"/>
                <w:szCs w:val="18"/>
                <w:lang w:val="fr-FR"/>
              </w:rPr>
            </w:pPr>
            <w:r w:rsidRPr="001E6723">
              <w:rPr>
                <w:rFonts w:eastAsia="Calibri"/>
                <w:sz w:val="18"/>
                <w:szCs w:val="18"/>
                <w:lang w:val="fr-FR"/>
              </w:rPr>
              <w:t>Toutes les marchandises du groupe d'emballage I ;</w:t>
            </w:r>
          </w:p>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Toutes les marchandises du groupe d'emballage II pour lesquelles, en plus de l’étiquette du modèle No 8, une étiquette du modèle No.3 ou 6.1 est exigée à la colonne (5) du tableau A du chapitre 3.2 : total</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E367AD">
        <w:tc>
          <w:tcPr>
            <w:tcW w:w="794" w:type="dxa"/>
            <w:tcBorders>
              <w:top w:val="single" w:sz="4" w:space="0" w:color="auto"/>
              <w:bottom w:val="single" w:sz="4" w:space="0" w:color="auto"/>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spacing w:after="360"/>
              <w:rPr>
                <w:sz w:val="18"/>
                <w:szCs w:val="18"/>
                <w:lang w:val="fr-FR"/>
              </w:rPr>
            </w:pPr>
            <w:r w:rsidRPr="001E6723">
              <w:rPr>
                <w:sz w:val="18"/>
                <w:szCs w:val="18"/>
                <w:lang w:val="fr-FR"/>
              </w:rPr>
              <w:t>Autres marchandises</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r w:rsidR="00834CE6" w:rsidRPr="001E6723" w:rsidTr="00834CE6">
        <w:tc>
          <w:tcPr>
            <w:tcW w:w="794" w:type="dxa"/>
            <w:tcBorders>
              <w:bottom w:val="nil"/>
            </w:tcBorders>
          </w:tcPr>
          <w:p w:rsidR="00834CE6" w:rsidRPr="001E6723" w:rsidRDefault="00834CE6" w:rsidP="001A6CA2">
            <w:pPr>
              <w:overflowPunct/>
              <w:autoSpaceDE/>
              <w:autoSpaceDN/>
              <w:adjustRightInd/>
              <w:ind w:left="-111"/>
              <w:jc w:val="center"/>
              <w:rPr>
                <w:b/>
                <w:sz w:val="18"/>
                <w:szCs w:val="18"/>
                <w:lang w:val="fr-FR"/>
              </w:rPr>
            </w:pPr>
            <w:r w:rsidRPr="001E6723">
              <w:rPr>
                <w:b/>
                <w:sz w:val="18"/>
                <w:szCs w:val="18"/>
                <w:lang w:val="fr-FR"/>
              </w:rPr>
              <w:t>9</w:t>
            </w:r>
          </w:p>
        </w:tc>
        <w:tc>
          <w:tcPr>
            <w:tcW w:w="8788" w:type="dxa"/>
          </w:tcPr>
          <w:p w:rsidR="00834CE6" w:rsidRPr="001E6723" w:rsidRDefault="00834CE6" w:rsidP="001A6CA2">
            <w:pPr>
              <w:tabs>
                <w:tab w:val="left" w:pos="-340"/>
                <w:tab w:val="left" w:pos="1418"/>
              </w:tabs>
              <w:rPr>
                <w:sz w:val="18"/>
                <w:szCs w:val="18"/>
                <w:lang w:val="fr-FR"/>
              </w:rPr>
            </w:pPr>
            <w:r w:rsidRPr="001E6723">
              <w:rPr>
                <w:rFonts w:eastAsia="Calibri"/>
                <w:sz w:val="18"/>
                <w:szCs w:val="18"/>
                <w:lang w:val="fr-FR"/>
              </w:rPr>
              <w:t>Toutes les marchandises du groupe d’emballage II : total</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bottom w:val="nil"/>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overflowPunct/>
              <w:autoSpaceDE/>
              <w:autoSpaceDN/>
              <w:adjustRightInd/>
              <w:rPr>
                <w:sz w:val="18"/>
                <w:szCs w:val="18"/>
                <w:lang w:val="fr-FR"/>
              </w:rPr>
            </w:pPr>
            <w:r w:rsidRPr="001E6723">
              <w:rPr>
                <w:rFonts w:eastAsia="Calibri"/>
                <w:sz w:val="18"/>
                <w:szCs w:val="18"/>
                <w:lang w:val="fr-FR"/>
              </w:rPr>
              <w:t xml:space="preserve">No ONU 3077, pour les marchandises transportées en vrac et considérées comme dangereuses pour le milieu aquatique, toxicité aiguë 1 ou toxicité chronique 1, conformément au 2.4.3  </w:t>
            </w:r>
          </w:p>
        </w:tc>
        <w:tc>
          <w:tcPr>
            <w:tcW w:w="459" w:type="dxa"/>
          </w:tcPr>
          <w:p w:rsidR="00834CE6" w:rsidRPr="001E6723" w:rsidRDefault="00834CE6" w:rsidP="001A6CA2">
            <w:pPr>
              <w:jc w:val="center"/>
              <w:rPr>
                <w:lang w:val="fr-FR"/>
              </w:rPr>
            </w:pPr>
            <w:r w:rsidRPr="001E6723">
              <w:rPr>
                <w:lang w:val="fr-FR"/>
              </w:rPr>
              <w:t>X</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r>
      <w:tr w:rsidR="00834CE6" w:rsidRPr="001E6723" w:rsidTr="00834CE6">
        <w:tc>
          <w:tcPr>
            <w:tcW w:w="794" w:type="dxa"/>
            <w:tcBorders>
              <w:top w:val="nil"/>
            </w:tcBorders>
          </w:tcPr>
          <w:p w:rsidR="00834CE6" w:rsidRPr="001E6723" w:rsidRDefault="00834CE6" w:rsidP="001A6CA2">
            <w:pPr>
              <w:overflowPunct/>
              <w:autoSpaceDE/>
              <w:autoSpaceDN/>
              <w:adjustRightInd/>
              <w:ind w:left="-111"/>
              <w:jc w:val="center"/>
              <w:rPr>
                <w:sz w:val="18"/>
                <w:szCs w:val="18"/>
                <w:lang w:val="fr-FR"/>
              </w:rPr>
            </w:pPr>
          </w:p>
        </w:tc>
        <w:tc>
          <w:tcPr>
            <w:tcW w:w="8788" w:type="dxa"/>
          </w:tcPr>
          <w:p w:rsidR="00834CE6" w:rsidRPr="001E6723" w:rsidRDefault="00834CE6" w:rsidP="001A6CA2">
            <w:pPr>
              <w:tabs>
                <w:tab w:val="left" w:pos="-340"/>
                <w:tab w:val="left" w:pos="1418"/>
              </w:tabs>
              <w:rPr>
                <w:sz w:val="18"/>
                <w:szCs w:val="18"/>
                <w:lang w:val="fr-FR"/>
              </w:rPr>
            </w:pPr>
            <w:r w:rsidRPr="001E6723">
              <w:rPr>
                <w:sz w:val="18"/>
                <w:szCs w:val="18"/>
                <w:lang w:val="fr-FR"/>
              </w:rPr>
              <w:t>Autres marchandises</w:t>
            </w: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p>
        </w:tc>
        <w:tc>
          <w:tcPr>
            <w:tcW w:w="459" w:type="dxa"/>
          </w:tcPr>
          <w:p w:rsidR="00834CE6" w:rsidRPr="001E6723" w:rsidRDefault="00834CE6" w:rsidP="001A6CA2">
            <w:pPr>
              <w:jc w:val="center"/>
              <w:rPr>
                <w:lang w:val="fr-FR"/>
              </w:rPr>
            </w:pPr>
            <w:r w:rsidRPr="001E6723">
              <w:rPr>
                <w:lang w:val="fr-FR"/>
              </w:rPr>
              <w:t>X</w:t>
            </w:r>
          </w:p>
        </w:tc>
      </w:tr>
    </w:tbl>
    <w:p w:rsidR="007A6119" w:rsidRDefault="007A6119" w:rsidP="00834CE6"/>
    <w:p w:rsidR="00AD790D" w:rsidRDefault="00AD790D" w:rsidP="00AD790D">
      <w:pPr>
        <w:ind w:left="11907" w:firstLine="567"/>
      </w:pPr>
      <w:r>
        <w:t>»</w:t>
      </w:r>
    </w:p>
    <w:p w:rsidR="00AD790D" w:rsidRDefault="00AD790D" w:rsidP="00834CE6"/>
    <w:p w:rsidR="00AD790D" w:rsidRDefault="00AD790D" w:rsidP="00834CE6">
      <w:pPr>
        <w:sectPr w:rsidR="00AD790D" w:rsidSect="00834CE6">
          <w:headerReference w:type="even" r:id="rId12"/>
          <w:headerReference w:type="default" r:id="rId13"/>
          <w:footerReference w:type="even" r:id="rId14"/>
          <w:footerReference w:type="default" r:id="rId15"/>
          <w:endnotePr>
            <w:numFmt w:val="decimal"/>
          </w:endnotePr>
          <w:pgSz w:w="16838" w:h="11906" w:orient="landscape" w:code="9"/>
          <w:pgMar w:top="1134" w:right="1417" w:bottom="1134" w:left="1134" w:header="567" w:footer="567" w:gutter="0"/>
          <w:cols w:space="708"/>
          <w:docGrid w:linePitch="360"/>
        </w:sectPr>
      </w:pPr>
    </w:p>
    <w:p w:rsidR="00AA3B13" w:rsidRPr="001E6723" w:rsidRDefault="00AA3B13" w:rsidP="00AA3B13">
      <w:pPr>
        <w:overflowPunct/>
        <w:autoSpaceDE/>
        <w:autoSpaceDN/>
        <w:adjustRightInd/>
        <w:spacing w:after="240"/>
        <w:ind w:left="1701"/>
        <w:rPr>
          <w:rFonts w:eastAsia="Calibri"/>
          <w:lang w:val="fr-FR"/>
        </w:rPr>
      </w:pPr>
      <w:r w:rsidRPr="001E6723">
        <w:rPr>
          <w:rFonts w:eastAsia="Calibri"/>
          <w:lang w:val="fr-FR"/>
        </w:rPr>
        <w:lastRenderedPageBreak/>
        <w:t>7.1.4.1.4</w:t>
      </w:r>
      <w:r w:rsidRPr="001E6723">
        <w:rPr>
          <w:rFonts w:eastAsia="Calibri"/>
          <w:lang w:val="fr-FR"/>
        </w:rPr>
        <w:tab/>
        <w:t>Au 7.1.4.1.4, la référence 7.1.4.1.1 devient 7.1.4.1.3.</w:t>
      </w:r>
    </w:p>
    <w:p w:rsidR="00AA3B13" w:rsidRPr="001E6723" w:rsidRDefault="00AA3B13" w:rsidP="00AA3B13">
      <w:pPr>
        <w:pStyle w:val="HChG"/>
        <w:rPr>
          <w:lang w:val="fr-FR"/>
        </w:rPr>
      </w:pPr>
      <w:r>
        <w:rPr>
          <w:lang w:val="fr-FR"/>
        </w:rPr>
        <w:tab/>
        <w:t>II.</w:t>
      </w:r>
      <w:r>
        <w:rPr>
          <w:lang w:val="fr-FR"/>
        </w:rPr>
        <w:tab/>
      </w:r>
      <w:r>
        <w:rPr>
          <w:lang w:val="fr-FR"/>
        </w:rPr>
        <w:tab/>
      </w:r>
      <w:r w:rsidRPr="001E6723">
        <w:rPr>
          <w:lang w:val="fr-FR"/>
        </w:rPr>
        <w:t>Motif</w:t>
      </w:r>
    </w:p>
    <w:p w:rsidR="00AA3B13" w:rsidRPr="001E6723" w:rsidRDefault="00AA3B13" w:rsidP="00AA3B13">
      <w:pPr>
        <w:pStyle w:val="SingleTxtG"/>
        <w:rPr>
          <w:lang w:val="fr-FR"/>
        </w:rPr>
      </w:pPr>
      <w:r w:rsidRPr="001E6723">
        <w:rPr>
          <w:lang w:val="fr-FR"/>
        </w:rPr>
        <w:t>La lisibilité sera sensiblement améliorée grâce à la restructuration du contenu, à l’indication claire des limitations relatives aux quantités et à la clarification concernant les cargaisons mixtes.</w:t>
      </w:r>
    </w:p>
    <w:p w:rsidR="00AA3B13" w:rsidRPr="00AA3B13" w:rsidRDefault="00AA3B13" w:rsidP="00AA3B13">
      <w:pPr>
        <w:spacing w:before="240"/>
        <w:jc w:val="center"/>
        <w:rPr>
          <w:u w:val="single"/>
          <w:lang w:val="fr-FR"/>
        </w:rPr>
      </w:pPr>
      <w:r>
        <w:rPr>
          <w:u w:val="single"/>
          <w:lang w:val="fr-FR"/>
        </w:rPr>
        <w:tab/>
      </w:r>
      <w:r>
        <w:rPr>
          <w:u w:val="single"/>
          <w:lang w:val="fr-FR"/>
        </w:rPr>
        <w:tab/>
      </w:r>
      <w:r>
        <w:rPr>
          <w:u w:val="single"/>
          <w:lang w:val="fr-FR"/>
        </w:rPr>
        <w:tab/>
      </w:r>
    </w:p>
    <w:sectPr w:rsidR="00AA3B13" w:rsidRPr="00AA3B13" w:rsidSect="00AA3B13">
      <w:headerReference w:type="even" r:id="rId16"/>
      <w:headerReference w:type="default" r:id="rId17"/>
      <w:footerReference w:type="even" r:id="rId18"/>
      <w:footerReference w:type="default" r:id="rId1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351" w:rsidRDefault="000D6351" w:rsidP="00F95C08">
      <w:pPr>
        <w:spacing w:line="240" w:lineRule="auto"/>
      </w:pPr>
    </w:p>
  </w:endnote>
  <w:endnote w:type="continuationSeparator" w:id="0">
    <w:p w:rsidR="000D6351" w:rsidRPr="00AC3823" w:rsidRDefault="000D6351" w:rsidP="00AC3823">
      <w:pPr>
        <w:pStyle w:val="Footer"/>
      </w:pPr>
    </w:p>
  </w:endnote>
  <w:endnote w:type="continuationNotice" w:id="1">
    <w:p w:rsidR="000D6351" w:rsidRDefault="000D6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CA" w:rsidRPr="001E6723" w:rsidRDefault="005630CA" w:rsidP="00B15FF1">
    <w:pPr>
      <w:overflowPunct/>
      <w:autoSpaceDE/>
      <w:autoSpaceDN/>
      <w:adjustRightInd/>
      <w:spacing w:after="60"/>
      <w:jc w:val="right"/>
      <w:rPr>
        <w:lang w:val="en-GB"/>
      </w:rPr>
    </w:pPr>
    <w:bookmarkStart w:id="1" w:name="_Hlk10455128"/>
    <w:bookmarkStart w:id="2" w:name="_Hlk10455129"/>
    <w:bookmarkStart w:id="3" w:name="_Hlk10792606"/>
    <w:bookmarkStart w:id="4" w:name="_Hlk10792607"/>
    <w:r w:rsidRPr="001E6723">
      <w:rPr>
        <w:rFonts w:ascii="Arial" w:hAnsi="Arial"/>
        <w:noProof/>
        <w:snapToGrid w:val="0"/>
        <w:sz w:val="12"/>
        <w:szCs w:val="24"/>
        <w:lang w:val="en-GB"/>
      </w:rPr>
      <w:t>mm_ch/adn_wp15_ac2_2020_PP</w:t>
    </w:r>
    <w:bookmarkEnd w:id="1"/>
    <w:bookmarkEnd w:id="2"/>
    <w:r w:rsidRPr="001E6723">
      <w:rPr>
        <w:rFonts w:ascii="Arial" w:hAnsi="Arial"/>
        <w:noProof/>
        <w:snapToGrid w:val="0"/>
        <w:sz w:val="12"/>
        <w:szCs w:val="24"/>
        <w:lang w:val="en-GB"/>
      </w:rPr>
      <w:t>fr</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6" w:rsidRPr="00834CE6" w:rsidRDefault="00834CE6" w:rsidP="00834CE6">
    <w:pPr>
      <w:pStyle w:val="Footer"/>
    </w:pPr>
    <w:r>
      <w:rPr>
        <w:noProof/>
      </w:rPr>
      <mc:AlternateContent>
        <mc:Choice Requires="wps">
          <w:drawing>
            <wp:anchor distT="0" distB="0" distL="114300" distR="114300" simplePos="0" relativeHeight="25166080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4CE6" w:rsidRPr="000D6351" w:rsidRDefault="00834CE6" w:rsidP="00834CE6">
                          <w:pPr>
                            <w:pStyle w:val="Footer"/>
                            <w:tabs>
                              <w:tab w:val="right" w:pos="9638"/>
                            </w:tabs>
                            <w:rPr>
                              <w:sz w:val="18"/>
                            </w:rPr>
                          </w:pPr>
                          <w:r w:rsidRPr="000D6351">
                            <w:rPr>
                              <w:b/>
                              <w:sz w:val="18"/>
                            </w:rPr>
                            <w:fldChar w:fldCharType="begin"/>
                          </w:r>
                          <w:r w:rsidRPr="000D6351">
                            <w:rPr>
                              <w:b/>
                              <w:sz w:val="18"/>
                            </w:rPr>
                            <w:instrText xml:space="preserve"> PAGE  \* MERGEFORMAT </w:instrText>
                          </w:r>
                          <w:r w:rsidRPr="000D6351">
                            <w:rPr>
                              <w:b/>
                              <w:sz w:val="18"/>
                            </w:rPr>
                            <w:fldChar w:fldCharType="separate"/>
                          </w:r>
                          <w:r>
                            <w:rPr>
                              <w:b/>
                              <w:sz w:val="18"/>
                            </w:rPr>
                            <w:t>4</w:t>
                          </w:r>
                          <w:r w:rsidRPr="000D6351">
                            <w:rPr>
                              <w:b/>
                              <w:sz w:val="18"/>
                            </w:rPr>
                            <w:fldChar w:fldCharType="end"/>
                          </w:r>
                          <w:r>
                            <w:rPr>
                              <w:sz w:val="18"/>
                            </w:rPr>
                            <w:tab/>
                          </w:r>
                        </w:p>
                        <w:p w:rsidR="00834CE6" w:rsidRDefault="00834CE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RvIm&#10;l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834CE6" w:rsidRPr="000D6351" w:rsidRDefault="00834CE6" w:rsidP="00834CE6">
                    <w:pPr>
                      <w:pStyle w:val="Footer"/>
                      <w:tabs>
                        <w:tab w:val="right" w:pos="9638"/>
                      </w:tabs>
                      <w:rPr>
                        <w:sz w:val="18"/>
                      </w:rPr>
                    </w:pPr>
                    <w:r w:rsidRPr="000D6351">
                      <w:rPr>
                        <w:b/>
                        <w:sz w:val="18"/>
                      </w:rPr>
                      <w:fldChar w:fldCharType="begin"/>
                    </w:r>
                    <w:r w:rsidRPr="000D6351">
                      <w:rPr>
                        <w:b/>
                        <w:sz w:val="18"/>
                      </w:rPr>
                      <w:instrText xml:space="preserve"> PAGE  \* MERGEFORMAT </w:instrText>
                    </w:r>
                    <w:r w:rsidRPr="000D6351">
                      <w:rPr>
                        <w:b/>
                        <w:sz w:val="18"/>
                      </w:rPr>
                      <w:fldChar w:fldCharType="separate"/>
                    </w:r>
                    <w:r>
                      <w:rPr>
                        <w:b/>
                        <w:sz w:val="18"/>
                      </w:rPr>
                      <w:t>4</w:t>
                    </w:r>
                    <w:r w:rsidRPr="000D6351">
                      <w:rPr>
                        <w:b/>
                        <w:sz w:val="18"/>
                      </w:rPr>
                      <w:fldChar w:fldCharType="end"/>
                    </w:r>
                    <w:r>
                      <w:rPr>
                        <w:sz w:val="18"/>
                      </w:rPr>
                      <w:tab/>
                    </w:r>
                  </w:p>
                  <w:p w:rsidR="00834CE6" w:rsidRDefault="00834CE6"/>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6" w:rsidRPr="00834CE6" w:rsidRDefault="00834CE6" w:rsidP="00834CE6">
    <w:pPr>
      <w:pStyle w:val="Footer"/>
    </w:pPr>
    <w:r>
      <w:rPr>
        <w:noProof/>
      </w:rPr>
      <mc:AlternateContent>
        <mc:Choice Requires="wps">
          <w:drawing>
            <wp:anchor distT="0" distB="0" distL="114300" distR="114300" simplePos="0" relativeHeight="25166284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4CE6" w:rsidRPr="000D6351" w:rsidRDefault="00834CE6" w:rsidP="00834CE6">
                          <w:pPr>
                            <w:pStyle w:val="Footer"/>
                            <w:tabs>
                              <w:tab w:val="right" w:pos="9638"/>
                            </w:tabs>
                            <w:rPr>
                              <w:b/>
                              <w:sz w:val="18"/>
                            </w:rPr>
                          </w:pPr>
                          <w:r>
                            <w:tab/>
                          </w:r>
                          <w:r w:rsidRPr="000D6351">
                            <w:rPr>
                              <w:b/>
                              <w:sz w:val="18"/>
                            </w:rPr>
                            <w:fldChar w:fldCharType="begin"/>
                          </w:r>
                          <w:r w:rsidRPr="000D6351">
                            <w:rPr>
                              <w:b/>
                              <w:sz w:val="18"/>
                            </w:rPr>
                            <w:instrText xml:space="preserve"> PAGE  \* MERGEFORMAT </w:instrText>
                          </w:r>
                          <w:r w:rsidRPr="000D6351">
                            <w:rPr>
                              <w:b/>
                              <w:sz w:val="18"/>
                            </w:rPr>
                            <w:fldChar w:fldCharType="separate"/>
                          </w:r>
                          <w:r>
                            <w:rPr>
                              <w:b/>
                              <w:sz w:val="18"/>
                            </w:rPr>
                            <w:t>5</w:t>
                          </w:r>
                          <w:r w:rsidRPr="000D6351">
                            <w:rPr>
                              <w:b/>
                              <w:sz w:val="18"/>
                            </w:rPr>
                            <w:fldChar w:fldCharType="end"/>
                          </w:r>
                        </w:p>
                        <w:p w:rsidR="00834CE6" w:rsidRDefault="00834CE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53+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3LbPQxQ6dZDUYDoo5w+c1Sr5mzt8x&#10;i9EDJcapv8VSSg1y6L1ESaXtt9/pg31Owwo2YZSBqF9XzIJb8pPCrIBL3wm2ExadoFbNlUbPZDGb&#10;KOKC9bITS6ubR0zZaYiCI6Y4MskporXilW8HKqY0F9NpNMJ0M8xfq3vDg+vAy/C0D9tHZs2+wz3Q&#10;u9HdkGPjF43e2oabSk9XXpd1nAIB1xZFIB82mIzxDfZTPIzeX/fR6ulfM/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Dlx+&#10;d/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834CE6" w:rsidRPr="000D6351" w:rsidRDefault="00834CE6" w:rsidP="00834CE6">
                    <w:pPr>
                      <w:pStyle w:val="Footer"/>
                      <w:tabs>
                        <w:tab w:val="right" w:pos="9638"/>
                      </w:tabs>
                      <w:rPr>
                        <w:b/>
                        <w:sz w:val="18"/>
                      </w:rPr>
                    </w:pPr>
                    <w:r>
                      <w:tab/>
                    </w:r>
                    <w:r w:rsidRPr="000D6351">
                      <w:rPr>
                        <w:b/>
                        <w:sz w:val="18"/>
                      </w:rPr>
                      <w:fldChar w:fldCharType="begin"/>
                    </w:r>
                    <w:r w:rsidRPr="000D6351">
                      <w:rPr>
                        <w:b/>
                        <w:sz w:val="18"/>
                      </w:rPr>
                      <w:instrText xml:space="preserve"> PAGE  \* MERGEFORMAT </w:instrText>
                    </w:r>
                    <w:r w:rsidRPr="000D6351">
                      <w:rPr>
                        <w:b/>
                        <w:sz w:val="18"/>
                      </w:rPr>
                      <w:fldChar w:fldCharType="separate"/>
                    </w:r>
                    <w:r>
                      <w:rPr>
                        <w:b/>
                        <w:sz w:val="18"/>
                      </w:rPr>
                      <w:t>5</w:t>
                    </w:r>
                    <w:r w:rsidRPr="000D6351">
                      <w:rPr>
                        <w:b/>
                        <w:sz w:val="18"/>
                      </w:rPr>
                      <w:fldChar w:fldCharType="end"/>
                    </w:r>
                  </w:p>
                  <w:p w:rsidR="00834CE6" w:rsidRDefault="00834CE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13" w:rsidRPr="00AA3B13" w:rsidRDefault="00AA3B13" w:rsidP="00AA3B1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13" w:rsidRPr="00AA3B13" w:rsidRDefault="00AA3B13" w:rsidP="00AA3B1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351" w:rsidRPr="00AC3823" w:rsidRDefault="000D6351" w:rsidP="00AC3823">
      <w:pPr>
        <w:pStyle w:val="Footer"/>
        <w:tabs>
          <w:tab w:val="right" w:pos="2155"/>
        </w:tabs>
        <w:spacing w:after="80" w:line="240" w:lineRule="atLeast"/>
        <w:ind w:left="680"/>
        <w:rPr>
          <w:u w:val="single"/>
        </w:rPr>
      </w:pPr>
      <w:r>
        <w:rPr>
          <w:u w:val="single"/>
        </w:rPr>
        <w:tab/>
      </w:r>
    </w:p>
  </w:footnote>
  <w:footnote w:type="continuationSeparator" w:id="0">
    <w:p w:rsidR="000D6351" w:rsidRPr="00AC3823" w:rsidRDefault="000D6351" w:rsidP="00AC3823">
      <w:pPr>
        <w:pStyle w:val="Footer"/>
        <w:tabs>
          <w:tab w:val="right" w:pos="2155"/>
        </w:tabs>
        <w:spacing w:after="80" w:line="240" w:lineRule="atLeast"/>
        <w:ind w:left="680"/>
        <w:rPr>
          <w:u w:val="single"/>
        </w:rPr>
      </w:pPr>
      <w:r>
        <w:rPr>
          <w:u w:val="single"/>
        </w:rPr>
        <w:tab/>
      </w:r>
    </w:p>
  </w:footnote>
  <w:footnote w:type="continuationNotice" w:id="1">
    <w:p w:rsidR="000D6351" w:rsidRPr="00AC3823" w:rsidRDefault="000D6351">
      <w:pPr>
        <w:spacing w:line="240" w:lineRule="auto"/>
        <w:rPr>
          <w:sz w:val="2"/>
          <w:szCs w:val="2"/>
        </w:rPr>
      </w:pPr>
    </w:p>
  </w:footnote>
  <w:footnote w:id="2">
    <w:p w:rsidR="00254F98" w:rsidRPr="00A80CE0" w:rsidRDefault="00254F98" w:rsidP="00254F98">
      <w:pPr>
        <w:pStyle w:val="FootnoteText"/>
      </w:pPr>
      <w:r w:rsidRPr="00A80CE0">
        <w:rPr>
          <w:rStyle w:val="FootnoteReference"/>
          <w:lang w:val="fr-FR"/>
        </w:rPr>
        <w:tab/>
      </w:r>
      <w:r w:rsidRPr="00B37499">
        <w:rPr>
          <w:rStyle w:val="FootnoteReference"/>
          <w:sz w:val="20"/>
          <w:lang w:val="fr-FR"/>
        </w:rPr>
        <w:t>*</w:t>
      </w:r>
      <w:r w:rsidRPr="00A80CE0">
        <w:rPr>
          <w:rStyle w:val="FootnoteReference"/>
          <w:sz w:val="20"/>
          <w:lang w:val="fr-FR"/>
        </w:rPr>
        <w:tab/>
      </w:r>
      <w:r w:rsidRPr="00A80CE0">
        <w:rPr>
          <w:lang w:val="fr-FR"/>
        </w:rPr>
        <w:t>Diffusé en langue allemande par la Commission centrale pour la navigation du Rhin sous la cote CCNR/ZKR/ADN/WP.15/AC.2/2020/</w:t>
      </w:r>
      <w:r w:rsidR="00C81F3B">
        <w:rPr>
          <w:lang w:val="fr-FR"/>
        </w:rPr>
        <w:t>13</w:t>
      </w:r>
      <w:r w:rsidRPr="00A80CE0">
        <w:rPr>
          <w:lang w:val="fr-FR"/>
        </w:rPr>
        <w:t>.</w:t>
      </w:r>
    </w:p>
  </w:footnote>
  <w:footnote w:id="3">
    <w:p w:rsidR="00254F98" w:rsidRPr="00A80CE0" w:rsidRDefault="00254F98" w:rsidP="00254F98">
      <w:pPr>
        <w:pStyle w:val="FootnoteText"/>
        <w:rPr>
          <w:lang w:val="fr-FR"/>
        </w:rPr>
      </w:pPr>
      <w:r w:rsidRPr="00A80CE0">
        <w:rPr>
          <w:lang w:val="fr-FR"/>
        </w:rPr>
        <w:tab/>
      </w:r>
      <w:r w:rsidRPr="00B37499">
        <w:rPr>
          <w:rStyle w:val="FootnoteReference"/>
          <w:sz w:val="20"/>
          <w:szCs w:val="22"/>
          <w:lang w:val="fr-FR"/>
        </w:rPr>
        <w:t>**</w:t>
      </w:r>
      <w:r w:rsidRPr="00A80CE0">
        <w:rPr>
          <w:lang w:val="fr-FR"/>
        </w:rPr>
        <w:tab/>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6" w:rsidRDefault="00834CE6">
    <w:pPr>
      <w:pStyle w:val="Header"/>
    </w:pPr>
    <w:r>
      <w:t>ECE/TRANS/WP.15/AC.2/2020/13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CA" w:rsidRPr="00E367AD" w:rsidRDefault="005630CA" w:rsidP="009D26E7">
    <w:pPr>
      <w:overflowPunct/>
      <w:autoSpaceDE/>
      <w:autoSpaceDN/>
      <w:adjustRightInd/>
      <w:jc w:val="right"/>
      <w:rPr>
        <w:rFonts w:ascii="Arial" w:hAnsi="Arial"/>
        <w:snapToGrid w:val="0"/>
        <w:sz w:val="16"/>
        <w:szCs w:val="16"/>
        <w:lang w:val="en-GB"/>
      </w:rPr>
    </w:pPr>
    <w:r w:rsidRPr="00E367AD">
      <w:rPr>
        <w:rFonts w:ascii="Arial" w:hAnsi="Arial"/>
        <w:snapToGrid w:val="0"/>
        <w:sz w:val="16"/>
        <w:szCs w:val="16"/>
        <w:lang w:val="en-GB"/>
      </w:rPr>
      <w:t>CCNR-ZKR/ADN/WP.15/AC.2/2020/PP</w:t>
    </w:r>
  </w:p>
  <w:p w:rsidR="005630CA" w:rsidRDefault="005630CA" w:rsidP="00251917">
    <w:pPr>
      <w:overflowPunct/>
      <w:autoSpaceDE/>
      <w:autoSpaceDN/>
      <w:adjustRightInd/>
      <w:jc w:val="right"/>
    </w:pPr>
    <w:r>
      <w:rPr>
        <w:rFonts w:ascii="Arial" w:hAnsi="Arial"/>
        <w:snapToGrid w:val="0"/>
        <w:sz w:val="16"/>
        <w:szCs w:val="16"/>
        <w:lang w:val="fr-FR"/>
      </w:rPr>
      <w:t xml:space="preserve">Page </w:t>
    </w:r>
    <w:r w:rsidRPr="008B0EB0">
      <w:rPr>
        <w:rFonts w:ascii="Arial" w:hAnsi="Arial"/>
        <w:snapToGrid w:val="0"/>
        <w:sz w:val="16"/>
        <w:szCs w:val="16"/>
        <w:lang w:val="fr-FR"/>
      </w:rPr>
      <w:fldChar w:fldCharType="begin"/>
    </w:r>
    <w:r w:rsidRPr="008B0EB0">
      <w:rPr>
        <w:rFonts w:ascii="Arial" w:hAnsi="Arial"/>
        <w:snapToGrid w:val="0"/>
        <w:sz w:val="16"/>
        <w:szCs w:val="16"/>
        <w:lang w:val="fr-FR"/>
      </w:rPr>
      <w:instrText xml:space="preserve"> PAGE  \* MERGEFORMAT </w:instrText>
    </w:r>
    <w:r w:rsidRPr="008B0EB0">
      <w:rPr>
        <w:rFonts w:ascii="Arial" w:hAnsi="Arial"/>
        <w:snapToGrid w:val="0"/>
        <w:sz w:val="16"/>
        <w:szCs w:val="16"/>
        <w:lang w:val="fr-FR"/>
      </w:rPr>
      <w:fldChar w:fldCharType="separate"/>
    </w:r>
    <w:r>
      <w:rPr>
        <w:rFonts w:ascii="Arial" w:hAnsi="Arial"/>
        <w:noProof/>
        <w:snapToGrid w:val="0"/>
        <w:sz w:val="16"/>
        <w:szCs w:val="16"/>
        <w:lang w:val="fr-FR"/>
      </w:rPr>
      <w:t>5</w:t>
    </w:r>
    <w:r w:rsidRPr="008B0EB0">
      <w:rPr>
        <w:rFonts w:ascii="Arial" w:hAnsi="Arial"/>
        <w:snapToGrid w:val="0"/>
        <w:sz w:val="16"/>
        <w:szCs w:val="16"/>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6" w:rsidRPr="00834CE6" w:rsidRDefault="00834CE6" w:rsidP="00834CE6">
    <w:r>
      <w:rPr>
        <w:noProof/>
      </w:rPr>
      <mc:AlternateContent>
        <mc:Choice Requires="wps">
          <w:drawing>
            <wp:anchor distT="0" distB="0" distL="114300" distR="114300" simplePos="0" relativeHeight="25165977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4CE6" w:rsidRPr="000D6351" w:rsidRDefault="00AD790D" w:rsidP="00834CE6">
                          <w:pPr>
                            <w:pStyle w:val="Header"/>
                          </w:pPr>
                          <w:fldSimple w:instr=" TITLE  \* MERGEFORMAT ">
                            <w:r w:rsidR="00C57344">
                              <w:t>ECE/TRANS/WP.15/AC.2/2020/13</w:t>
                            </w:r>
                          </w:fldSimple>
                        </w:p>
                        <w:p w:rsidR="00834CE6" w:rsidRDefault="00834CE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rsidR="00834CE6" w:rsidRPr="000D6351" w:rsidRDefault="00AD790D" w:rsidP="00834CE6">
                    <w:pPr>
                      <w:pStyle w:val="Header"/>
                    </w:pPr>
                    <w:fldSimple w:instr=" TITLE  \* MERGEFORMAT ">
                      <w:r w:rsidR="00C57344">
                        <w:t>ECE/TRANS/WP.15/AC.2/2020/13</w:t>
                      </w:r>
                    </w:fldSimple>
                  </w:p>
                  <w:p w:rsidR="00834CE6" w:rsidRDefault="00834CE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6" w:rsidRPr="00834CE6" w:rsidRDefault="00834CE6" w:rsidP="00834CE6">
    <w:r>
      <w:rPr>
        <w:noProof/>
      </w:rPr>
      <mc:AlternateContent>
        <mc:Choice Requires="wps">
          <w:drawing>
            <wp:anchor distT="0" distB="0" distL="114300" distR="114300" simplePos="0" relativeHeight="25166182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34CE6" w:rsidRPr="000D6351" w:rsidRDefault="00AD790D" w:rsidP="00834CE6">
                          <w:pPr>
                            <w:pStyle w:val="Header"/>
                            <w:jc w:val="right"/>
                          </w:pPr>
                          <w:fldSimple w:instr=" TITLE  \* MERGEFORMAT ">
                            <w:r w:rsidR="00C57344">
                              <w:t>ECE/TRANS/WP.15/AC.2/2020/13</w:t>
                            </w:r>
                          </w:fldSimple>
                        </w:p>
                        <w:p w:rsidR="00834CE6" w:rsidRDefault="00834CE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HPqoC+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rsidR="00834CE6" w:rsidRPr="000D6351" w:rsidRDefault="00AD790D" w:rsidP="00834CE6">
                    <w:pPr>
                      <w:pStyle w:val="Header"/>
                      <w:jc w:val="right"/>
                    </w:pPr>
                    <w:fldSimple w:instr=" TITLE  \* MERGEFORMAT ">
                      <w:r w:rsidR="00C57344">
                        <w:t>ECE/TRANS/WP.15/AC.2/2020/13</w:t>
                      </w:r>
                    </w:fldSimple>
                  </w:p>
                  <w:p w:rsidR="00834CE6" w:rsidRDefault="00834CE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13" w:rsidRPr="00AA3B13" w:rsidRDefault="00C57344" w:rsidP="00AA3B13">
    <w:pPr>
      <w:pStyle w:val="Header"/>
    </w:pPr>
    <w:r>
      <w:fldChar w:fldCharType="begin"/>
    </w:r>
    <w:r>
      <w:instrText xml:space="preserve"> TITLE  \* MERGEFORMAT </w:instrText>
    </w:r>
    <w:r>
      <w:fldChar w:fldCharType="separate"/>
    </w:r>
    <w:r>
      <w:t>ECE/TRANS/WP.15/AC.2/2020/13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13" w:rsidRPr="00AA3B13" w:rsidRDefault="00C57344" w:rsidP="00AA3B13">
    <w:pPr>
      <w:pStyle w:val="Header"/>
      <w:jc w:val="right"/>
    </w:pPr>
    <w:r>
      <w:fldChar w:fldCharType="begin"/>
    </w:r>
    <w:r>
      <w:instrText xml:space="preserve"> TITLE  \* MERGEFORMAT </w:instrText>
    </w:r>
    <w:r>
      <w:fldChar w:fldCharType="separate"/>
    </w:r>
    <w:r>
      <w:t>ECE/TRANS/WP.15/AC.2/2020/13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9576C44"/>
    <w:multiLevelType w:val="hybridMultilevel"/>
    <w:tmpl w:val="42DA2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0D6351"/>
    <w:rsid w:val="0001207F"/>
    <w:rsid w:val="00017F94"/>
    <w:rsid w:val="00023842"/>
    <w:rsid w:val="000334F9"/>
    <w:rsid w:val="0004639C"/>
    <w:rsid w:val="0007796D"/>
    <w:rsid w:val="000942EE"/>
    <w:rsid w:val="000960A2"/>
    <w:rsid w:val="000A52BF"/>
    <w:rsid w:val="000B7790"/>
    <w:rsid w:val="000D3EE9"/>
    <w:rsid w:val="000D62F3"/>
    <w:rsid w:val="000D6351"/>
    <w:rsid w:val="00111F2F"/>
    <w:rsid w:val="001433FD"/>
    <w:rsid w:val="0014365E"/>
    <w:rsid w:val="001541D3"/>
    <w:rsid w:val="00156B77"/>
    <w:rsid w:val="00176178"/>
    <w:rsid w:val="00177140"/>
    <w:rsid w:val="001D400F"/>
    <w:rsid w:val="001F525A"/>
    <w:rsid w:val="00223272"/>
    <w:rsid w:val="00240333"/>
    <w:rsid w:val="0024779E"/>
    <w:rsid w:val="00254F98"/>
    <w:rsid w:val="002832AC"/>
    <w:rsid w:val="002D7C93"/>
    <w:rsid w:val="0037241C"/>
    <w:rsid w:val="003819FF"/>
    <w:rsid w:val="00441C3B"/>
    <w:rsid w:val="00446B0A"/>
    <w:rsid w:val="00446FE5"/>
    <w:rsid w:val="00452396"/>
    <w:rsid w:val="00471288"/>
    <w:rsid w:val="0049687C"/>
    <w:rsid w:val="004E468C"/>
    <w:rsid w:val="005316B0"/>
    <w:rsid w:val="005505B7"/>
    <w:rsid w:val="005630CA"/>
    <w:rsid w:val="00573BE5"/>
    <w:rsid w:val="00586ED3"/>
    <w:rsid w:val="00596AA9"/>
    <w:rsid w:val="005B4D0F"/>
    <w:rsid w:val="00703D0F"/>
    <w:rsid w:val="00706363"/>
    <w:rsid w:val="007158BB"/>
    <w:rsid w:val="0071601D"/>
    <w:rsid w:val="0075410D"/>
    <w:rsid w:val="007A6119"/>
    <w:rsid w:val="007A62E6"/>
    <w:rsid w:val="0080684C"/>
    <w:rsid w:val="008204DA"/>
    <w:rsid w:val="00834CE6"/>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A3B13"/>
    <w:rsid w:val="00AC3823"/>
    <w:rsid w:val="00AD790D"/>
    <w:rsid w:val="00AE323C"/>
    <w:rsid w:val="00AF774C"/>
    <w:rsid w:val="00B00181"/>
    <w:rsid w:val="00B00B0D"/>
    <w:rsid w:val="00B37499"/>
    <w:rsid w:val="00B40927"/>
    <w:rsid w:val="00B50E25"/>
    <w:rsid w:val="00B64918"/>
    <w:rsid w:val="00B765F7"/>
    <w:rsid w:val="00BA0CA9"/>
    <w:rsid w:val="00BB684F"/>
    <w:rsid w:val="00C02897"/>
    <w:rsid w:val="00C1626B"/>
    <w:rsid w:val="00C57344"/>
    <w:rsid w:val="00C66A47"/>
    <w:rsid w:val="00C7616F"/>
    <w:rsid w:val="00C81F3B"/>
    <w:rsid w:val="00CB16B5"/>
    <w:rsid w:val="00CE0608"/>
    <w:rsid w:val="00D3439C"/>
    <w:rsid w:val="00D44CF3"/>
    <w:rsid w:val="00D46C8C"/>
    <w:rsid w:val="00DB1831"/>
    <w:rsid w:val="00DD3BFD"/>
    <w:rsid w:val="00DE239D"/>
    <w:rsid w:val="00DF431C"/>
    <w:rsid w:val="00DF6678"/>
    <w:rsid w:val="00E367AD"/>
    <w:rsid w:val="00E428C8"/>
    <w:rsid w:val="00EC153E"/>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137132"/>
  <w15:docId w15:val="{CF82183E-AC54-4DDD-B4A4-2EAF614F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ListParagraph">
    <w:name w:val="List Paragraph"/>
    <w:basedOn w:val="Normal"/>
    <w:uiPriority w:val="34"/>
    <w:qFormat/>
    <w:rsid w:val="00254F98"/>
    <w:pPr>
      <w:kinsoku/>
      <w:overflowPunct/>
      <w:autoSpaceDE/>
      <w:autoSpaceDN/>
      <w:adjustRightInd/>
      <w:snapToGrid/>
      <w:ind w:left="720"/>
      <w:contextualSpacing/>
    </w:pPr>
    <w:rPr>
      <w:lang w:eastAsia="fr-FR"/>
    </w:rPr>
  </w:style>
  <w:style w:type="table" w:customStyle="1" w:styleId="TableGrid1">
    <w:name w:val="Table Grid1"/>
    <w:basedOn w:val="TableNormal"/>
    <w:next w:val="TableGrid"/>
    <w:uiPriority w:val="39"/>
    <w:rsid w:val="00834CE6"/>
    <w:pPr>
      <w:tabs>
        <w:tab w:val="left" w:pos="425"/>
        <w:tab w:val="left" w:pos="851"/>
        <w:tab w:val="left" w:pos="1276"/>
      </w:tabs>
      <w:spacing w:after="0" w:line="240" w:lineRule="auto"/>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611B-3065-42ED-8685-2F933A6D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TRANS_WP1_24_F.dotm</Template>
  <TotalTime>42</TotalTime>
  <Pages>6</Pages>
  <Words>1309</Words>
  <Characters>6336</Characters>
  <Application>Microsoft Office Word</Application>
  <DocSecurity>0</DocSecurity>
  <Lines>446</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ECE/TRANS/WP.15/AC.2/2020/13</vt:lpstr>
      <vt:lpstr>ECE/EX/22</vt:lpstr>
    </vt:vector>
  </TitlesOfParts>
  <Company>DCM</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ECE/TRANS/WP.15/AC.2/2020/13</dc:title>
  <dc:subject>FINAL</dc:subject>
  <dc:creator>Marie-Claude Collet</dc:creator>
  <cp:keywords/>
  <dc:description/>
  <cp:lastModifiedBy>Marie-Claude Collet</cp:lastModifiedBy>
  <cp:revision>10</cp:revision>
  <cp:lastPrinted>2019-11-12T06:40:00Z</cp:lastPrinted>
  <dcterms:created xsi:type="dcterms:W3CDTF">2019-11-05T15:16:00Z</dcterms:created>
  <dcterms:modified xsi:type="dcterms:W3CDTF">2019-11-12T06:42:00Z</dcterms:modified>
</cp:coreProperties>
</file>