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CBA252F" w14:textId="77777777" w:rsidTr="00C97039">
        <w:trPr>
          <w:trHeight w:hRule="exact" w:val="851"/>
        </w:trPr>
        <w:tc>
          <w:tcPr>
            <w:tcW w:w="1276" w:type="dxa"/>
            <w:tcBorders>
              <w:bottom w:val="single" w:sz="4" w:space="0" w:color="auto"/>
            </w:tcBorders>
          </w:tcPr>
          <w:p w14:paraId="287DCF89" w14:textId="77777777" w:rsidR="00F35BAF" w:rsidRPr="00DB58B5" w:rsidRDefault="00F35BAF" w:rsidP="000C0344">
            <w:bookmarkStart w:id="0" w:name="_GoBack"/>
            <w:bookmarkEnd w:id="0"/>
          </w:p>
        </w:tc>
        <w:tc>
          <w:tcPr>
            <w:tcW w:w="2268" w:type="dxa"/>
            <w:tcBorders>
              <w:bottom w:val="single" w:sz="4" w:space="0" w:color="auto"/>
            </w:tcBorders>
            <w:vAlign w:val="bottom"/>
          </w:tcPr>
          <w:p w14:paraId="7D8F7C1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9900A3" w14:textId="77777777" w:rsidR="00F35BAF" w:rsidRPr="00DB58B5" w:rsidRDefault="000C0344" w:rsidP="000C0344">
            <w:pPr>
              <w:jc w:val="right"/>
            </w:pPr>
            <w:r w:rsidRPr="000C0344">
              <w:rPr>
                <w:sz w:val="40"/>
              </w:rPr>
              <w:t>ECE</w:t>
            </w:r>
            <w:r>
              <w:t>/TRANS/WP.15/AC.2/2020/16</w:t>
            </w:r>
          </w:p>
        </w:tc>
      </w:tr>
      <w:tr w:rsidR="00F35BAF" w:rsidRPr="00DB58B5" w14:paraId="5F44881F" w14:textId="77777777" w:rsidTr="00C97039">
        <w:trPr>
          <w:trHeight w:hRule="exact" w:val="2835"/>
        </w:trPr>
        <w:tc>
          <w:tcPr>
            <w:tcW w:w="1276" w:type="dxa"/>
            <w:tcBorders>
              <w:top w:val="single" w:sz="4" w:space="0" w:color="auto"/>
              <w:bottom w:val="single" w:sz="12" w:space="0" w:color="auto"/>
            </w:tcBorders>
          </w:tcPr>
          <w:p w14:paraId="0C317037" w14:textId="77777777" w:rsidR="00F35BAF" w:rsidRPr="00DB58B5" w:rsidRDefault="00F35BAF" w:rsidP="00C97039">
            <w:pPr>
              <w:spacing w:before="120"/>
              <w:jc w:val="center"/>
            </w:pPr>
            <w:r>
              <w:rPr>
                <w:noProof/>
                <w:lang w:eastAsia="fr-CH"/>
              </w:rPr>
              <w:drawing>
                <wp:inline distT="0" distB="0" distL="0" distR="0" wp14:anchorId="06A892AC" wp14:editId="0C0F89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AAB66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325B2F7" w14:textId="77777777" w:rsidR="00F35BAF" w:rsidRDefault="000C0344" w:rsidP="00C97039">
            <w:pPr>
              <w:spacing w:before="240"/>
            </w:pPr>
            <w:r>
              <w:t xml:space="preserve">Distr. </w:t>
            </w:r>
            <w:proofErr w:type="gramStart"/>
            <w:r>
              <w:t>générale</w:t>
            </w:r>
            <w:proofErr w:type="gramEnd"/>
          </w:p>
          <w:p w14:paraId="484F841F" w14:textId="77777777" w:rsidR="000C0344" w:rsidRDefault="000C0344" w:rsidP="000C0344">
            <w:pPr>
              <w:spacing w:line="240" w:lineRule="exact"/>
            </w:pPr>
            <w:r>
              <w:t>13 novembre 2019</w:t>
            </w:r>
          </w:p>
          <w:p w14:paraId="2D8C83A9" w14:textId="77777777" w:rsidR="000C0344" w:rsidRDefault="000C0344" w:rsidP="000C0344">
            <w:pPr>
              <w:spacing w:line="240" w:lineRule="exact"/>
            </w:pPr>
            <w:r>
              <w:t>Français</w:t>
            </w:r>
          </w:p>
          <w:p w14:paraId="02A3C18A" w14:textId="77777777" w:rsidR="000C0344" w:rsidRPr="00DB58B5" w:rsidRDefault="000C0344" w:rsidP="000C0344">
            <w:pPr>
              <w:spacing w:line="240" w:lineRule="exact"/>
            </w:pPr>
            <w:r>
              <w:t>Original : anglais</w:t>
            </w:r>
          </w:p>
        </w:tc>
      </w:tr>
    </w:tbl>
    <w:p w14:paraId="632707EB" w14:textId="77777777" w:rsidR="007F20FA" w:rsidRPr="000312C0" w:rsidRDefault="007F20FA" w:rsidP="007F20FA">
      <w:pPr>
        <w:spacing w:before="120"/>
        <w:rPr>
          <w:b/>
          <w:sz w:val="28"/>
          <w:szCs w:val="28"/>
        </w:rPr>
      </w:pPr>
      <w:r w:rsidRPr="000312C0">
        <w:rPr>
          <w:b/>
          <w:sz w:val="28"/>
          <w:szCs w:val="28"/>
        </w:rPr>
        <w:t>Commission économique pour l</w:t>
      </w:r>
      <w:r w:rsidR="00FA2029">
        <w:rPr>
          <w:b/>
          <w:sz w:val="28"/>
          <w:szCs w:val="28"/>
        </w:rPr>
        <w:t>’</w:t>
      </w:r>
      <w:r w:rsidRPr="000312C0">
        <w:rPr>
          <w:b/>
          <w:sz w:val="28"/>
          <w:szCs w:val="28"/>
        </w:rPr>
        <w:t>Europe</w:t>
      </w:r>
    </w:p>
    <w:p w14:paraId="6B67C079" w14:textId="77777777" w:rsidR="007F20FA" w:rsidRDefault="007F20FA" w:rsidP="007F20FA">
      <w:pPr>
        <w:spacing w:before="120"/>
        <w:rPr>
          <w:sz w:val="28"/>
          <w:szCs w:val="28"/>
        </w:rPr>
      </w:pPr>
      <w:r w:rsidRPr="00685843">
        <w:rPr>
          <w:sz w:val="28"/>
          <w:szCs w:val="28"/>
        </w:rPr>
        <w:t>Comité des transports intérieurs</w:t>
      </w:r>
    </w:p>
    <w:p w14:paraId="064FD6B3" w14:textId="77777777" w:rsidR="000C0344" w:rsidRPr="009E01B8" w:rsidRDefault="000C0344"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3FEC4481" w14:textId="77777777" w:rsidR="000C0344" w:rsidRPr="004812F5" w:rsidRDefault="000C0344" w:rsidP="00AF0CB5">
      <w:pPr>
        <w:spacing w:before="120"/>
        <w:rPr>
          <w:b/>
        </w:rPr>
      </w:pPr>
      <w:r w:rsidRPr="004812F5">
        <w:rPr>
          <w:b/>
          <w:lang w:val="fr-FR"/>
        </w:rPr>
        <w:t>Réunion commune d</w:t>
      </w:r>
      <w:r w:rsidR="00FA2029">
        <w:rPr>
          <w:b/>
          <w:lang w:val="fr-FR"/>
        </w:rPr>
        <w:t>’</w:t>
      </w:r>
      <w:r w:rsidRPr="004812F5">
        <w:rPr>
          <w:b/>
          <w:lang w:val="fr-FR"/>
        </w:rPr>
        <w:t>experts sur le Règlement annexé</w:t>
      </w:r>
      <w:r>
        <w:rPr>
          <w:b/>
          <w:lang w:val="fr-FR"/>
        </w:rPr>
        <w:br/>
      </w:r>
      <w:r w:rsidRPr="004812F5">
        <w:rPr>
          <w:b/>
          <w:lang w:val="fr-FR"/>
        </w:rPr>
        <w:t>à l</w:t>
      </w:r>
      <w:r w:rsidR="00FA2029">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sidR="00FA2029">
        <w:rPr>
          <w:b/>
          <w:bCs/>
          <w:lang w:val="fr-FR"/>
        </w:rPr>
        <w:t>’</w:t>
      </w:r>
      <w:r w:rsidRPr="004812F5">
        <w:rPr>
          <w:b/>
          <w:bCs/>
          <w:lang w:val="fr-FR"/>
        </w:rPr>
        <w:t>ADN)</w:t>
      </w:r>
    </w:p>
    <w:p w14:paraId="660CDA88" w14:textId="77777777" w:rsidR="000C0344" w:rsidRPr="00480D43" w:rsidRDefault="000C0344" w:rsidP="000C0344">
      <w:pPr>
        <w:spacing w:before="120"/>
        <w:rPr>
          <w:b/>
          <w:lang w:val="fr-FR"/>
        </w:rPr>
      </w:pPr>
      <w:r>
        <w:rPr>
          <w:b/>
          <w:bCs/>
          <w:lang w:val="fr-FR"/>
        </w:rPr>
        <w:t>Trente-sixième session</w:t>
      </w:r>
    </w:p>
    <w:p w14:paraId="16289329" w14:textId="77777777" w:rsidR="000C0344" w:rsidRPr="00480D43" w:rsidRDefault="000C0344" w:rsidP="000C0344">
      <w:pPr>
        <w:rPr>
          <w:lang w:val="fr-FR"/>
        </w:rPr>
      </w:pPr>
      <w:r>
        <w:rPr>
          <w:lang w:val="fr-FR"/>
        </w:rPr>
        <w:t>Genève, 27-31 janvier 2020</w:t>
      </w:r>
    </w:p>
    <w:p w14:paraId="2DA25A1F" w14:textId="77777777" w:rsidR="000C0344" w:rsidRPr="00480D43" w:rsidRDefault="000C0344" w:rsidP="000C0344">
      <w:pPr>
        <w:rPr>
          <w:lang w:val="fr-FR"/>
        </w:rPr>
      </w:pPr>
      <w:r>
        <w:rPr>
          <w:lang w:val="fr-FR"/>
        </w:rPr>
        <w:t>Point 5 b) de l</w:t>
      </w:r>
      <w:r w:rsidR="00FA2029">
        <w:rPr>
          <w:lang w:val="fr-FR"/>
        </w:rPr>
        <w:t>’</w:t>
      </w:r>
      <w:r>
        <w:rPr>
          <w:lang w:val="fr-FR"/>
        </w:rPr>
        <w:t>ordre du jour provisoire</w:t>
      </w:r>
    </w:p>
    <w:p w14:paraId="48682304" w14:textId="77777777" w:rsidR="000C0344" w:rsidRPr="00480D43" w:rsidRDefault="000C0344" w:rsidP="000C0344">
      <w:pPr>
        <w:pStyle w:val="SingleTxtG"/>
        <w:spacing w:after="0"/>
        <w:ind w:left="0"/>
        <w:rPr>
          <w:b/>
          <w:bCs/>
          <w:lang w:val="fr-FR"/>
        </w:rPr>
      </w:pPr>
      <w:r>
        <w:rPr>
          <w:b/>
          <w:bCs/>
          <w:lang w:val="fr-FR"/>
        </w:rPr>
        <w:t>Propositions d</w:t>
      </w:r>
      <w:r w:rsidR="00FA2029">
        <w:rPr>
          <w:b/>
          <w:bCs/>
          <w:lang w:val="fr-FR"/>
        </w:rPr>
        <w:t>’</w:t>
      </w:r>
      <w:r>
        <w:rPr>
          <w:b/>
          <w:bCs/>
          <w:lang w:val="fr-FR"/>
        </w:rPr>
        <w:t>amendements au Règlement annexé à l</w:t>
      </w:r>
      <w:r w:rsidR="00FA2029">
        <w:rPr>
          <w:b/>
          <w:bCs/>
          <w:lang w:val="fr-FR"/>
        </w:rPr>
        <w:t>’</w:t>
      </w:r>
      <w:r>
        <w:rPr>
          <w:b/>
          <w:bCs/>
          <w:lang w:val="fr-FR"/>
        </w:rPr>
        <w:t>ADN :</w:t>
      </w:r>
    </w:p>
    <w:p w14:paraId="5E141C6E" w14:textId="77777777" w:rsidR="000C0344" w:rsidRDefault="000C0344" w:rsidP="000C0344">
      <w:r>
        <w:rPr>
          <w:b/>
          <w:bCs/>
          <w:lang w:val="fr-FR"/>
        </w:rPr>
        <w:t>Autres propositions</w:t>
      </w:r>
    </w:p>
    <w:p w14:paraId="449388D8" w14:textId="77777777" w:rsidR="000C0344" w:rsidRPr="000C0344" w:rsidRDefault="000C0344" w:rsidP="000C0344">
      <w:pPr>
        <w:pStyle w:val="HChG"/>
        <w:rPr>
          <w:lang w:val="fr-FR"/>
        </w:rPr>
      </w:pPr>
      <w:r>
        <w:rPr>
          <w:lang w:val="fr-FR"/>
        </w:rPr>
        <w:tab/>
      </w:r>
      <w:r>
        <w:rPr>
          <w:lang w:val="fr-FR"/>
        </w:rPr>
        <w:tab/>
      </w:r>
      <w:r w:rsidRPr="000C0344">
        <w:rPr>
          <w:lang w:val="fr-FR"/>
        </w:rPr>
        <w:t xml:space="preserve">9.3.3.13.4 </w:t>
      </w:r>
      <w:r w:rsidRPr="000C0344">
        <w:rPr>
          <w:bCs/>
          <w:lang w:val="fr-FR"/>
        </w:rPr>
        <w:t>de l</w:t>
      </w:r>
      <w:r w:rsidR="00FA2029">
        <w:rPr>
          <w:bCs/>
          <w:lang w:val="fr-FR"/>
        </w:rPr>
        <w:t>’</w:t>
      </w:r>
      <w:r w:rsidRPr="000C0344">
        <w:rPr>
          <w:bCs/>
          <w:lang w:val="fr-FR"/>
        </w:rPr>
        <w:t>ADN</w:t>
      </w:r>
    </w:p>
    <w:p w14:paraId="6AF59AFC" w14:textId="77777777" w:rsidR="000C0344" w:rsidRPr="000C0344" w:rsidRDefault="000C0344" w:rsidP="000C0344">
      <w:pPr>
        <w:pStyle w:val="H1G"/>
        <w:rPr>
          <w:lang w:val="fr-FR"/>
        </w:rPr>
      </w:pPr>
      <w:r w:rsidRPr="000C0344">
        <w:rPr>
          <w:lang w:val="fr-FR"/>
        </w:rPr>
        <w:tab/>
      </w:r>
      <w:r w:rsidRPr="000C0344">
        <w:rPr>
          <w:lang w:val="fr-FR"/>
        </w:rPr>
        <w:tab/>
        <w:t>Communication des sociétés de classification ADN recommandées</w:t>
      </w:r>
      <w:r w:rsidRPr="000C0344">
        <w:rPr>
          <w:b w:val="0"/>
          <w:bCs/>
          <w:sz w:val="20"/>
          <w:lang w:val="fr-FR"/>
        </w:rPr>
        <w:footnoteReference w:customMarkFollows="1" w:id="2"/>
        <w:t>*</w:t>
      </w:r>
      <w:r w:rsidRPr="000C0344">
        <w:rPr>
          <w:b w:val="0"/>
          <w:position w:val="6"/>
          <w:sz w:val="20"/>
          <w:lang w:val="fr-FR"/>
        </w:rPr>
        <w:t>,</w:t>
      </w:r>
      <w:r>
        <w:rPr>
          <w:b w:val="0"/>
          <w:sz w:val="20"/>
          <w:lang w:val="fr-FR"/>
        </w:rPr>
        <w:t xml:space="preserve"> </w:t>
      </w:r>
      <w:r w:rsidRPr="000C0344">
        <w:rPr>
          <w:b w:val="0"/>
          <w:bCs/>
          <w:sz w:val="20"/>
          <w:lang w:val="fr-FR"/>
        </w:rPr>
        <w:footnoteReference w:customMarkFollows="1" w:id="3"/>
        <w:t>**</w:t>
      </w:r>
      <w:r w:rsidRPr="000C0344">
        <w:rPr>
          <w:lang w:val="fr-FR"/>
        </w:rPr>
        <w:t xml:space="preserve"> </w:t>
      </w:r>
    </w:p>
    <w:p w14:paraId="6B47B18D" w14:textId="77777777" w:rsidR="000C0344" w:rsidRPr="000C0344" w:rsidRDefault="000C0344" w:rsidP="000C0344">
      <w:pPr>
        <w:pStyle w:val="HChG"/>
        <w:rPr>
          <w:lang w:val="fr-FR"/>
        </w:rPr>
      </w:pPr>
      <w:r w:rsidRPr="000C0344">
        <w:rPr>
          <w:lang w:val="fr-FR"/>
        </w:rPr>
        <w:tab/>
      </w:r>
      <w:r w:rsidRPr="000C0344">
        <w:rPr>
          <w:lang w:val="fr-FR"/>
        </w:rPr>
        <w:tab/>
        <w:t>Introduction</w:t>
      </w:r>
    </w:p>
    <w:p w14:paraId="38735FBD" w14:textId="77777777" w:rsidR="000C0344" w:rsidRPr="000C0344" w:rsidRDefault="000C0344" w:rsidP="000C0344">
      <w:pPr>
        <w:pStyle w:val="SingleTxtG"/>
        <w:rPr>
          <w:lang w:val="fr-FR"/>
        </w:rPr>
      </w:pPr>
      <w:r w:rsidRPr="000C0344">
        <w:rPr>
          <w:lang w:val="fr-FR"/>
        </w:rPr>
        <w:t>1.</w:t>
      </w:r>
      <w:r w:rsidRPr="000C0344">
        <w:rPr>
          <w:lang w:val="fr-FR"/>
        </w:rPr>
        <w:tab/>
        <w:t>Une modification importante a été apportée en 2007 au 9.3.3.13.3 du Règlement pour le transport de matières dangereuses sur le Rhin (ADNR), afin de mettre en œuvre de nouvelles dispositions relatives à la stabilité après avarie pour les bateaux à double coque de type N/avec citernes indépendantes. Un deuxième alinéa a été ajouté à cet effet.</w:t>
      </w:r>
    </w:p>
    <w:p w14:paraId="3D2CB6B1" w14:textId="77777777" w:rsidR="000C0344" w:rsidRPr="000C0344" w:rsidRDefault="000C0344" w:rsidP="000C0344">
      <w:pPr>
        <w:pStyle w:val="SingleTxtG"/>
        <w:rPr>
          <w:lang w:val="fr-FR"/>
        </w:rPr>
      </w:pPr>
      <w:r w:rsidRPr="000C0344">
        <w:rPr>
          <w:lang w:val="fr-FR"/>
        </w:rPr>
        <w:t>2.</w:t>
      </w:r>
      <w:r w:rsidRPr="000C0344">
        <w:rPr>
          <w:lang w:val="fr-FR"/>
        </w:rPr>
        <w:tab/>
        <w:t>Le deuxième alinéa du 9.3.3.13.3 précise que la preuve de la stabilité après avarie doit être établie au moyen de calculs.</w:t>
      </w:r>
    </w:p>
    <w:p w14:paraId="776986C1" w14:textId="77777777" w:rsidR="000C0344" w:rsidRPr="000C0344" w:rsidRDefault="000C0344" w:rsidP="000C0344">
      <w:pPr>
        <w:pStyle w:val="SingleTxtG"/>
        <w:rPr>
          <w:lang w:val="fr-FR"/>
        </w:rPr>
      </w:pPr>
      <w:r w:rsidRPr="000C0344">
        <w:rPr>
          <w:lang w:val="fr-FR"/>
        </w:rPr>
        <w:t>3.</w:t>
      </w:r>
      <w:r w:rsidRPr="000C0344">
        <w:rPr>
          <w:lang w:val="fr-FR"/>
        </w:rPr>
        <w:tab/>
        <w:t>Le 9.3.3.15 énumère les hypothèses à prendre en considération.</w:t>
      </w:r>
    </w:p>
    <w:p w14:paraId="26638DE1" w14:textId="77777777" w:rsidR="000C0344" w:rsidRPr="000C0344" w:rsidRDefault="000C0344" w:rsidP="000C0344">
      <w:pPr>
        <w:pStyle w:val="SingleTxtG"/>
        <w:rPr>
          <w:lang w:val="fr-FR"/>
        </w:rPr>
      </w:pPr>
      <w:r w:rsidRPr="000C0344">
        <w:rPr>
          <w:lang w:val="fr-FR"/>
        </w:rPr>
        <w:t>4.</w:t>
      </w:r>
      <w:r w:rsidRPr="000C0344">
        <w:rPr>
          <w:lang w:val="fr-FR"/>
        </w:rPr>
        <w:tab/>
        <w:t>Lors des révisions suivantes de l</w:t>
      </w:r>
      <w:r w:rsidR="00FA2029">
        <w:rPr>
          <w:lang w:val="fr-FR"/>
        </w:rPr>
        <w:t>’</w:t>
      </w:r>
      <w:r w:rsidRPr="000C0344">
        <w:rPr>
          <w:lang w:val="fr-FR"/>
        </w:rPr>
        <w:t>ADNR et de l</w:t>
      </w:r>
      <w:r w:rsidR="00FA2029">
        <w:rPr>
          <w:lang w:val="fr-FR"/>
        </w:rPr>
        <w:t>’</w:t>
      </w:r>
      <w:r w:rsidRPr="000C0344">
        <w:rPr>
          <w:lang w:val="fr-FR"/>
        </w:rPr>
        <w:t>ADN, le deuxième alinéa du 9.3.3.13.3 a été modifié à plusieurs reprises, mais son objectif reste le même : les bateaux à double coque de type</w:t>
      </w:r>
      <w:r w:rsidR="00FA2029">
        <w:rPr>
          <w:lang w:val="fr-FR"/>
        </w:rPr>
        <w:t> </w:t>
      </w:r>
      <w:r w:rsidRPr="000C0344">
        <w:rPr>
          <w:lang w:val="fr-FR"/>
        </w:rPr>
        <w:t>N/avec citernes indépendantes doivent satisfaire aux dispositions relatives à la stabilité après avarie.</w:t>
      </w:r>
    </w:p>
    <w:p w14:paraId="5446BCA4" w14:textId="77777777" w:rsidR="000C0344" w:rsidRPr="000C0344" w:rsidRDefault="000C0344" w:rsidP="000C0344">
      <w:pPr>
        <w:pStyle w:val="SingleTxtG"/>
        <w:rPr>
          <w:lang w:val="fr-FR"/>
        </w:rPr>
      </w:pPr>
      <w:r w:rsidRPr="000C0344">
        <w:rPr>
          <w:lang w:val="fr-FR"/>
        </w:rPr>
        <w:t>5.</w:t>
      </w:r>
      <w:r w:rsidRPr="000C0344">
        <w:rPr>
          <w:lang w:val="fr-FR"/>
        </w:rPr>
        <w:tab/>
        <w:t>Pour les bateaux construits avant 2007, la disposition transitoire devrait être maintenue telle qu</w:t>
      </w:r>
      <w:r w:rsidR="00FA2029">
        <w:rPr>
          <w:lang w:val="fr-FR"/>
        </w:rPr>
        <w:t>’</w:t>
      </w:r>
      <w:r w:rsidRPr="000C0344">
        <w:rPr>
          <w:lang w:val="fr-FR"/>
        </w:rPr>
        <w:t>elle figure dans l</w:t>
      </w:r>
      <w:r w:rsidR="00FA2029">
        <w:rPr>
          <w:lang w:val="fr-FR"/>
        </w:rPr>
        <w:t>’</w:t>
      </w:r>
      <w:r w:rsidRPr="000C0344">
        <w:rPr>
          <w:lang w:val="fr-FR"/>
        </w:rPr>
        <w:t>ADN ; dans le cas contraire, ces bateaux devraient satisfaire aux dispositions relatives à la stabilité après avarie et la plupart d</w:t>
      </w:r>
      <w:r w:rsidR="00FA2029">
        <w:rPr>
          <w:lang w:val="fr-FR"/>
        </w:rPr>
        <w:t>’</w:t>
      </w:r>
      <w:r w:rsidRPr="000C0344">
        <w:rPr>
          <w:lang w:val="fr-FR"/>
        </w:rPr>
        <w:t>entre eux ne sont pas conçus pour cela.</w:t>
      </w:r>
    </w:p>
    <w:p w14:paraId="38BFB97E" w14:textId="77777777" w:rsidR="000C0344" w:rsidRPr="000C0344" w:rsidRDefault="000C0344" w:rsidP="000C0344">
      <w:pPr>
        <w:pStyle w:val="SingleTxtG"/>
        <w:rPr>
          <w:b/>
          <w:u w:val="single"/>
          <w:lang w:val="fr-FR"/>
        </w:rPr>
      </w:pPr>
      <w:r w:rsidRPr="000C0344">
        <w:rPr>
          <w:lang w:val="fr-FR"/>
        </w:rPr>
        <w:lastRenderedPageBreak/>
        <w:t>6.</w:t>
      </w:r>
      <w:r w:rsidRPr="000C0344">
        <w:rPr>
          <w:lang w:val="fr-FR"/>
        </w:rPr>
        <w:tab/>
        <w:t>Des extraits de l</w:t>
      </w:r>
      <w:r w:rsidR="00FA2029">
        <w:rPr>
          <w:lang w:val="fr-FR"/>
        </w:rPr>
        <w:t>’</w:t>
      </w:r>
      <w:r w:rsidRPr="000C0344">
        <w:rPr>
          <w:lang w:val="fr-FR"/>
        </w:rPr>
        <w:t>ADN montrant l</w:t>
      </w:r>
      <w:r w:rsidR="00FA2029">
        <w:rPr>
          <w:lang w:val="fr-FR"/>
        </w:rPr>
        <w:t>’</w:t>
      </w:r>
      <w:r w:rsidRPr="000C0344">
        <w:rPr>
          <w:lang w:val="fr-FR"/>
        </w:rPr>
        <w:t xml:space="preserve">évolution du règlement sont présentés ci-dessous à titre informatif. </w:t>
      </w:r>
    </w:p>
    <w:p w14:paraId="2E3BEF6A" w14:textId="77777777" w:rsidR="000C0344" w:rsidRPr="000C0344" w:rsidRDefault="000C0344" w:rsidP="000C0344">
      <w:pPr>
        <w:pStyle w:val="H23G"/>
        <w:rPr>
          <w:lang w:val="fr-FR"/>
        </w:rPr>
      </w:pPr>
      <w:r w:rsidRPr="000C0344">
        <w:rPr>
          <w:lang w:val="fr-FR"/>
        </w:rPr>
        <w:tab/>
      </w:r>
      <w:r w:rsidRPr="000C0344">
        <w:rPr>
          <w:lang w:val="fr-FR"/>
        </w:rPr>
        <w:tab/>
        <w:t>1.</w:t>
      </w:r>
      <w:r w:rsidRPr="000C0344">
        <w:rPr>
          <w:lang w:val="fr-FR"/>
        </w:rPr>
        <w:tab/>
        <w:t>ADN 2011 (preuve de la stabilité après avarie exigée au 9.9.9.13.3, alinéa 2, qui est assorti de dispositions transitoires)</w:t>
      </w:r>
    </w:p>
    <w:p w14:paraId="4C5C8AC7" w14:textId="77777777" w:rsidR="000C0344" w:rsidRPr="000C0344" w:rsidRDefault="000C0344" w:rsidP="000C0344">
      <w:pPr>
        <w:pStyle w:val="SingleTxtG"/>
        <w:ind w:left="2268" w:hanging="1134"/>
        <w:rPr>
          <w:b/>
          <w:bCs/>
          <w:lang w:val="fr-FR"/>
        </w:rPr>
      </w:pPr>
      <w:r w:rsidRPr="000C0344">
        <w:rPr>
          <w:lang w:val="fr-FR"/>
        </w:rPr>
        <w:t>«</w:t>
      </w:r>
      <w:r w:rsidRPr="000C0344">
        <w:rPr>
          <w:b/>
          <w:bCs/>
          <w:lang w:val="fr-FR"/>
        </w:rPr>
        <w:t> 9.3.3.13</w:t>
      </w:r>
      <w:r w:rsidRPr="000C0344">
        <w:rPr>
          <w:lang w:val="fr-FR"/>
        </w:rPr>
        <w:tab/>
      </w:r>
      <w:r w:rsidRPr="000C0344">
        <w:rPr>
          <w:b/>
          <w:bCs/>
          <w:i/>
          <w:iCs/>
          <w:lang w:val="fr-FR"/>
        </w:rPr>
        <w:t>Stabilité (généralités)</w:t>
      </w:r>
    </w:p>
    <w:p w14:paraId="1544C2E5" w14:textId="77777777" w:rsidR="000C0344" w:rsidRPr="000C0344" w:rsidRDefault="000C0344" w:rsidP="000C0344">
      <w:pPr>
        <w:pStyle w:val="SingleTxtG"/>
        <w:ind w:left="2268" w:hanging="1134"/>
        <w:rPr>
          <w:lang w:val="fr-FR"/>
        </w:rPr>
      </w:pPr>
      <w:r w:rsidRPr="000C0344">
        <w:rPr>
          <w:lang w:val="fr-FR"/>
        </w:rPr>
        <w:t>9.3.3.13.1</w:t>
      </w:r>
      <w:r w:rsidRPr="000C0344">
        <w:rPr>
          <w:lang w:val="fr-FR"/>
        </w:rPr>
        <w:tab/>
        <w:t>La preuve d</w:t>
      </w:r>
      <w:r w:rsidR="00FA2029">
        <w:rPr>
          <w:lang w:val="fr-FR"/>
        </w:rPr>
        <w:t>’</w:t>
      </w:r>
      <w:r w:rsidRPr="000C0344">
        <w:rPr>
          <w:lang w:val="fr-FR"/>
        </w:rPr>
        <w:t>une stabilité suffisante doit être apportée. Cette preuve n</w:t>
      </w:r>
      <w:r w:rsidR="00FA2029">
        <w:rPr>
          <w:lang w:val="fr-FR"/>
        </w:rPr>
        <w:t>’</w:t>
      </w:r>
      <w:r w:rsidRPr="000C0344">
        <w:rPr>
          <w:lang w:val="fr-FR"/>
        </w:rPr>
        <w:t>est pas exigée pour les bateaux à simple coque dont la largeur des citernes à cargaison est inférieure ou égale à 0,70xB.</w:t>
      </w:r>
    </w:p>
    <w:p w14:paraId="09F5936D" w14:textId="77777777" w:rsidR="000C0344" w:rsidRPr="000C0344" w:rsidRDefault="000C0344" w:rsidP="000C0344">
      <w:pPr>
        <w:pStyle w:val="SingleTxtG"/>
        <w:ind w:left="2268" w:hanging="1134"/>
        <w:rPr>
          <w:lang w:val="fr-FR"/>
        </w:rPr>
      </w:pPr>
      <w:r w:rsidRPr="000C0344">
        <w:rPr>
          <w:lang w:val="fr-FR"/>
        </w:rPr>
        <w:t>9.3.3.13.2</w:t>
      </w:r>
      <w:r w:rsidRPr="000C0344">
        <w:rPr>
          <w:lang w:val="fr-FR"/>
        </w:rPr>
        <w:tab/>
        <w:t xml:space="preserve">Pour le calcul de la stabilité, les valeurs de base </w:t>
      </w:r>
      <w:r w:rsidR="00151F37">
        <w:rPr>
          <w:lang w:val="fr-FR"/>
        </w:rPr>
        <w:t>− </w:t>
      </w:r>
      <w:r w:rsidRPr="000C0344">
        <w:rPr>
          <w:lang w:val="fr-FR"/>
        </w:rPr>
        <w:t>poids du bateau à l</w:t>
      </w:r>
      <w:r w:rsidR="00FA2029">
        <w:rPr>
          <w:lang w:val="fr-FR"/>
        </w:rPr>
        <w:t>’</w:t>
      </w:r>
      <w:r w:rsidRPr="000C0344">
        <w:rPr>
          <w:lang w:val="fr-FR"/>
        </w:rPr>
        <w:t>état lège et emplacement du centre de gravité</w:t>
      </w:r>
      <w:r w:rsidR="00151F37">
        <w:rPr>
          <w:lang w:val="fr-FR"/>
        </w:rPr>
        <w:t> −</w:t>
      </w:r>
      <w:r w:rsidRPr="000C0344">
        <w:rPr>
          <w:lang w:val="fr-FR"/>
        </w:rPr>
        <w:t xml:space="preserve"> doivent être définies au moyen d</w:t>
      </w:r>
      <w:r w:rsidR="00FA2029">
        <w:rPr>
          <w:lang w:val="fr-FR"/>
        </w:rPr>
        <w:t>’</w:t>
      </w:r>
      <w:r w:rsidRPr="000C0344">
        <w:rPr>
          <w:lang w:val="fr-FR"/>
        </w:rPr>
        <w:t>une expérience de gîte ou par des calculs précis de masse et de moment. Dans ce dernier cas, le poids du bateau à l</w:t>
      </w:r>
      <w:r w:rsidR="00FA2029">
        <w:rPr>
          <w:lang w:val="fr-FR"/>
        </w:rPr>
        <w:t>’</w:t>
      </w:r>
      <w:r w:rsidRPr="000C0344">
        <w:rPr>
          <w:lang w:val="fr-FR"/>
        </w:rPr>
        <w:t>état lège doit être vérifié au moyen d</w:t>
      </w:r>
      <w:r w:rsidR="00FA2029">
        <w:rPr>
          <w:lang w:val="fr-FR"/>
        </w:rPr>
        <w:t>’</w:t>
      </w:r>
      <w:r w:rsidRPr="000C0344">
        <w:rPr>
          <w:lang w:val="fr-FR"/>
        </w:rPr>
        <w:t>une étude du poids à l</w:t>
      </w:r>
      <w:r w:rsidR="00FA2029">
        <w:rPr>
          <w:lang w:val="fr-FR"/>
        </w:rPr>
        <w:t>’</w:t>
      </w:r>
      <w:r w:rsidRPr="000C0344">
        <w:rPr>
          <w:lang w:val="fr-FR"/>
        </w:rPr>
        <w:t>état lège avec la limite de tolérance ± 5 % entre la masse déterminée par le calcul et le déplacement déterminé par lecture du tirant d</w:t>
      </w:r>
      <w:r w:rsidR="00FA2029">
        <w:rPr>
          <w:lang w:val="fr-FR"/>
        </w:rPr>
        <w:t>’</w:t>
      </w:r>
      <w:r w:rsidRPr="000C0344">
        <w:rPr>
          <w:lang w:val="fr-FR"/>
        </w:rPr>
        <w:t>eau.</w:t>
      </w:r>
    </w:p>
    <w:p w14:paraId="2D2573F9" w14:textId="77777777" w:rsidR="000C0344" w:rsidRPr="000C0344" w:rsidRDefault="000C0344" w:rsidP="000C0344">
      <w:pPr>
        <w:pStyle w:val="SingleTxtG"/>
        <w:ind w:left="2268" w:hanging="1134"/>
        <w:rPr>
          <w:lang w:val="fr-FR"/>
        </w:rPr>
      </w:pPr>
      <w:r w:rsidRPr="000C0344">
        <w:rPr>
          <w:lang w:val="fr-FR"/>
        </w:rPr>
        <w:t>9.3.3.13.3</w:t>
      </w:r>
      <w:r w:rsidRPr="000C0344">
        <w:rPr>
          <w:lang w:val="fr-FR"/>
        </w:rPr>
        <w:tab/>
        <w:t>La preuve d</w:t>
      </w:r>
      <w:r w:rsidR="00FA2029">
        <w:rPr>
          <w:lang w:val="fr-FR"/>
        </w:rPr>
        <w:t>’</w:t>
      </w:r>
      <w:r w:rsidRPr="000C0344">
        <w:rPr>
          <w:lang w:val="fr-FR"/>
        </w:rPr>
        <w:t>une stabilité suffisante à l</w:t>
      </w:r>
      <w:r w:rsidR="00FA2029">
        <w:rPr>
          <w:lang w:val="fr-FR"/>
        </w:rPr>
        <w:t>’</w:t>
      </w:r>
      <w:r w:rsidRPr="000C0344">
        <w:rPr>
          <w:lang w:val="fr-FR"/>
        </w:rPr>
        <w:t>état intact doit être apportée pour toutes les conditions de chargement ou de déchargement et pour la condition de chargement final.</w:t>
      </w:r>
    </w:p>
    <w:p w14:paraId="10DED3DA" w14:textId="77777777" w:rsidR="000C0344" w:rsidRPr="000C0344" w:rsidRDefault="000C0344" w:rsidP="000C0344">
      <w:pPr>
        <w:pStyle w:val="SingleTxtG"/>
        <w:ind w:left="2268"/>
        <w:rPr>
          <w:b/>
          <w:bCs/>
          <w:lang w:val="fr-FR"/>
        </w:rPr>
      </w:pPr>
      <w:r w:rsidRPr="000C0344">
        <w:rPr>
          <w:b/>
          <w:bCs/>
          <w:lang w:val="fr-FR"/>
        </w:rPr>
        <w:t>Pour les bateaux avec des citernes à cargaison indépendantes et pour les constructions à double coque avec des citernes à cargaison intégrées dans les couples du bateau, la preuve de la flottabilité du bateau après avarie doit être apportée dans les stades de chargement les moins favorables.</w:t>
      </w:r>
    </w:p>
    <w:p w14:paraId="4F72151B" w14:textId="77777777" w:rsidR="000C0344" w:rsidRPr="000C0344" w:rsidRDefault="000C0344" w:rsidP="000C0344">
      <w:pPr>
        <w:pStyle w:val="SingleTxtG"/>
        <w:ind w:left="2268"/>
        <w:rPr>
          <w:lang w:val="fr-FR"/>
        </w:rPr>
      </w:pPr>
      <w:r w:rsidRPr="000C0344">
        <w:rPr>
          <w:lang w:val="fr-FR"/>
        </w:rPr>
        <w:t>À cette fin, la preuve d</w:t>
      </w:r>
      <w:r w:rsidR="00FA2029">
        <w:rPr>
          <w:lang w:val="fr-FR"/>
        </w:rPr>
        <w:t>’</w:t>
      </w:r>
      <w:r w:rsidRPr="000C0344">
        <w:rPr>
          <w:lang w:val="fr-FR"/>
        </w:rPr>
        <w:t>une stabilité suffisante doit être établie au moyen de calculs pour les stades intermédiaires critiques d</w:t>
      </w:r>
      <w:r w:rsidR="00FA2029">
        <w:rPr>
          <w:lang w:val="fr-FR"/>
        </w:rPr>
        <w:t>’</w:t>
      </w:r>
      <w:r w:rsidRPr="000C0344">
        <w:rPr>
          <w:lang w:val="fr-FR"/>
        </w:rPr>
        <w:t>envahissement et pour le stade final d</w:t>
      </w:r>
      <w:r w:rsidR="00FA2029">
        <w:rPr>
          <w:lang w:val="fr-FR"/>
        </w:rPr>
        <w:t>’</w:t>
      </w:r>
      <w:r w:rsidRPr="000C0344">
        <w:rPr>
          <w:lang w:val="fr-FR"/>
        </w:rPr>
        <w:t>envahissement. Si des valeurs négatives apparaissent dans les stades intermédiaires, elles peuvent être admises si la suite de la courbe du bras de levier présente des valeurs de stabilité positives suffisantes. »</w:t>
      </w:r>
    </w:p>
    <w:p w14:paraId="66A08E83" w14:textId="77777777" w:rsidR="000C0344" w:rsidRPr="000C0344" w:rsidRDefault="000C0344" w:rsidP="00FA2029">
      <w:pPr>
        <w:pStyle w:val="SingleTxtG"/>
        <w:rPr>
          <w:lang w:val="fr-FR"/>
        </w:rPr>
      </w:pPr>
      <w:r w:rsidRPr="000C0344">
        <w:rPr>
          <w:lang w:val="fr-FR"/>
        </w:rPr>
        <w:t xml:space="preserve">1.6.7.2.2.2 </w:t>
      </w:r>
      <w:r>
        <w:rPr>
          <w:lang w:val="fr-FR"/>
        </w:rPr>
        <w:tab/>
      </w:r>
      <w:r w:rsidRPr="000C0344">
        <w:rPr>
          <w:lang w:val="fr-FR"/>
        </w:rPr>
        <w:t xml:space="preserve">Tableau des </w:t>
      </w:r>
      <w:r w:rsidRPr="000C0344">
        <w:rPr>
          <w:b/>
          <w:u w:val="single"/>
          <w:lang w:val="fr-FR"/>
        </w:rPr>
        <w:t>dispositions transitoires</w:t>
      </w:r>
      <w:r w:rsidRPr="000C0344">
        <w:rPr>
          <w:lang w:val="fr-FR"/>
        </w:rPr>
        <w:t xml:space="preserve"> générales </w:t>
      </w:r>
      <w:r>
        <w:rPr>
          <w:lang w:val="fr-FR"/>
        </w:rPr>
        <w:t>− </w:t>
      </w:r>
      <w:r w:rsidRPr="000C0344">
        <w:rPr>
          <w:lang w:val="fr-FR"/>
        </w:rPr>
        <w:t>Bateaux-citernes</w:t>
      </w:r>
    </w:p>
    <w:tbl>
      <w:tblPr>
        <w:tblW w:w="7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08"/>
        <w:gridCol w:w="1808"/>
        <w:gridCol w:w="3754"/>
      </w:tblGrid>
      <w:tr w:rsidR="000C0344" w:rsidRPr="000C0344" w14:paraId="56A7DEC0" w14:textId="77777777" w:rsidTr="00FA2029">
        <w:trPr>
          <w:cantSplit/>
          <w:jc w:val="center"/>
        </w:trPr>
        <w:tc>
          <w:tcPr>
            <w:tcW w:w="1808" w:type="dxa"/>
            <w:tcBorders>
              <w:top w:val="single" w:sz="6" w:space="0" w:color="auto"/>
              <w:left w:val="single" w:sz="6" w:space="0" w:color="auto"/>
              <w:bottom w:val="single" w:sz="6" w:space="0" w:color="auto"/>
              <w:right w:val="single" w:sz="6" w:space="0" w:color="auto"/>
            </w:tcBorders>
            <w:hideMark/>
          </w:tcPr>
          <w:p w14:paraId="38883266" w14:textId="77777777" w:rsidR="000C0344" w:rsidRPr="000C0344" w:rsidRDefault="000C0344" w:rsidP="000C0344">
            <w:pPr>
              <w:pStyle w:val="SingleTxtG"/>
              <w:spacing w:before="60" w:after="60"/>
              <w:ind w:left="57" w:right="57"/>
            </w:pPr>
            <w:r w:rsidRPr="000C0344">
              <w:rPr>
                <w:lang w:val="fr-FR"/>
              </w:rPr>
              <w:t>9.3.1.13</w:t>
            </w:r>
          </w:p>
          <w:p w14:paraId="5C0241BA" w14:textId="77777777" w:rsidR="000C0344" w:rsidRPr="000C0344" w:rsidRDefault="000C0344" w:rsidP="000C0344">
            <w:pPr>
              <w:pStyle w:val="SingleTxtG"/>
              <w:spacing w:before="60" w:after="60"/>
              <w:ind w:left="57" w:right="57"/>
            </w:pPr>
            <w:r w:rsidRPr="000C0344">
              <w:rPr>
                <w:lang w:val="fr-FR"/>
              </w:rPr>
              <w:t>9.3.3.13</w:t>
            </w:r>
          </w:p>
        </w:tc>
        <w:tc>
          <w:tcPr>
            <w:tcW w:w="1808" w:type="dxa"/>
            <w:tcBorders>
              <w:top w:val="single" w:sz="6" w:space="0" w:color="auto"/>
              <w:left w:val="single" w:sz="6" w:space="0" w:color="auto"/>
              <w:bottom w:val="single" w:sz="6" w:space="0" w:color="auto"/>
              <w:right w:val="single" w:sz="6" w:space="0" w:color="auto"/>
            </w:tcBorders>
            <w:hideMark/>
          </w:tcPr>
          <w:p w14:paraId="5DA07222" w14:textId="77777777" w:rsidR="000C0344" w:rsidRPr="000C0344" w:rsidRDefault="000C0344" w:rsidP="000C0344">
            <w:pPr>
              <w:pStyle w:val="SingleTxtG"/>
              <w:spacing w:before="60" w:after="60"/>
              <w:ind w:left="57" w:right="57"/>
            </w:pPr>
            <w:r w:rsidRPr="000C0344">
              <w:rPr>
                <w:lang w:val="fr-FR"/>
              </w:rPr>
              <w:t>Stabilité (généralités)</w:t>
            </w:r>
          </w:p>
        </w:tc>
        <w:tc>
          <w:tcPr>
            <w:tcW w:w="3754" w:type="dxa"/>
            <w:tcBorders>
              <w:top w:val="single" w:sz="6" w:space="0" w:color="auto"/>
              <w:left w:val="single" w:sz="6" w:space="0" w:color="auto"/>
              <w:bottom w:val="single" w:sz="6" w:space="0" w:color="auto"/>
              <w:right w:val="single" w:sz="6" w:space="0" w:color="auto"/>
            </w:tcBorders>
            <w:hideMark/>
          </w:tcPr>
          <w:p w14:paraId="6F475BF7" w14:textId="77777777" w:rsidR="000C0344" w:rsidRPr="000C0344" w:rsidRDefault="000C0344" w:rsidP="000C0344">
            <w:pPr>
              <w:pStyle w:val="SingleTxtG"/>
              <w:spacing w:before="60" w:after="60"/>
              <w:ind w:left="57" w:right="57"/>
              <w:rPr>
                <w:lang w:val="fr-FR"/>
              </w:rPr>
            </w:pPr>
            <w:r w:rsidRPr="000C0344">
              <w:rPr>
                <w:lang w:val="fr-FR"/>
              </w:rPr>
              <w:t>N.</w:t>
            </w:r>
            <w:r w:rsidR="00FA2029">
              <w:rPr>
                <w:lang w:val="fr-FR"/>
              </w:rPr>
              <w:t> </w:t>
            </w:r>
            <w:r w:rsidRPr="000C0344">
              <w:rPr>
                <w:lang w:val="fr-FR"/>
              </w:rPr>
              <w:t>R.</w:t>
            </w:r>
            <w:r w:rsidR="00FA2029">
              <w:rPr>
                <w:lang w:val="fr-FR"/>
              </w:rPr>
              <w:t> </w:t>
            </w:r>
            <w:r w:rsidRPr="000C0344">
              <w:rPr>
                <w:lang w:val="fr-FR"/>
              </w:rPr>
              <w:t>T.</w:t>
            </w:r>
          </w:p>
          <w:p w14:paraId="1F9FF5DD" w14:textId="77777777" w:rsidR="000C0344" w:rsidRPr="000C0344" w:rsidRDefault="000C0344" w:rsidP="000C0344">
            <w:pPr>
              <w:pStyle w:val="SingleTxtG"/>
              <w:spacing w:before="60" w:after="60"/>
              <w:ind w:left="57" w:right="57"/>
              <w:rPr>
                <w:lang w:val="fr-FR"/>
              </w:rPr>
            </w:pPr>
            <w:r w:rsidRPr="000C0344">
              <w:rPr>
                <w:lang w:val="fr-FR"/>
              </w:rPr>
              <w:t>Renouvellement du certificat d</w:t>
            </w:r>
            <w:r w:rsidR="00FA2029">
              <w:rPr>
                <w:lang w:val="fr-FR"/>
              </w:rPr>
              <w:t>’</w:t>
            </w:r>
            <w:r w:rsidRPr="000C0344">
              <w:rPr>
                <w:lang w:val="fr-FR"/>
              </w:rPr>
              <w:t>agrément après le 31</w:t>
            </w:r>
            <w:r w:rsidR="00FA2029">
              <w:rPr>
                <w:lang w:val="fr-FR"/>
              </w:rPr>
              <w:t> </w:t>
            </w:r>
            <w:r w:rsidRPr="000C0344">
              <w:rPr>
                <w:lang w:val="fr-FR"/>
              </w:rPr>
              <w:t>décembre 2044</w:t>
            </w:r>
          </w:p>
        </w:tc>
      </w:tr>
      <w:tr w:rsidR="000C0344" w:rsidRPr="000C0344" w14:paraId="5AACE4C6" w14:textId="77777777" w:rsidTr="00FA2029">
        <w:trPr>
          <w:cantSplit/>
          <w:jc w:val="center"/>
        </w:trPr>
        <w:tc>
          <w:tcPr>
            <w:tcW w:w="1808" w:type="dxa"/>
            <w:tcBorders>
              <w:top w:val="single" w:sz="6" w:space="0" w:color="auto"/>
              <w:left w:val="single" w:sz="6" w:space="0" w:color="auto"/>
              <w:bottom w:val="single" w:sz="6" w:space="0" w:color="auto"/>
              <w:right w:val="single" w:sz="6" w:space="0" w:color="auto"/>
            </w:tcBorders>
            <w:hideMark/>
          </w:tcPr>
          <w:p w14:paraId="01193FD3" w14:textId="77777777" w:rsidR="000C0344" w:rsidRPr="000C0344" w:rsidRDefault="000C0344" w:rsidP="000C0344">
            <w:pPr>
              <w:pStyle w:val="SingleTxtG"/>
              <w:spacing w:before="60" w:after="60"/>
              <w:ind w:left="57" w:right="57"/>
              <w:rPr>
                <w:lang w:val="fr-FR"/>
              </w:rPr>
            </w:pPr>
            <w:r w:rsidRPr="000C0344">
              <w:rPr>
                <w:lang w:val="fr-FR"/>
              </w:rPr>
              <w:t xml:space="preserve">9.3.3.13.3 </w:t>
            </w:r>
            <w:r w:rsidRPr="000C0344">
              <w:rPr>
                <w:lang w:val="fr-FR"/>
              </w:rPr>
              <w:br/>
              <w:t>alinéa 2</w:t>
            </w:r>
          </w:p>
        </w:tc>
        <w:tc>
          <w:tcPr>
            <w:tcW w:w="1808" w:type="dxa"/>
            <w:tcBorders>
              <w:top w:val="single" w:sz="6" w:space="0" w:color="auto"/>
              <w:left w:val="single" w:sz="6" w:space="0" w:color="auto"/>
              <w:bottom w:val="single" w:sz="6" w:space="0" w:color="auto"/>
              <w:right w:val="single" w:sz="6" w:space="0" w:color="auto"/>
            </w:tcBorders>
            <w:hideMark/>
          </w:tcPr>
          <w:p w14:paraId="40B22D7C" w14:textId="77777777" w:rsidR="000C0344" w:rsidRPr="000C0344" w:rsidRDefault="000C0344" w:rsidP="000C0344">
            <w:pPr>
              <w:pStyle w:val="SingleTxtG"/>
              <w:spacing w:before="60" w:after="60"/>
              <w:ind w:left="57" w:right="57"/>
              <w:rPr>
                <w:lang w:val="fr-FR"/>
              </w:rPr>
            </w:pPr>
            <w:r w:rsidRPr="000C0344">
              <w:rPr>
                <w:lang w:val="fr-FR"/>
              </w:rPr>
              <w:t>Stabilité (généralités)</w:t>
            </w:r>
          </w:p>
        </w:tc>
        <w:tc>
          <w:tcPr>
            <w:tcW w:w="3754" w:type="dxa"/>
            <w:tcBorders>
              <w:top w:val="single" w:sz="6" w:space="0" w:color="auto"/>
              <w:left w:val="single" w:sz="6" w:space="0" w:color="auto"/>
              <w:bottom w:val="single" w:sz="6" w:space="0" w:color="auto"/>
              <w:right w:val="single" w:sz="6" w:space="0" w:color="auto"/>
            </w:tcBorders>
            <w:hideMark/>
          </w:tcPr>
          <w:p w14:paraId="0E87D1DB" w14:textId="77777777" w:rsidR="000C0344" w:rsidRPr="000C0344" w:rsidRDefault="000C0344" w:rsidP="000C0344">
            <w:pPr>
              <w:pStyle w:val="SingleTxtG"/>
              <w:spacing w:before="60" w:after="60"/>
              <w:ind w:left="57" w:right="57"/>
              <w:rPr>
                <w:lang w:val="fr-FR"/>
              </w:rPr>
            </w:pPr>
            <w:r w:rsidRPr="000C0344">
              <w:rPr>
                <w:lang w:val="fr-FR"/>
              </w:rPr>
              <w:t>N.</w:t>
            </w:r>
            <w:r w:rsidR="00FA2029">
              <w:rPr>
                <w:lang w:val="fr-FR"/>
              </w:rPr>
              <w:t> </w:t>
            </w:r>
            <w:r w:rsidRPr="000C0344">
              <w:rPr>
                <w:lang w:val="fr-FR"/>
              </w:rPr>
              <w:t>R.</w:t>
            </w:r>
            <w:r w:rsidR="00FA2029">
              <w:rPr>
                <w:lang w:val="fr-FR"/>
              </w:rPr>
              <w:t> </w:t>
            </w:r>
            <w:r w:rsidRPr="000C0344">
              <w:rPr>
                <w:lang w:val="fr-FR"/>
              </w:rPr>
              <w:t>T. à partir du 1</w:t>
            </w:r>
            <w:r w:rsidRPr="000C0344">
              <w:rPr>
                <w:vertAlign w:val="superscript"/>
                <w:lang w:val="fr-FR"/>
              </w:rPr>
              <w:t>er</w:t>
            </w:r>
            <w:r>
              <w:rPr>
                <w:vertAlign w:val="superscript"/>
                <w:lang w:val="fr-FR"/>
              </w:rPr>
              <w:t> </w:t>
            </w:r>
            <w:r w:rsidRPr="000C0344">
              <w:rPr>
                <w:lang w:val="fr-FR"/>
              </w:rPr>
              <w:t>janvier 2007</w:t>
            </w:r>
          </w:p>
          <w:p w14:paraId="0B8A7B67" w14:textId="77777777" w:rsidR="000C0344" w:rsidRPr="000C0344" w:rsidRDefault="000C0344" w:rsidP="000C0344">
            <w:pPr>
              <w:pStyle w:val="SingleTxtG"/>
              <w:spacing w:before="60" w:after="60"/>
              <w:ind w:left="57" w:right="57"/>
              <w:rPr>
                <w:lang w:val="fr-FR"/>
              </w:rPr>
            </w:pPr>
            <w:r w:rsidRPr="000C0344">
              <w:rPr>
                <w:lang w:val="fr-FR"/>
              </w:rPr>
              <w:t>Renouvellement du certificat d</w:t>
            </w:r>
            <w:r w:rsidR="00FA2029">
              <w:rPr>
                <w:lang w:val="fr-FR"/>
              </w:rPr>
              <w:t>’</w:t>
            </w:r>
            <w:r w:rsidRPr="000C0344">
              <w:rPr>
                <w:lang w:val="fr-FR"/>
              </w:rPr>
              <w:t>agrément après le 31</w:t>
            </w:r>
            <w:r>
              <w:rPr>
                <w:lang w:val="fr-FR"/>
              </w:rPr>
              <w:t> </w:t>
            </w:r>
            <w:r w:rsidRPr="000C0344">
              <w:rPr>
                <w:lang w:val="fr-FR"/>
              </w:rPr>
              <w:t>décembre 2044</w:t>
            </w:r>
          </w:p>
        </w:tc>
      </w:tr>
    </w:tbl>
    <w:p w14:paraId="35D16F46" w14:textId="77777777" w:rsidR="000C0344" w:rsidRPr="000C0344" w:rsidRDefault="000C0344" w:rsidP="000C0344">
      <w:pPr>
        <w:pStyle w:val="H23G"/>
        <w:rPr>
          <w:lang w:val="fr-FR"/>
        </w:rPr>
      </w:pPr>
      <w:r w:rsidRPr="000C0344">
        <w:rPr>
          <w:lang w:val="fr-FR"/>
        </w:rPr>
        <w:tab/>
      </w:r>
      <w:r w:rsidRPr="000C0344">
        <w:rPr>
          <w:lang w:val="fr-FR"/>
        </w:rPr>
        <w:tab/>
        <w:t>2.</w:t>
      </w:r>
      <w:r w:rsidRPr="000C0344">
        <w:rPr>
          <w:lang w:val="fr-FR"/>
        </w:rPr>
        <w:tab/>
        <w:t>ADN 2013 (l</w:t>
      </w:r>
      <w:r w:rsidR="00FA2029">
        <w:rPr>
          <w:lang w:val="fr-FR"/>
        </w:rPr>
        <w:t>’</w:t>
      </w:r>
      <w:r w:rsidRPr="000C0344">
        <w:rPr>
          <w:lang w:val="fr-FR"/>
        </w:rPr>
        <w:t>alinéa 2 du 9.9.9.13.3 de l</w:t>
      </w:r>
      <w:r w:rsidR="00FA2029">
        <w:rPr>
          <w:lang w:val="fr-FR"/>
        </w:rPr>
        <w:t>’</w:t>
      </w:r>
      <w:r w:rsidRPr="000C0344">
        <w:rPr>
          <w:lang w:val="fr-FR"/>
        </w:rPr>
        <w:t>ADN 2011 a été supprimé)</w:t>
      </w:r>
    </w:p>
    <w:p w14:paraId="3EA6A71F" w14:textId="77777777" w:rsidR="000C0344" w:rsidRPr="000C0344" w:rsidRDefault="000C0344" w:rsidP="000C0344">
      <w:pPr>
        <w:pStyle w:val="SingleTxtG"/>
        <w:ind w:left="2268" w:hanging="1134"/>
        <w:rPr>
          <w:b/>
          <w:bCs/>
          <w:i/>
          <w:iCs/>
          <w:lang w:val="fr-FR"/>
        </w:rPr>
      </w:pPr>
      <w:r w:rsidRPr="000C0344">
        <w:rPr>
          <w:bCs/>
          <w:lang w:val="fr-FR"/>
        </w:rPr>
        <w:t>« </w:t>
      </w:r>
      <w:r w:rsidRPr="000C0344">
        <w:rPr>
          <w:b/>
          <w:bCs/>
          <w:lang w:val="fr-FR"/>
        </w:rPr>
        <w:t>9.3.3.13</w:t>
      </w:r>
      <w:r w:rsidRPr="000C0344">
        <w:rPr>
          <w:lang w:val="fr-FR"/>
        </w:rPr>
        <w:tab/>
      </w:r>
      <w:r w:rsidRPr="000C0344">
        <w:rPr>
          <w:b/>
          <w:bCs/>
          <w:i/>
          <w:iCs/>
          <w:lang w:val="fr-FR"/>
        </w:rPr>
        <w:t>Stabilité (généralités)</w:t>
      </w:r>
    </w:p>
    <w:p w14:paraId="1A66302C" w14:textId="77777777" w:rsidR="000C0344" w:rsidRPr="000C0344" w:rsidRDefault="000C0344" w:rsidP="000C0344">
      <w:pPr>
        <w:pStyle w:val="SingleTxtG"/>
        <w:ind w:left="2268" w:hanging="1134"/>
        <w:rPr>
          <w:lang w:val="fr-FR"/>
        </w:rPr>
      </w:pPr>
      <w:r w:rsidRPr="000C0344">
        <w:rPr>
          <w:lang w:val="fr-FR"/>
        </w:rPr>
        <w:t>9.3.3.13.1</w:t>
      </w:r>
      <w:r w:rsidRPr="000C0344">
        <w:rPr>
          <w:lang w:val="fr-FR"/>
        </w:rPr>
        <w:tab/>
        <w:t>La preuve d</w:t>
      </w:r>
      <w:r w:rsidR="00FA2029">
        <w:rPr>
          <w:lang w:val="fr-FR"/>
        </w:rPr>
        <w:t>’</w:t>
      </w:r>
      <w:r w:rsidRPr="000C0344">
        <w:rPr>
          <w:lang w:val="fr-FR"/>
        </w:rPr>
        <w:t>une stabilité suffisante doit être apportée. Cette preuve n</w:t>
      </w:r>
      <w:r w:rsidR="00FA2029">
        <w:rPr>
          <w:lang w:val="fr-FR"/>
        </w:rPr>
        <w:t>’</w:t>
      </w:r>
      <w:r w:rsidRPr="000C0344">
        <w:rPr>
          <w:lang w:val="fr-FR"/>
        </w:rPr>
        <w:t>est pas exigée pour les bateaux à simple coque dont la largeur des citernes à cargaison est inférieure ou égale à 0,70xB.</w:t>
      </w:r>
    </w:p>
    <w:p w14:paraId="5D52CEA4" w14:textId="77777777" w:rsidR="000C0344" w:rsidRPr="000C0344" w:rsidRDefault="000C0344" w:rsidP="000C0344">
      <w:pPr>
        <w:pStyle w:val="SingleTxtG"/>
        <w:ind w:left="2268" w:hanging="1134"/>
        <w:rPr>
          <w:lang w:val="fr-FR"/>
        </w:rPr>
      </w:pPr>
      <w:r w:rsidRPr="000C0344">
        <w:rPr>
          <w:lang w:val="fr-FR"/>
        </w:rPr>
        <w:t>9.3.3.13.2</w:t>
      </w:r>
      <w:r w:rsidRPr="000C0344">
        <w:rPr>
          <w:lang w:val="fr-FR"/>
        </w:rPr>
        <w:tab/>
        <w:t xml:space="preserve">Pour le calcul de la stabilité, les valeurs de base </w:t>
      </w:r>
      <w:r w:rsidR="00FA2029">
        <w:rPr>
          <w:lang w:val="fr-FR"/>
        </w:rPr>
        <w:t>− </w:t>
      </w:r>
      <w:r w:rsidRPr="000C0344">
        <w:rPr>
          <w:lang w:val="fr-FR"/>
        </w:rPr>
        <w:t>poids du bateau à l</w:t>
      </w:r>
      <w:r w:rsidR="00FA2029">
        <w:rPr>
          <w:lang w:val="fr-FR"/>
        </w:rPr>
        <w:t>’</w:t>
      </w:r>
      <w:r w:rsidRPr="000C0344">
        <w:rPr>
          <w:lang w:val="fr-FR"/>
        </w:rPr>
        <w:t xml:space="preserve">état lège et emplacement du centre de gravité </w:t>
      </w:r>
      <w:r w:rsidR="00FA2029">
        <w:rPr>
          <w:lang w:val="fr-FR"/>
        </w:rPr>
        <w:t>− </w:t>
      </w:r>
      <w:r w:rsidRPr="000C0344">
        <w:rPr>
          <w:lang w:val="fr-FR"/>
        </w:rPr>
        <w:t xml:space="preserve">doivent être définies au moyen </w:t>
      </w:r>
      <w:proofErr w:type="gramStart"/>
      <w:r w:rsidRPr="000C0344">
        <w:rPr>
          <w:lang w:val="fr-FR"/>
        </w:rPr>
        <w:t>d</w:t>
      </w:r>
      <w:r w:rsidR="00FA2029">
        <w:rPr>
          <w:lang w:val="fr-FR"/>
        </w:rPr>
        <w:t>’</w:t>
      </w:r>
      <w:r w:rsidRPr="000C0344">
        <w:rPr>
          <w:lang w:val="fr-FR"/>
        </w:rPr>
        <w:t>une</w:t>
      </w:r>
      <w:proofErr w:type="gramEnd"/>
      <w:r w:rsidRPr="000C0344">
        <w:rPr>
          <w:lang w:val="fr-FR"/>
        </w:rPr>
        <w:t xml:space="preserve"> expérience de gîte ou par des calculs précis de masse et de moment. Dans ce dernier cas, le poids du bateau à l</w:t>
      </w:r>
      <w:r w:rsidR="00FA2029">
        <w:rPr>
          <w:lang w:val="fr-FR"/>
        </w:rPr>
        <w:t>’</w:t>
      </w:r>
      <w:r w:rsidRPr="000C0344">
        <w:rPr>
          <w:lang w:val="fr-FR"/>
        </w:rPr>
        <w:t>état lège doit être vérifié au moyen d</w:t>
      </w:r>
      <w:r w:rsidR="00FA2029">
        <w:rPr>
          <w:lang w:val="fr-FR"/>
        </w:rPr>
        <w:t>’</w:t>
      </w:r>
      <w:r w:rsidRPr="000C0344">
        <w:rPr>
          <w:lang w:val="fr-FR"/>
        </w:rPr>
        <w:t>une étude du poids à l</w:t>
      </w:r>
      <w:r w:rsidR="00FA2029">
        <w:rPr>
          <w:lang w:val="fr-FR"/>
        </w:rPr>
        <w:t>’</w:t>
      </w:r>
      <w:r w:rsidRPr="000C0344">
        <w:rPr>
          <w:lang w:val="fr-FR"/>
        </w:rPr>
        <w:t>état lège avec la limite de tolérance ±</w:t>
      </w:r>
      <w:r w:rsidR="00FA2029">
        <w:rPr>
          <w:lang w:val="fr-FR"/>
        </w:rPr>
        <w:t> </w:t>
      </w:r>
      <w:r w:rsidRPr="000C0344">
        <w:rPr>
          <w:lang w:val="fr-FR"/>
        </w:rPr>
        <w:t>5 % entre la masse déterminée par le calcul et le déplacement déterminé par lecture du tirant d</w:t>
      </w:r>
      <w:r w:rsidR="00FA2029">
        <w:rPr>
          <w:lang w:val="fr-FR"/>
        </w:rPr>
        <w:t>’</w:t>
      </w:r>
      <w:r w:rsidRPr="000C0344">
        <w:rPr>
          <w:lang w:val="fr-FR"/>
        </w:rPr>
        <w:t>eau.</w:t>
      </w:r>
    </w:p>
    <w:p w14:paraId="4CCE4E6E" w14:textId="77777777" w:rsidR="000C0344" w:rsidRPr="000C0344" w:rsidRDefault="000C0344" w:rsidP="000C0344">
      <w:pPr>
        <w:pStyle w:val="SingleTxtG"/>
        <w:ind w:left="2268" w:hanging="1134"/>
        <w:rPr>
          <w:lang w:val="fr-FR"/>
        </w:rPr>
      </w:pPr>
      <w:r w:rsidRPr="000C0344">
        <w:rPr>
          <w:lang w:val="fr-FR"/>
        </w:rPr>
        <w:t>9.3.3.13.3</w:t>
      </w:r>
      <w:r w:rsidRPr="000C0344">
        <w:rPr>
          <w:lang w:val="fr-FR"/>
        </w:rPr>
        <w:tab/>
        <w:t>La preuve d</w:t>
      </w:r>
      <w:r w:rsidR="00FA2029">
        <w:rPr>
          <w:lang w:val="fr-FR"/>
        </w:rPr>
        <w:t>’</w:t>
      </w:r>
      <w:r w:rsidRPr="000C0344">
        <w:rPr>
          <w:lang w:val="fr-FR"/>
        </w:rPr>
        <w:t>une stabilité suffisante à l</w:t>
      </w:r>
      <w:r w:rsidR="00FA2029">
        <w:rPr>
          <w:lang w:val="fr-FR"/>
        </w:rPr>
        <w:t>’</w:t>
      </w:r>
      <w:r w:rsidRPr="000C0344">
        <w:rPr>
          <w:lang w:val="fr-FR"/>
        </w:rPr>
        <w:t>état intact doit être apportée pour toutes les conditions de chargement et de déchargement et pour la condition de chargement final pour toutes les densités relatives des matières transportées indiquées dans la liste des matières transportables par le bateau conformément au paragraphe 1.16.1.2.5.</w:t>
      </w:r>
    </w:p>
    <w:p w14:paraId="21A3BE89" w14:textId="77777777" w:rsidR="000C0344" w:rsidRPr="000C0344" w:rsidRDefault="000C0344" w:rsidP="000C0344">
      <w:pPr>
        <w:pStyle w:val="SingleTxtG"/>
        <w:ind w:left="2268" w:hanging="1134"/>
        <w:rPr>
          <w:lang w:val="fr-FR"/>
        </w:rPr>
      </w:pPr>
      <w:r>
        <w:rPr>
          <w:lang w:val="fr-FR"/>
        </w:rPr>
        <w:lastRenderedPageBreak/>
        <w:tab/>
      </w:r>
      <w:r w:rsidRPr="000C0344">
        <w:rPr>
          <w:lang w:val="fr-FR"/>
        </w:rPr>
        <w:t>Pour chaque cas de chargement, en tenant compte des conditions concrètes de remplissage des citernes à cargaison, des citernes et compartiments à ballast, des citernes à eau douce et eaux usées et des citernes contenant les produits nécessaires à l</w:t>
      </w:r>
      <w:r w:rsidR="00FA2029">
        <w:rPr>
          <w:lang w:val="fr-FR"/>
        </w:rPr>
        <w:t>’</w:t>
      </w:r>
      <w:r w:rsidRPr="000C0344">
        <w:rPr>
          <w:lang w:val="fr-FR"/>
        </w:rPr>
        <w:t>opération du bateau, le bateau doit satisfaire dans la mesure nécessaire aux dispositions relatives à la stabilité à l</w:t>
      </w:r>
      <w:r w:rsidR="00FA2029">
        <w:rPr>
          <w:lang w:val="fr-FR"/>
        </w:rPr>
        <w:t>’</w:t>
      </w:r>
      <w:r w:rsidRPr="000C0344">
        <w:rPr>
          <w:lang w:val="fr-FR"/>
        </w:rPr>
        <w:t>état intact et après avarie.</w:t>
      </w:r>
    </w:p>
    <w:p w14:paraId="21D148D1" w14:textId="77777777" w:rsidR="000C0344" w:rsidRPr="000C0344" w:rsidRDefault="000C0344" w:rsidP="000C0344">
      <w:pPr>
        <w:pStyle w:val="SingleTxtG"/>
        <w:ind w:left="2268" w:hanging="1134"/>
        <w:rPr>
          <w:lang w:val="fr-FR"/>
        </w:rPr>
      </w:pPr>
      <w:r>
        <w:rPr>
          <w:lang w:val="fr-FR"/>
        </w:rPr>
        <w:tab/>
      </w:r>
      <w:r w:rsidRPr="000C0344">
        <w:rPr>
          <w:lang w:val="fr-FR"/>
        </w:rPr>
        <w:t>Il faut aussi envisager des stades intermédiaires au cours des opérations.</w:t>
      </w:r>
    </w:p>
    <w:p w14:paraId="74E3327E" w14:textId="77777777" w:rsidR="000C0344" w:rsidRPr="000C0344" w:rsidRDefault="000C0344" w:rsidP="000C0344">
      <w:pPr>
        <w:pStyle w:val="SingleTxtG"/>
        <w:ind w:left="2268" w:hanging="1134"/>
        <w:rPr>
          <w:lang w:val="fr-FR"/>
        </w:rPr>
      </w:pPr>
      <w:r>
        <w:rPr>
          <w:lang w:val="fr-FR"/>
        </w:rPr>
        <w:tab/>
      </w:r>
      <w:r w:rsidRPr="000C0344">
        <w:rPr>
          <w:lang w:val="fr-FR"/>
        </w:rPr>
        <w:t>La preuve d</w:t>
      </w:r>
      <w:r w:rsidR="00FA2029">
        <w:rPr>
          <w:lang w:val="fr-FR"/>
        </w:rPr>
        <w:t>’</w:t>
      </w:r>
      <w:r w:rsidRPr="000C0344">
        <w:rPr>
          <w:lang w:val="fr-FR"/>
        </w:rPr>
        <w:t>une stabilité suffisante doit être démontrée dans le manuel de stabilité pour chaque condition d</w:t>
      </w:r>
      <w:r w:rsidR="00FA2029">
        <w:rPr>
          <w:lang w:val="fr-FR"/>
        </w:rPr>
        <w:t>’</w:t>
      </w:r>
      <w:r w:rsidRPr="000C0344">
        <w:rPr>
          <w:lang w:val="fr-FR"/>
        </w:rPr>
        <w:t>opération, de chargement et de ballastage, et doit être approuvée par la société de classification pertinente qui classe le bateau. S</w:t>
      </w:r>
      <w:r w:rsidR="00FA2029">
        <w:rPr>
          <w:lang w:val="fr-FR"/>
        </w:rPr>
        <w:t>’</w:t>
      </w:r>
      <w:r w:rsidRPr="000C0344">
        <w:rPr>
          <w:lang w:val="fr-FR"/>
        </w:rPr>
        <w:t>il n</w:t>
      </w:r>
      <w:r w:rsidR="00FA2029">
        <w:rPr>
          <w:lang w:val="fr-FR"/>
        </w:rPr>
        <w:t>’</w:t>
      </w:r>
      <w:r w:rsidRPr="000C0344">
        <w:rPr>
          <w:lang w:val="fr-FR"/>
        </w:rPr>
        <w:t>est pas pratique de calculer à l</w:t>
      </w:r>
      <w:r w:rsidR="00FA2029">
        <w:rPr>
          <w:lang w:val="fr-FR"/>
        </w:rPr>
        <w:t>’</w:t>
      </w:r>
      <w:r w:rsidRPr="000C0344">
        <w:rPr>
          <w:lang w:val="fr-FR"/>
        </w:rPr>
        <w:t>avance les conditions d</w:t>
      </w:r>
      <w:r w:rsidR="00FA2029">
        <w:rPr>
          <w:lang w:val="fr-FR"/>
        </w:rPr>
        <w:t>’</w:t>
      </w:r>
      <w:r w:rsidRPr="000C0344">
        <w:rPr>
          <w:lang w:val="fr-FR"/>
        </w:rPr>
        <w:t>opération, de chargement et de ballastage, un instrument de chargement agréé par la société de classification reconnue qui classe le bateau, reprenant le contenu du manuel de stabilité, doit être installé et utilisé.</w:t>
      </w:r>
    </w:p>
    <w:p w14:paraId="4B15114C" w14:textId="77777777" w:rsidR="000C0344" w:rsidRPr="000C0344" w:rsidRDefault="000C0344" w:rsidP="00FA2029">
      <w:pPr>
        <w:pStyle w:val="SingleTxtG"/>
        <w:ind w:left="2268"/>
        <w:rPr>
          <w:b/>
          <w:bCs/>
          <w:i/>
          <w:iCs/>
          <w:lang w:val="fr-FR"/>
        </w:rPr>
      </w:pPr>
      <w:proofErr w:type="gramStart"/>
      <w:r w:rsidRPr="000C0344">
        <w:rPr>
          <w:b/>
          <w:bCs/>
          <w:i/>
          <w:iCs/>
          <w:lang w:val="fr-FR"/>
        </w:rPr>
        <w:t xml:space="preserve">NOTA  </w:t>
      </w:r>
      <w:r w:rsidRPr="000C0344">
        <w:rPr>
          <w:i/>
          <w:iCs/>
          <w:lang w:val="fr-FR"/>
        </w:rPr>
        <w:t>:</w:t>
      </w:r>
      <w:proofErr w:type="gramEnd"/>
      <w:r w:rsidRPr="000C0344">
        <w:rPr>
          <w:i/>
          <w:iCs/>
          <w:lang w:val="fr-FR"/>
        </w:rPr>
        <w:t xml:space="preserve"> ...</w:t>
      </w:r>
      <w:r w:rsidRPr="000C0344">
        <w:rPr>
          <w:lang w:val="fr-FR"/>
        </w:rPr>
        <w:t> »</w:t>
      </w:r>
    </w:p>
    <w:p w14:paraId="02455E77" w14:textId="77777777" w:rsidR="000C0344" w:rsidRPr="000C0344" w:rsidRDefault="000C0344" w:rsidP="000C0344">
      <w:pPr>
        <w:pStyle w:val="SingleTxtG"/>
        <w:rPr>
          <w:lang w:val="fr-FR"/>
        </w:rPr>
      </w:pPr>
      <w:r w:rsidRPr="000C0344">
        <w:rPr>
          <w:lang w:val="fr-FR"/>
        </w:rPr>
        <w:t>1.6.7.2.2.2</w:t>
      </w:r>
      <w:r w:rsidRPr="000C0344">
        <w:rPr>
          <w:lang w:val="fr-FR"/>
        </w:rPr>
        <w:tab/>
        <w:t xml:space="preserve">Tableau des dispositions transitoires générales </w:t>
      </w:r>
      <w:r>
        <w:rPr>
          <w:lang w:val="fr-FR"/>
        </w:rPr>
        <w:t>− </w:t>
      </w:r>
      <w:r w:rsidRPr="000C0344">
        <w:rPr>
          <w:lang w:val="fr-FR"/>
        </w:rPr>
        <w:t>Bateaux-citernes</w:t>
      </w:r>
    </w:p>
    <w:tbl>
      <w:tblPr>
        <w:tblW w:w="7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99"/>
        <w:gridCol w:w="1799"/>
        <w:gridCol w:w="3772"/>
      </w:tblGrid>
      <w:tr w:rsidR="000C0344" w:rsidRPr="000C0344" w14:paraId="4462F303" w14:textId="77777777" w:rsidTr="00FA2029">
        <w:trPr>
          <w:cantSplit/>
          <w:jc w:val="center"/>
        </w:trPr>
        <w:tc>
          <w:tcPr>
            <w:tcW w:w="1799" w:type="dxa"/>
          </w:tcPr>
          <w:p w14:paraId="3A45A424" w14:textId="77777777" w:rsidR="000C0344" w:rsidRPr="000C0344" w:rsidRDefault="000C0344" w:rsidP="000C0344">
            <w:pPr>
              <w:pStyle w:val="SingleTxtG"/>
              <w:spacing w:before="60" w:after="60"/>
              <w:ind w:left="57" w:right="57"/>
            </w:pPr>
            <w:r w:rsidRPr="000C0344">
              <w:rPr>
                <w:lang w:val="fr-FR"/>
              </w:rPr>
              <w:t>9.3.1.13</w:t>
            </w:r>
          </w:p>
          <w:p w14:paraId="1CB6D9AA" w14:textId="77777777" w:rsidR="000C0344" w:rsidRPr="000C0344" w:rsidRDefault="000C0344" w:rsidP="000C0344">
            <w:pPr>
              <w:pStyle w:val="SingleTxtG"/>
              <w:spacing w:before="60" w:after="60"/>
              <w:ind w:left="57" w:right="57"/>
            </w:pPr>
            <w:r w:rsidRPr="000C0344">
              <w:rPr>
                <w:lang w:val="fr-FR"/>
              </w:rPr>
              <w:t>9.3.3.13</w:t>
            </w:r>
          </w:p>
        </w:tc>
        <w:tc>
          <w:tcPr>
            <w:tcW w:w="1799" w:type="dxa"/>
          </w:tcPr>
          <w:p w14:paraId="2DC91E68" w14:textId="77777777" w:rsidR="000C0344" w:rsidRPr="000C0344" w:rsidRDefault="000C0344" w:rsidP="000C0344">
            <w:pPr>
              <w:pStyle w:val="SingleTxtG"/>
              <w:spacing w:before="60" w:after="60"/>
              <w:ind w:left="57" w:right="57"/>
            </w:pPr>
            <w:r w:rsidRPr="000C0344">
              <w:rPr>
                <w:lang w:val="fr-FR"/>
              </w:rPr>
              <w:t>Stabilité (généralités)</w:t>
            </w:r>
          </w:p>
        </w:tc>
        <w:tc>
          <w:tcPr>
            <w:tcW w:w="3772" w:type="dxa"/>
          </w:tcPr>
          <w:p w14:paraId="17A058D8" w14:textId="77777777" w:rsidR="000C0344" w:rsidRPr="000C0344" w:rsidRDefault="000C0344" w:rsidP="000C0344">
            <w:pPr>
              <w:pStyle w:val="SingleTxtG"/>
              <w:spacing w:before="60" w:after="60"/>
              <w:ind w:left="57" w:right="57"/>
              <w:rPr>
                <w:lang w:val="fr-FR"/>
              </w:rPr>
            </w:pPr>
            <w:r w:rsidRPr="000C0344">
              <w:rPr>
                <w:lang w:val="fr-FR"/>
              </w:rPr>
              <w:t>N.</w:t>
            </w:r>
            <w:r w:rsidR="00151F37">
              <w:rPr>
                <w:lang w:val="fr-FR"/>
              </w:rPr>
              <w:t> </w:t>
            </w:r>
            <w:r w:rsidRPr="000C0344">
              <w:rPr>
                <w:lang w:val="fr-FR"/>
              </w:rPr>
              <w:t>R.</w:t>
            </w:r>
            <w:r w:rsidR="00151F37">
              <w:rPr>
                <w:lang w:val="fr-FR"/>
              </w:rPr>
              <w:t> </w:t>
            </w:r>
            <w:r w:rsidRPr="000C0344">
              <w:rPr>
                <w:lang w:val="fr-FR"/>
              </w:rPr>
              <w:t>T.</w:t>
            </w:r>
          </w:p>
          <w:p w14:paraId="7D7D20DE" w14:textId="77777777" w:rsidR="000C0344" w:rsidRPr="000C0344" w:rsidRDefault="000C0344" w:rsidP="000C0344">
            <w:pPr>
              <w:pStyle w:val="SingleTxtG"/>
              <w:spacing w:before="60" w:after="60"/>
              <w:ind w:left="57" w:right="57"/>
              <w:rPr>
                <w:lang w:val="fr-FR"/>
              </w:rPr>
            </w:pPr>
            <w:r w:rsidRPr="000C0344">
              <w:rPr>
                <w:lang w:val="fr-FR"/>
              </w:rPr>
              <w:t>Renouvellement du certificat d</w:t>
            </w:r>
            <w:r w:rsidR="00FA2029">
              <w:rPr>
                <w:lang w:val="fr-FR"/>
              </w:rPr>
              <w:t>’</w:t>
            </w:r>
            <w:r w:rsidRPr="000C0344">
              <w:rPr>
                <w:lang w:val="fr-FR"/>
              </w:rPr>
              <w:t>agrément après le 31 décembre 2044</w:t>
            </w:r>
          </w:p>
        </w:tc>
      </w:tr>
      <w:tr w:rsidR="000C0344" w:rsidRPr="000C0344" w14:paraId="26A83004" w14:textId="77777777" w:rsidTr="00FA2029">
        <w:trPr>
          <w:cantSplit/>
          <w:jc w:val="center"/>
        </w:trPr>
        <w:tc>
          <w:tcPr>
            <w:tcW w:w="1799" w:type="dxa"/>
          </w:tcPr>
          <w:p w14:paraId="2311986D" w14:textId="77777777" w:rsidR="000C0344" w:rsidRPr="000C0344" w:rsidRDefault="000C0344" w:rsidP="000C0344">
            <w:pPr>
              <w:pStyle w:val="SingleTxtG"/>
              <w:spacing w:before="60" w:after="60"/>
              <w:ind w:left="57" w:right="57"/>
              <w:rPr>
                <w:lang w:val="fr-FR"/>
              </w:rPr>
            </w:pPr>
            <w:r w:rsidRPr="000C0344">
              <w:rPr>
                <w:lang w:val="fr-FR"/>
              </w:rPr>
              <w:t xml:space="preserve">9.3.3.13.3 </w:t>
            </w:r>
            <w:r w:rsidRPr="000C0344">
              <w:rPr>
                <w:lang w:val="fr-FR"/>
              </w:rPr>
              <w:br/>
              <w:t>alinéa 2</w:t>
            </w:r>
          </w:p>
        </w:tc>
        <w:tc>
          <w:tcPr>
            <w:tcW w:w="1799" w:type="dxa"/>
          </w:tcPr>
          <w:p w14:paraId="75115B5F" w14:textId="77777777" w:rsidR="000C0344" w:rsidRPr="000C0344" w:rsidRDefault="000C0344" w:rsidP="000C0344">
            <w:pPr>
              <w:pStyle w:val="SingleTxtG"/>
              <w:spacing w:before="60" w:after="60"/>
              <w:ind w:left="57" w:right="57"/>
              <w:rPr>
                <w:lang w:val="fr-FR"/>
              </w:rPr>
            </w:pPr>
            <w:r w:rsidRPr="000C0344">
              <w:rPr>
                <w:lang w:val="fr-FR"/>
              </w:rPr>
              <w:t>Stabilité (généralités)</w:t>
            </w:r>
          </w:p>
        </w:tc>
        <w:tc>
          <w:tcPr>
            <w:tcW w:w="3772" w:type="dxa"/>
          </w:tcPr>
          <w:p w14:paraId="35EB3A2F" w14:textId="77777777" w:rsidR="000C0344" w:rsidRPr="000C0344" w:rsidRDefault="000C0344" w:rsidP="000C0344">
            <w:pPr>
              <w:pStyle w:val="SingleTxtG"/>
              <w:spacing w:before="60" w:after="60"/>
              <w:ind w:left="57" w:right="57"/>
              <w:rPr>
                <w:lang w:val="fr-FR"/>
              </w:rPr>
            </w:pPr>
            <w:r w:rsidRPr="000C0344">
              <w:rPr>
                <w:lang w:val="fr-FR"/>
              </w:rPr>
              <w:t>N.</w:t>
            </w:r>
            <w:r w:rsidR="00151F37">
              <w:rPr>
                <w:lang w:val="fr-FR"/>
              </w:rPr>
              <w:t> </w:t>
            </w:r>
            <w:r w:rsidRPr="000C0344">
              <w:rPr>
                <w:lang w:val="fr-FR"/>
              </w:rPr>
              <w:t>R.</w:t>
            </w:r>
            <w:r w:rsidR="00151F37">
              <w:rPr>
                <w:lang w:val="fr-FR"/>
              </w:rPr>
              <w:t> </w:t>
            </w:r>
            <w:r w:rsidRPr="000C0344">
              <w:rPr>
                <w:lang w:val="fr-FR"/>
              </w:rPr>
              <w:t>T. à partir du 1</w:t>
            </w:r>
            <w:r w:rsidRPr="000C0344">
              <w:rPr>
                <w:vertAlign w:val="superscript"/>
                <w:lang w:val="fr-FR"/>
              </w:rPr>
              <w:t>er</w:t>
            </w:r>
            <w:r w:rsidRPr="000C0344">
              <w:rPr>
                <w:lang w:val="fr-FR"/>
              </w:rPr>
              <w:t xml:space="preserve"> janvier 2007</w:t>
            </w:r>
          </w:p>
          <w:p w14:paraId="1C23DB7E" w14:textId="77777777" w:rsidR="000C0344" w:rsidRPr="000C0344" w:rsidRDefault="000C0344" w:rsidP="000C0344">
            <w:pPr>
              <w:pStyle w:val="SingleTxtG"/>
              <w:spacing w:before="60" w:after="60"/>
              <w:ind w:left="57" w:right="57"/>
              <w:rPr>
                <w:lang w:val="fr-FR"/>
              </w:rPr>
            </w:pPr>
            <w:r w:rsidRPr="000C0344">
              <w:rPr>
                <w:lang w:val="fr-FR"/>
              </w:rPr>
              <w:t>Renouvellement du certificat d</w:t>
            </w:r>
            <w:r w:rsidR="00FA2029">
              <w:rPr>
                <w:lang w:val="fr-FR"/>
              </w:rPr>
              <w:t>’</w:t>
            </w:r>
            <w:r w:rsidRPr="000C0344">
              <w:rPr>
                <w:lang w:val="fr-FR"/>
              </w:rPr>
              <w:t>agrément après le 31 décembre 2044</w:t>
            </w:r>
          </w:p>
        </w:tc>
      </w:tr>
    </w:tbl>
    <w:p w14:paraId="1D46C89F" w14:textId="77777777" w:rsidR="000C0344" w:rsidRPr="00FA2029" w:rsidRDefault="000C0344" w:rsidP="000C0344">
      <w:pPr>
        <w:pStyle w:val="SingleTxtG"/>
        <w:spacing w:before="240"/>
        <w:ind w:left="2268" w:hanging="1134"/>
        <w:rPr>
          <w:spacing w:val="-4"/>
          <w:lang w:val="fr-FR"/>
        </w:rPr>
      </w:pPr>
      <w:r w:rsidRPr="00FA2029">
        <w:rPr>
          <w:spacing w:val="-4"/>
          <w:lang w:val="fr-FR"/>
        </w:rPr>
        <w:t>« 1.6.7.2.2.4</w:t>
      </w:r>
      <w:r w:rsidRPr="00FA2029">
        <w:rPr>
          <w:spacing w:val="-4"/>
          <w:lang w:val="fr-FR"/>
        </w:rPr>
        <w:tab/>
        <w:t>Les paragraphes 9.3.1.13.3, 9.3.2.13.3 et 9.3.3.13.3 peuvent s</w:t>
      </w:r>
      <w:r w:rsidR="00FA2029" w:rsidRPr="00FA2029">
        <w:rPr>
          <w:spacing w:val="-4"/>
          <w:lang w:val="fr-FR"/>
        </w:rPr>
        <w:t>’</w:t>
      </w:r>
      <w:r w:rsidRPr="00FA2029">
        <w:rPr>
          <w:spacing w:val="-4"/>
          <w:lang w:val="fr-FR"/>
        </w:rPr>
        <w:t>appliquer jusqu</w:t>
      </w:r>
      <w:r w:rsidR="00FA2029" w:rsidRPr="00FA2029">
        <w:rPr>
          <w:spacing w:val="-4"/>
          <w:lang w:val="fr-FR"/>
        </w:rPr>
        <w:t>’</w:t>
      </w:r>
      <w:r w:rsidRPr="00FA2029">
        <w:rPr>
          <w:spacing w:val="-4"/>
          <w:lang w:val="fr-FR"/>
        </w:rPr>
        <w:t>au 31 décembre 2014 dans la version applicable le 31 décembre 2012. »</w:t>
      </w:r>
    </w:p>
    <w:p w14:paraId="3F8B33F5" w14:textId="77777777" w:rsidR="000C0344" w:rsidRPr="000C0344" w:rsidRDefault="000C0344" w:rsidP="000C0344">
      <w:pPr>
        <w:pStyle w:val="H23G"/>
        <w:rPr>
          <w:lang w:val="fr-FR"/>
        </w:rPr>
      </w:pPr>
      <w:r w:rsidRPr="000C0344">
        <w:rPr>
          <w:lang w:val="fr-FR"/>
        </w:rPr>
        <w:tab/>
      </w:r>
      <w:r w:rsidRPr="000C0344">
        <w:rPr>
          <w:lang w:val="fr-FR"/>
        </w:rPr>
        <w:tab/>
        <w:t>3.</w:t>
      </w:r>
      <w:r w:rsidRPr="000C0344">
        <w:rPr>
          <w:lang w:val="fr-FR"/>
        </w:rPr>
        <w:tab/>
        <w:t>ADN 2015 : identique à l</w:t>
      </w:r>
      <w:r w:rsidR="00FA2029">
        <w:rPr>
          <w:lang w:val="fr-FR"/>
        </w:rPr>
        <w:t>’</w:t>
      </w:r>
      <w:r w:rsidRPr="000C0344">
        <w:rPr>
          <w:lang w:val="fr-FR"/>
        </w:rPr>
        <w:t>ADN 2013</w:t>
      </w:r>
    </w:p>
    <w:p w14:paraId="5A5520AF" w14:textId="77777777" w:rsidR="000C0344" w:rsidRPr="000C0344" w:rsidRDefault="000C0344" w:rsidP="000C0344">
      <w:pPr>
        <w:pStyle w:val="H23G"/>
        <w:rPr>
          <w:lang w:val="fr-FR"/>
        </w:rPr>
      </w:pPr>
      <w:r w:rsidRPr="000C0344">
        <w:rPr>
          <w:lang w:val="fr-FR"/>
        </w:rPr>
        <w:tab/>
      </w:r>
      <w:r w:rsidRPr="000C0344">
        <w:rPr>
          <w:lang w:val="fr-FR"/>
        </w:rPr>
        <w:tab/>
        <w:t>4.</w:t>
      </w:r>
      <w:r w:rsidRPr="000C0344">
        <w:rPr>
          <w:lang w:val="fr-FR"/>
        </w:rPr>
        <w:tab/>
        <w:t>ADN 2017 : ajout du 9.3.3.13.4</w:t>
      </w:r>
    </w:p>
    <w:p w14:paraId="0ED3BBE2" w14:textId="77777777" w:rsidR="000C0344" w:rsidRPr="000C0344" w:rsidRDefault="000C0344" w:rsidP="000C0344">
      <w:pPr>
        <w:pStyle w:val="SingleTxtG"/>
        <w:ind w:left="2268" w:hanging="1134"/>
        <w:rPr>
          <w:b/>
          <w:bCs/>
          <w:i/>
          <w:iCs/>
          <w:lang w:val="fr-FR"/>
        </w:rPr>
      </w:pPr>
      <w:r w:rsidRPr="000C0344">
        <w:rPr>
          <w:lang w:val="fr-FR"/>
        </w:rPr>
        <w:t>«</w:t>
      </w:r>
      <w:r w:rsidRPr="000C0344">
        <w:rPr>
          <w:b/>
          <w:bCs/>
          <w:lang w:val="fr-FR"/>
        </w:rPr>
        <w:t> 9.3.3.13</w:t>
      </w:r>
      <w:r w:rsidRPr="000C0344">
        <w:rPr>
          <w:lang w:val="fr-FR"/>
        </w:rPr>
        <w:t xml:space="preserve"> </w:t>
      </w:r>
      <w:r w:rsidRPr="000C0344">
        <w:rPr>
          <w:lang w:val="fr-FR"/>
        </w:rPr>
        <w:tab/>
      </w:r>
      <w:r w:rsidRPr="000C0344">
        <w:rPr>
          <w:b/>
          <w:bCs/>
          <w:i/>
          <w:iCs/>
          <w:lang w:val="fr-FR"/>
        </w:rPr>
        <w:t>Stabilité (généralités)</w:t>
      </w:r>
    </w:p>
    <w:p w14:paraId="6BDB8C90" w14:textId="77777777" w:rsidR="000C0344" w:rsidRPr="000C0344" w:rsidRDefault="000C0344" w:rsidP="000C0344">
      <w:pPr>
        <w:pStyle w:val="SingleTxtG"/>
        <w:ind w:left="2268" w:hanging="1134"/>
        <w:rPr>
          <w:lang w:val="fr-FR"/>
        </w:rPr>
      </w:pPr>
      <w:r w:rsidRPr="000C0344">
        <w:rPr>
          <w:lang w:val="fr-FR"/>
        </w:rPr>
        <w:t>9.3.3.13.1</w:t>
      </w:r>
      <w:r w:rsidRPr="000C0344">
        <w:rPr>
          <w:lang w:val="fr-FR"/>
        </w:rPr>
        <w:tab/>
        <w:t>La preuve d</w:t>
      </w:r>
      <w:r w:rsidR="00FA2029">
        <w:rPr>
          <w:lang w:val="fr-FR"/>
        </w:rPr>
        <w:t>’</w:t>
      </w:r>
      <w:r w:rsidRPr="000C0344">
        <w:rPr>
          <w:lang w:val="fr-FR"/>
        </w:rPr>
        <w:t>une stabilité suffisante doit être apportée. Cette preuve n</w:t>
      </w:r>
      <w:r w:rsidR="00FA2029">
        <w:rPr>
          <w:lang w:val="fr-FR"/>
        </w:rPr>
        <w:t>’</w:t>
      </w:r>
      <w:r w:rsidRPr="000C0344">
        <w:rPr>
          <w:lang w:val="fr-FR"/>
        </w:rPr>
        <w:t>est pas exigée pour les bateaux à simple coque dont la largeur des citernes à cargaison est inférieure ou égale à 0,70xB.</w:t>
      </w:r>
    </w:p>
    <w:p w14:paraId="60AC6ABE" w14:textId="77777777" w:rsidR="000C0344" w:rsidRPr="000C0344" w:rsidRDefault="000C0344" w:rsidP="000C0344">
      <w:pPr>
        <w:pStyle w:val="SingleTxtG"/>
        <w:ind w:left="2268" w:hanging="1134"/>
        <w:rPr>
          <w:lang w:val="fr-FR"/>
        </w:rPr>
      </w:pPr>
      <w:r w:rsidRPr="000C0344">
        <w:rPr>
          <w:lang w:val="fr-FR"/>
        </w:rPr>
        <w:t xml:space="preserve">9.3.3.13.2 </w:t>
      </w:r>
      <w:r w:rsidR="00151F37">
        <w:rPr>
          <w:lang w:val="fr-FR"/>
        </w:rPr>
        <w:tab/>
      </w:r>
      <w:r w:rsidRPr="000C0344">
        <w:rPr>
          <w:lang w:val="fr-FR"/>
        </w:rPr>
        <w:t xml:space="preserve">Pour le calcul de la stabilité, les valeurs de base </w:t>
      </w:r>
      <w:r w:rsidR="00FA2029">
        <w:rPr>
          <w:lang w:val="fr-FR"/>
        </w:rPr>
        <w:t>− </w:t>
      </w:r>
      <w:r w:rsidRPr="000C0344">
        <w:rPr>
          <w:lang w:val="fr-FR"/>
        </w:rPr>
        <w:t>poids du bateau à l</w:t>
      </w:r>
      <w:r w:rsidR="00FA2029">
        <w:rPr>
          <w:lang w:val="fr-FR"/>
        </w:rPr>
        <w:t>’</w:t>
      </w:r>
      <w:r w:rsidRPr="000C0344">
        <w:rPr>
          <w:lang w:val="fr-FR"/>
        </w:rPr>
        <w:t>état lège et emplacement du centre de gravité</w:t>
      </w:r>
      <w:r w:rsidR="00FA2029">
        <w:rPr>
          <w:lang w:val="fr-FR"/>
        </w:rPr>
        <w:t> −</w:t>
      </w:r>
      <w:r w:rsidRPr="000C0344">
        <w:rPr>
          <w:lang w:val="fr-FR"/>
        </w:rPr>
        <w:t xml:space="preserve"> doivent être définies au moyen d</w:t>
      </w:r>
      <w:r w:rsidR="00FA2029">
        <w:rPr>
          <w:lang w:val="fr-FR"/>
        </w:rPr>
        <w:t>’</w:t>
      </w:r>
      <w:r w:rsidRPr="000C0344">
        <w:rPr>
          <w:lang w:val="fr-FR"/>
        </w:rPr>
        <w:t>une expérience de gîte ou par des calculs précis de masse et de moment. Dans ce dernier cas, le poids du bateau à l</w:t>
      </w:r>
      <w:r w:rsidR="00FA2029">
        <w:rPr>
          <w:lang w:val="fr-FR"/>
        </w:rPr>
        <w:t>’</w:t>
      </w:r>
      <w:r w:rsidRPr="000C0344">
        <w:rPr>
          <w:lang w:val="fr-FR"/>
        </w:rPr>
        <w:t>état lège doit être vérifié au moyen d</w:t>
      </w:r>
      <w:r w:rsidR="00FA2029">
        <w:rPr>
          <w:lang w:val="fr-FR"/>
        </w:rPr>
        <w:t>’</w:t>
      </w:r>
      <w:r w:rsidRPr="000C0344">
        <w:rPr>
          <w:lang w:val="fr-FR"/>
        </w:rPr>
        <w:t>une étude du poids à l</w:t>
      </w:r>
      <w:r w:rsidR="00FA2029">
        <w:rPr>
          <w:lang w:val="fr-FR"/>
        </w:rPr>
        <w:t>’</w:t>
      </w:r>
      <w:r w:rsidRPr="000C0344">
        <w:rPr>
          <w:lang w:val="fr-FR"/>
        </w:rPr>
        <w:t>état lège avec la limite de tolérance ± 5 % entre la masse déterminée par le calcul et le déplacement déterminé par lecture du tirant d</w:t>
      </w:r>
      <w:r w:rsidR="00FA2029">
        <w:rPr>
          <w:lang w:val="fr-FR"/>
        </w:rPr>
        <w:t>’</w:t>
      </w:r>
      <w:r w:rsidRPr="000C0344">
        <w:rPr>
          <w:lang w:val="fr-FR"/>
        </w:rPr>
        <w:t>eau.</w:t>
      </w:r>
    </w:p>
    <w:p w14:paraId="5187F3BB" w14:textId="77777777" w:rsidR="000C0344" w:rsidRPr="000C0344" w:rsidRDefault="000C0344" w:rsidP="000C0344">
      <w:pPr>
        <w:pStyle w:val="SingleTxtG"/>
        <w:ind w:left="2268" w:hanging="1134"/>
        <w:rPr>
          <w:lang w:val="fr-FR"/>
        </w:rPr>
      </w:pPr>
      <w:r w:rsidRPr="000C0344">
        <w:rPr>
          <w:lang w:val="fr-FR"/>
        </w:rPr>
        <w:t>9.3.3.13.3</w:t>
      </w:r>
      <w:r w:rsidRPr="000C0344">
        <w:rPr>
          <w:lang w:val="fr-FR"/>
        </w:rPr>
        <w:tab/>
        <w:t>La preuve d</w:t>
      </w:r>
      <w:r w:rsidR="00FA2029">
        <w:rPr>
          <w:lang w:val="fr-FR"/>
        </w:rPr>
        <w:t>’</w:t>
      </w:r>
      <w:r w:rsidRPr="000C0344">
        <w:rPr>
          <w:lang w:val="fr-FR"/>
        </w:rPr>
        <w:t>une stabilité suffisante à l</w:t>
      </w:r>
      <w:r w:rsidR="00FA2029">
        <w:rPr>
          <w:lang w:val="fr-FR"/>
        </w:rPr>
        <w:t>’</w:t>
      </w:r>
      <w:r w:rsidRPr="000C0344">
        <w:rPr>
          <w:lang w:val="fr-FR"/>
        </w:rPr>
        <w:t>état intact doit être apportée pour toutes les conditions de chargement et de déchargement et pour la condition de chargement final pour toutes les densités relatives des matières transportées indiquées dans la liste des matières transportables par le bateau conformément au paragraphe 1.16.1.2.5.</w:t>
      </w:r>
    </w:p>
    <w:p w14:paraId="679E3EAC" w14:textId="77777777" w:rsidR="000C0344" w:rsidRPr="000C0344" w:rsidRDefault="000C0344" w:rsidP="000C0344">
      <w:pPr>
        <w:pStyle w:val="SingleTxtG"/>
        <w:ind w:left="2268" w:hanging="1134"/>
        <w:rPr>
          <w:lang w:val="fr-FR"/>
        </w:rPr>
      </w:pPr>
      <w:r>
        <w:rPr>
          <w:lang w:val="fr-FR"/>
        </w:rPr>
        <w:tab/>
      </w:r>
      <w:r w:rsidRPr="000C0344">
        <w:rPr>
          <w:lang w:val="fr-FR"/>
        </w:rPr>
        <w:t>Pour chaque cas de chargement, en tenant compte des conditions concrètes de remplissage des citernes à cargaison, des citernes et compartiments à ballast, des citernes à eau douce et eaux usées et des citernes contenant les produits nécessaires à l</w:t>
      </w:r>
      <w:r w:rsidR="00FA2029">
        <w:rPr>
          <w:lang w:val="fr-FR"/>
        </w:rPr>
        <w:t>’</w:t>
      </w:r>
      <w:r w:rsidRPr="000C0344">
        <w:rPr>
          <w:lang w:val="fr-FR"/>
        </w:rPr>
        <w:t>opération du bateau, le bateau doit satisfaire dans la mesure nécessaire aux dispositions relatives à la stabilité à l</w:t>
      </w:r>
      <w:r w:rsidR="00FA2029">
        <w:rPr>
          <w:lang w:val="fr-FR"/>
        </w:rPr>
        <w:t>’</w:t>
      </w:r>
      <w:r w:rsidRPr="000C0344">
        <w:rPr>
          <w:lang w:val="fr-FR"/>
        </w:rPr>
        <w:t>état intact et après avarie.</w:t>
      </w:r>
    </w:p>
    <w:p w14:paraId="3CD74259" w14:textId="77777777" w:rsidR="000C0344" w:rsidRPr="000C0344" w:rsidRDefault="000C0344" w:rsidP="000C0344">
      <w:pPr>
        <w:pStyle w:val="SingleTxtG"/>
        <w:ind w:left="2268"/>
        <w:rPr>
          <w:lang w:val="fr-FR"/>
        </w:rPr>
      </w:pPr>
      <w:r w:rsidRPr="000C0344">
        <w:rPr>
          <w:lang w:val="fr-FR"/>
        </w:rPr>
        <w:t>Il faut aussi envisager des stades intermédiaires au cours des opérations.</w:t>
      </w:r>
    </w:p>
    <w:p w14:paraId="29191F75" w14:textId="77777777" w:rsidR="000C0344" w:rsidRPr="000C0344" w:rsidRDefault="000C0344" w:rsidP="000C0344">
      <w:pPr>
        <w:pStyle w:val="SingleTxtG"/>
        <w:ind w:left="2268"/>
        <w:rPr>
          <w:lang w:val="fr-FR"/>
        </w:rPr>
      </w:pPr>
      <w:r w:rsidRPr="000C0344">
        <w:rPr>
          <w:lang w:val="fr-FR"/>
        </w:rPr>
        <w:t>La preuve d</w:t>
      </w:r>
      <w:r w:rsidR="00FA2029">
        <w:rPr>
          <w:lang w:val="fr-FR"/>
        </w:rPr>
        <w:t>’</w:t>
      </w:r>
      <w:r w:rsidRPr="000C0344">
        <w:rPr>
          <w:lang w:val="fr-FR"/>
        </w:rPr>
        <w:t>une stabilité suffisante doit être démontrée dans le manuel de stabilité pour chaque condition d</w:t>
      </w:r>
      <w:r w:rsidR="00FA2029">
        <w:rPr>
          <w:lang w:val="fr-FR"/>
        </w:rPr>
        <w:t>’</w:t>
      </w:r>
      <w:r w:rsidRPr="000C0344">
        <w:rPr>
          <w:lang w:val="fr-FR"/>
        </w:rPr>
        <w:t xml:space="preserve">opération, de chargement et de ballastage, et </w:t>
      </w:r>
      <w:r w:rsidRPr="000C0344">
        <w:rPr>
          <w:lang w:val="fr-FR"/>
        </w:rPr>
        <w:lastRenderedPageBreak/>
        <w:t>doit être approuvée par la société de classification reconnue qui classe le bateau. S</w:t>
      </w:r>
      <w:r w:rsidR="00FA2029">
        <w:rPr>
          <w:lang w:val="fr-FR"/>
        </w:rPr>
        <w:t>’</w:t>
      </w:r>
      <w:r w:rsidRPr="000C0344">
        <w:rPr>
          <w:lang w:val="fr-FR"/>
        </w:rPr>
        <w:t>il n</w:t>
      </w:r>
      <w:r w:rsidR="00FA2029">
        <w:rPr>
          <w:lang w:val="fr-FR"/>
        </w:rPr>
        <w:t>’</w:t>
      </w:r>
      <w:r w:rsidRPr="000C0344">
        <w:rPr>
          <w:lang w:val="fr-FR"/>
        </w:rPr>
        <w:t>est pas pratique de calculer à l</w:t>
      </w:r>
      <w:r w:rsidR="00FA2029">
        <w:rPr>
          <w:lang w:val="fr-FR"/>
        </w:rPr>
        <w:t>’</w:t>
      </w:r>
      <w:r w:rsidRPr="000C0344">
        <w:rPr>
          <w:lang w:val="fr-FR"/>
        </w:rPr>
        <w:t>avance les conditions d</w:t>
      </w:r>
      <w:r w:rsidR="00FA2029">
        <w:rPr>
          <w:lang w:val="fr-FR"/>
        </w:rPr>
        <w:t>’</w:t>
      </w:r>
      <w:r w:rsidRPr="000C0344">
        <w:rPr>
          <w:lang w:val="fr-FR"/>
        </w:rPr>
        <w:t>opération, de chargement et de ballastage, un instrument de chargement agréé par la société de classification reconnue qui classe le bateau, reprenant le contenu du manuel de stabilité, doit être installé et utilisé.</w:t>
      </w:r>
    </w:p>
    <w:p w14:paraId="43D89E26" w14:textId="77777777" w:rsidR="000C0344" w:rsidRPr="000C0344" w:rsidRDefault="00151F37" w:rsidP="000C0344">
      <w:pPr>
        <w:pStyle w:val="SingleTxtG"/>
        <w:rPr>
          <w:lang w:val="fr-FR"/>
        </w:rPr>
      </w:pPr>
      <w:r>
        <w:rPr>
          <w:b/>
          <w:bCs/>
          <w:i/>
          <w:iCs/>
          <w:lang w:val="fr-FR"/>
        </w:rPr>
        <w:tab/>
      </w:r>
      <w:r>
        <w:rPr>
          <w:b/>
          <w:bCs/>
          <w:i/>
          <w:iCs/>
          <w:lang w:val="fr-FR"/>
        </w:rPr>
        <w:tab/>
      </w:r>
      <w:r w:rsidR="000C0344" w:rsidRPr="000C0344">
        <w:rPr>
          <w:b/>
          <w:bCs/>
          <w:i/>
          <w:iCs/>
          <w:lang w:val="fr-FR"/>
        </w:rPr>
        <w:t>NOTA</w:t>
      </w:r>
      <w:proofErr w:type="gramStart"/>
      <w:r w:rsidR="000C0344" w:rsidRPr="000C0344">
        <w:rPr>
          <w:b/>
          <w:bCs/>
          <w:i/>
          <w:iCs/>
          <w:lang w:val="fr-FR"/>
        </w:rPr>
        <w:t> :…</w:t>
      </w:r>
      <w:proofErr w:type="gramEnd"/>
    </w:p>
    <w:p w14:paraId="6837FF0E" w14:textId="77777777" w:rsidR="000C0344" w:rsidRPr="000C0344" w:rsidRDefault="000C0344" w:rsidP="000C0344">
      <w:pPr>
        <w:pStyle w:val="SingleTxtG"/>
        <w:ind w:left="2268" w:hanging="1134"/>
        <w:rPr>
          <w:lang w:val="fr-FR"/>
        </w:rPr>
      </w:pPr>
      <w:r w:rsidRPr="000C0344">
        <w:rPr>
          <w:lang w:val="fr-FR"/>
        </w:rPr>
        <w:t>9.3.3.13.4</w:t>
      </w:r>
      <w:r w:rsidRPr="000C0344">
        <w:rPr>
          <w:lang w:val="fr-FR"/>
        </w:rPr>
        <w:tab/>
        <w:t>La preuve de la flottabilité du bateau après avarie doit être apportée dans les stades de chargement les moins favorables. À cette fin, la preuve d</w:t>
      </w:r>
      <w:r w:rsidR="00FA2029">
        <w:rPr>
          <w:lang w:val="fr-FR"/>
        </w:rPr>
        <w:t>’</w:t>
      </w:r>
      <w:r w:rsidRPr="000C0344">
        <w:rPr>
          <w:lang w:val="fr-FR"/>
        </w:rPr>
        <w:t>une stabilité suffisante doit être établie au moyen de calculs pour les stades intermédiaires critiques d</w:t>
      </w:r>
      <w:r w:rsidR="00FA2029">
        <w:rPr>
          <w:lang w:val="fr-FR"/>
        </w:rPr>
        <w:t>’</w:t>
      </w:r>
      <w:r w:rsidRPr="000C0344">
        <w:rPr>
          <w:lang w:val="fr-FR"/>
        </w:rPr>
        <w:t>envahissement et pour le stade final d</w:t>
      </w:r>
      <w:r w:rsidR="00FA2029">
        <w:rPr>
          <w:lang w:val="fr-FR"/>
        </w:rPr>
        <w:t>’</w:t>
      </w:r>
      <w:r w:rsidRPr="000C0344">
        <w:rPr>
          <w:lang w:val="fr-FR"/>
        </w:rPr>
        <w:t>envahissement. »</w:t>
      </w:r>
    </w:p>
    <w:p w14:paraId="4740A177" w14:textId="77777777" w:rsidR="000C0344" w:rsidRPr="000C0344" w:rsidRDefault="000C0344" w:rsidP="000C0344">
      <w:pPr>
        <w:pStyle w:val="SingleTxtG"/>
        <w:ind w:left="2268" w:hanging="1134"/>
        <w:rPr>
          <w:lang w:val="fr-FR"/>
        </w:rPr>
      </w:pPr>
      <w:r w:rsidRPr="000C0344">
        <w:rPr>
          <w:lang w:val="fr-FR"/>
        </w:rPr>
        <w:t>1.6.7.2.2.2</w:t>
      </w:r>
      <w:r w:rsidRPr="000C0344">
        <w:rPr>
          <w:lang w:val="fr-FR"/>
        </w:rPr>
        <w:tab/>
        <w:t>Tableau des dispositions transitoires générales − Bateaux-citernes</w:t>
      </w:r>
    </w:p>
    <w:tbl>
      <w:tblPr>
        <w:tblW w:w="7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99"/>
        <w:gridCol w:w="1799"/>
        <w:gridCol w:w="3772"/>
      </w:tblGrid>
      <w:tr w:rsidR="000C0344" w:rsidRPr="000C0344" w14:paraId="658ED42D" w14:textId="77777777" w:rsidTr="00FA2029">
        <w:trPr>
          <w:cantSplit/>
          <w:jc w:val="center"/>
        </w:trPr>
        <w:tc>
          <w:tcPr>
            <w:tcW w:w="1799" w:type="dxa"/>
          </w:tcPr>
          <w:p w14:paraId="157F22DB" w14:textId="77777777" w:rsidR="000C0344" w:rsidRPr="000C0344" w:rsidRDefault="000C0344" w:rsidP="000C0344">
            <w:pPr>
              <w:pStyle w:val="SingleTxtG"/>
              <w:spacing w:before="60" w:after="60"/>
              <w:ind w:left="57" w:right="57"/>
            </w:pPr>
            <w:r w:rsidRPr="000C0344">
              <w:rPr>
                <w:lang w:val="fr-FR"/>
              </w:rPr>
              <w:t>9.3.1.13</w:t>
            </w:r>
          </w:p>
          <w:p w14:paraId="4968F01E" w14:textId="77777777" w:rsidR="000C0344" w:rsidRPr="000C0344" w:rsidRDefault="000C0344" w:rsidP="000C0344">
            <w:pPr>
              <w:pStyle w:val="SingleTxtG"/>
              <w:spacing w:before="60" w:after="60"/>
              <w:ind w:left="57" w:right="57"/>
            </w:pPr>
            <w:r w:rsidRPr="000C0344">
              <w:rPr>
                <w:lang w:val="fr-FR"/>
              </w:rPr>
              <w:t>9.3.3.13</w:t>
            </w:r>
          </w:p>
        </w:tc>
        <w:tc>
          <w:tcPr>
            <w:tcW w:w="1799" w:type="dxa"/>
          </w:tcPr>
          <w:p w14:paraId="59D09074" w14:textId="77777777" w:rsidR="000C0344" w:rsidRPr="000C0344" w:rsidRDefault="000C0344" w:rsidP="000C0344">
            <w:pPr>
              <w:pStyle w:val="SingleTxtG"/>
              <w:spacing w:before="60" w:after="60"/>
              <w:ind w:left="57" w:right="57"/>
            </w:pPr>
            <w:r w:rsidRPr="000C0344">
              <w:rPr>
                <w:lang w:val="fr-FR"/>
              </w:rPr>
              <w:t>Stabilité (généralités)</w:t>
            </w:r>
          </w:p>
        </w:tc>
        <w:tc>
          <w:tcPr>
            <w:tcW w:w="3772" w:type="dxa"/>
          </w:tcPr>
          <w:p w14:paraId="31429F03" w14:textId="77777777" w:rsidR="000C0344" w:rsidRPr="000C0344" w:rsidRDefault="000C0344" w:rsidP="00FA2029">
            <w:pPr>
              <w:pStyle w:val="SingleTxtG"/>
              <w:spacing w:before="60" w:after="60"/>
              <w:ind w:left="57" w:right="57"/>
              <w:jc w:val="left"/>
              <w:rPr>
                <w:lang w:val="fr-FR"/>
              </w:rPr>
            </w:pPr>
            <w:r w:rsidRPr="000C0344">
              <w:rPr>
                <w:lang w:val="fr-FR"/>
              </w:rPr>
              <w:t>N.</w:t>
            </w:r>
            <w:r w:rsidR="00FA2029">
              <w:rPr>
                <w:lang w:val="fr-FR"/>
              </w:rPr>
              <w:t> </w:t>
            </w:r>
            <w:r w:rsidRPr="000C0344">
              <w:rPr>
                <w:lang w:val="fr-FR"/>
              </w:rPr>
              <w:t>R.</w:t>
            </w:r>
            <w:r w:rsidR="00FA2029">
              <w:rPr>
                <w:lang w:val="fr-FR"/>
              </w:rPr>
              <w:t> </w:t>
            </w:r>
            <w:r w:rsidRPr="000C0344">
              <w:rPr>
                <w:lang w:val="fr-FR"/>
              </w:rPr>
              <w:t>T.</w:t>
            </w:r>
          </w:p>
          <w:p w14:paraId="63DB0D01" w14:textId="77777777" w:rsidR="000C0344" w:rsidRPr="000C0344" w:rsidRDefault="000C0344" w:rsidP="00FA2029">
            <w:pPr>
              <w:pStyle w:val="SingleTxtG"/>
              <w:spacing w:before="60" w:after="60"/>
              <w:ind w:left="57" w:right="57"/>
              <w:jc w:val="left"/>
              <w:rPr>
                <w:lang w:val="fr-FR"/>
              </w:rPr>
            </w:pPr>
            <w:r w:rsidRPr="000C0344">
              <w:rPr>
                <w:lang w:val="fr-FR"/>
              </w:rPr>
              <w:t>Renouvellement du certificat d</w:t>
            </w:r>
            <w:r w:rsidR="00FA2029">
              <w:rPr>
                <w:lang w:val="fr-FR"/>
              </w:rPr>
              <w:t>’</w:t>
            </w:r>
            <w:r w:rsidRPr="000C0344">
              <w:rPr>
                <w:lang w:val="fr-FR"/>
              </w:rPr>
              <w:t>agrément après le 31</w:t>
            </w:r>
            <w:r w:rsidR="00151F37">
              <w:rPr>
                <w:lang w:val="fr-FR"/>
              </w:rPr>
              <w:t> </w:t>
            </w:r>
            <w:r w:rsidRPr="000C0344">
              <w:rPr>
                <w:lang w:val="fr-FR"/>
              </w:rPr>
              <w:t>décembre 2044</w:t>
            </w:r>
          </w:p>
        </w:tc>
      </w:tr>
      <w:tr w:rsidR="000C0344" w:rsidRPr="000C0344" w14:paraId="17A5B077" w14:textId="77777777" w:rsidTr="00FA2029">
        <w:trPr>
          <w:cantSplit/>
          <w:jc w:val="center"/>
        </w:trPr>
        <w:tc>
          <w:tcPr>
            <w:tcW w:w="1799" w:type="dxa"/>
          </w:tcPr>
          <w:p w14:paraId="336EA302" w14:textId="77777777" w:rsidR="000C0344" w:rsidRPr="000C0344" w:rsidRDefault="000C0344" w:rsidP="000C0344">
            <w:pPr>
              <w:pStyle w:val="SingleTxtG"/>
              <w:spacing w:before="60" w:after="60"/>
              <w:ind w:left="57" w:right="57"/>
              <w:rPr>
                <w:lang w:val="fr-FR"/>
              </w:rPr>
            </w:pPr>
            <w:r w:rsidRPr="000C0344">
              <w:rPr>
                <w:lang w:val="fr-FR"/>
              </w:rPr>
              <w:t xml:space="preserve">9.3.3.13.3 </w:t>
            </w:r>
            <w:r w:rsidRPr="000C0344">
              <w:rPr>
                <w:lang w:val="fr-FR"/>
              </w:rPr>
              <w:br/>
              <w:t>alinéa 2</w:t>
            </w:r>
          </w:p>
        </w:tc>
        <w:tc>
          <w:tcPr>
            <w:tcW w:w="1799" w:type="dxa"/>
          </w:tcPr>
          <w:p w14:paraId="36704357" w14:textId="77777777" w:rsidR="000C0344" w:rsidRPr="000C0344" w:rsidRDefault="000C0344" w:rsidP="000C0344">
            <w:pPr>
              <w:pStyle w:val="SingleTxtG"/>
              <w:spacing w:before="60" w:after="60"/>
              <w:ind w:left="57" w:right="57"/>
              <w:rPr>
                <w:lang w:val="fr-FR"/>
              </w:rPr>
            </w:pPr>
            <w:r w:rsidRPr="000C0344">
              <w:rPr>
                <w:lang w:val="fr-FR"/>
              </w:rPr>
              <w:t>Stabilité (généralités)</w:t>
            </w:r>
          </w:p>
        </w:tc>
        <w:tc>
          <w:tcPr>
            <w:tcW w:w="3772" w:type="dxa"/>
          </w:tcPr>
          <w:p w14:paraId="0BD4429D" w14:textId="77777777" w:rsidR="000C0344" w:rsidRPr="000C0344" w:rsidRDefault="000C0344" w:rsidP="00FA2029">
            <w:pPr>
              <w:pStyle w:val="SingleTxtG"/>
              <w:spacing w:before="60" w:after="60"/>
              <w:ind w:left="57" w:right="57"/>
              <w:jc w:val="left"/>
              <w:rPr>
                <w:lang w:val="fr-FR"/>
              </w:rPr>
            </w:pPr>
            <w:r w:rsidRPr="000C0344">
              <w:rPr>
                <w:lang w:val="fr-FR"/>
              </w:rPr>
              <w:t>N.</w:t>
            </w:r>
            <w:r w:rsidR="00FA2029">
              <w:rPr>
                <w:lang w:val="fr-FR"/>
              </w:rPr>
              <w:t> </w:t>
            </w:r>
            <w:r w:rsidRPr="000C0344">
              <w:rPr>
                <w:lang w:val="fr-FR"/>
              </w:rPr>
              <w:t>R.</w:t>
            </w:r>
            <w:r w:rsidR="00FA2029">
              <w:rPr>
                <w:lang w:val="fr-FR"/>
              </w:rPr>
              <w:t> </w:t>
            </w:r>
            <w:r w:rsidRPr="000C0344">
              <w:rPr>
                <w:lang w:val="fr-FR"/>
              </w:rPr>
              <w:t>T. à partir du 1</w:t>
            </w:r>
            <w:r w:rsidRPr="00151F37">
              <w:rPr>
                <w:vertAlign w:val="superscript"/>
                <w:lang w:val="fr-FR"/>
              </w:rPr>
              <w:t>er</w:t>
            </w:r>
            <w:r w:rsidR="00151F37">
              <w:rPr>
                <w:lang w:val="fr-FR"/>
              </w:rPr>
              <w:t> </w:t>
            </w:r>
            <w:r w:rsidRPr="000C0344">
              <w:rPr>
                <w:lang w:val="fr-FR"/>
              </w:rPr>
              <w:t>janvier 2007</w:t>
            </w:r>
          </w:p>
          <w:p w14:paraId="690C4AFD" w14:textId="77777777" w:rsidR="000C0344" w:rsidRPr="000C0344" w:rsidRDefault="000C0344" w:rsidP="00FA2029">
            <w:pPr>
              <w:pStyle w:val="SingleTxtG"/>
              <w:spacing w:before="60" w:after="60"/>
              <w:ind w:left="57" w:right="57"/>
              <w:jc w:val="left"/>
              <w:rPr>
                <w:lang w:val="fr-FR"/>
              </w:rPr>
            </w:pPr>
            <w:r w:rsidRPr="000C0344">
              <w:rPr>
                <w:lang w:val="fr-FR"/>
              </w:rPr>
              <w:t>Renouvellement du certificat d</w:t>
            </w:r>
            <w:r w:rsidR="00FA2029">
              <w:rPr>
                <w:lang w:val="fr-FR"/>
              </w:rPr>
              <w:t>’</w:t>
            </w:r>
            <w:r w:rsidRPr="000C0344">
              <w:rPr>
                <w:lang w:val="fr-FR"/>
              </w:rPr>
              <w:t>agrément après le 31 décembre 2044</w:t>
            </w:r>
          </w:p>
        </w:tc>
      </w:tr>
    </w:tbl>
    <w:p w14:paraId="4A6F95EE" w14:textId="77777777" w:rsidR="000C0344" w:rsidRPr="000C0344" w:rsidRDefault="000C0344" w:rsidP="000C0344">
      <w:pPr>
        <w:pStyle w:val="H23G"/>
        <w:rPr>
          <w:lang w:val="fr-FR"/>
        </w:rPr>
      </w:pPr>
      <w:r w:rsidRPr="000C0344">
        <w:rPr>
          <w:lang w:val="fr-FR"/>
        </w:rPr>
        <w:tab/>
      </w:r>
      <w:r w:rsidRPr="000C0344">
        <w:rPr>
          <w:lang w:val="fr-FR"/>
        </w:rPr>
        <w:tab/>
        <w:t>5.</w:t>
      </w:r>
      <w:r w:rsidRPr="000C0344">
        <w:rPr>
          <w:lang w:val="fr-FR"/>
        </w:rPr>
        <w:tab/>
        <w:t>Proposition</w:t>
      </w:r>
    </w:p>
    <w:p w14:paraId="35D796FD" w14:textId="77777777" w:rsidR="000C0344" w:rsidRPr="000C0344" w:rsidRDefault="000C0344" w:rsidP="000C0344">
      <w:pPr>
        <w:pStyle w:val="SingleTxtG"/>
        <w:rPr>
          <w:lang w:val="fr-FR"/>
        </w:rPr>
      </w:pPr>
      <w:r w:rsidRPr="000C0344">
        <w:rPr>
          <w:lang w:val="fr-FR"/>
        </w:rPr>
        <w:t>Lors de sa réintroduction, le 9.3.3.13.4 aurait dû être assorti d</w:t>
      </w:r>
      <w:r w:rsidR="00FA2029">
        <w:rPr>
          <w:lang w:val="fr-FR"/>
        </w:rPr>
        <w:t>’</w:t>
      </w:r>
      <w:r w:rsidRPr="000C0344">
        <w:rPr>
          <w:lang w:val="fr-FR"/>
        </w:rPr>
        <w:t>une disposition transitoire, comme dans l</w:t>
      </w:r>
      <w:r w:rsidR="00FA2029">
        <w:rPr>
          <w:lang w:val="fr-FR"/>
        </w:rPr>
        <w:t>’</w:t>
      </w:r>
      <w:r w:rsidRPr="000C0344">
        <w:rPr>
          <w:lang w:val="fr-FR"/>
        </w:rPr>
        <w:t>ADN 2011.</w:t>
      </w:r>
    </w:p>
    <w:p w14:paraId="2AC84559" w14:textId="77777777" w:rsidR="000C0344" w:rsidRPr="000C0344" w:rsidRDefault="000C0344" w:rsidP="000C0344">
      <w:pPr>
        <w:pStyle w:val="SingleTxtG"/>
        <w:rPr>
          <w:lang w:val="fr-FR"/>
        </w:rPr>
      </w:pPr>
      <w:r w:rsidRPr="000C0344">
        <w:rPr>
          <w:lang w:val="fr-FR"/>
        </w:rPr>
        <w:t xml:space="preserve">La proposition est la suivante : </w:t>
      </w:r>
    </w:p>
    <w:p w14:paraId="60192E36" w14:textId="77777777" w:rsidR="000C0344" w:rsidRPr="000C0344" w:rsidRDefault="000C0344" w:rsidP="000C0344">
      <w:pPr>
        <w:pStyle w:val="SingleTxtG"/>
        <w:rPr>
          <w:lang w:val="fr-FR"/>
        </w:rPr>
      </w:pPr>
      <w:r w:rsidRPr="000C0344">
        <w:rPr>
          <w:lang w:val="fr-FR"/>
        </w:rPr>
        <w:t>Ajouter la rubrique ci-après dans le tableau 1.6.7.2.2.2 :</w:t>
      </w:r>
    </w:p>
    <w:tbl>
      <w:tblPr>
        <w:tblStyle w:val="TableGrid"/>
        <w:tblW w:w="7370" w:type="dxa"/>
        <w:tblInd w:w="1134" w:type="dxa"/>
        <w:tblLayout w:type="fixed"/>
        <w:tblLook w:val="04A0" w:firstRow="1" w:lastRow="0" w:firstColumn="1" w:lastColumn="0" w:noHBand="0" w:noVBand="1"/>
      </w:tblPr>
      <w:tblGrid>
        <w:gridCol w:w="1817"/>
        <w:gridCol w:w="1797"/>
        <w:gridCol w:w="3756"/>
      </w:tblGrid>
      <w:tr w:rsidR="00FA2029" w:rsidRPr="000C0344" w14:paraId="0CB65F58" w14:textId="77777777" w:rsidTr="00FA2029">
        <w:tc>
          <w:tcPr>
            <w:tcW w:w="2374" w:type="dxa"/>
          </w:tcPr>
          <w:p w14:paraId="410EC760" w14:textId="77777777" w:rsidR="000C0344" w:rsidRPr="000C0344" w:rsidRDefault="000C0344" w:rsidP="006A594D">
            <w:pPr>
              <w:pStyle w:val="SingleTxtG"/>
              <w:spacing w:before="60" w:after="60"/>
              <w:ind w:left="57" w:right="57"/>
              <w:rPr>
                <w:lang w:val="en-GB"/>
              </w:rPr>
            </w:pPr>
            <w:r w:rsidRPr="000C0344">
              <w:rPr>
                <w:i/>
                <w:iCs/>
                <w:lang w:val="fr-FR"/>
              </w:rPr>
              <w:t>Paragraphes</w:t>
            </w:r>
          </w:p>
        </w:tc>
        <w:tc>
          <w:tcPr>
            <w:tcW w:w="2347" w:type="dxa"/>
          </w:tcPr>
          <w:p w14:paraId="6F038E15" w14:textId="77777777" w:rsidR="000C0344" w:rsidRPr="000C0344" w:rsidRDefault="000C0344" w:rsidP="006A594D">
            <w:pPr>
              <w:pStyle w:val="SingleTxtG"/>
              <w:spacing w:before="60" w:after="60"/>
              <w:ind w:left="57" w:right="57"/>
              <w:rPr>
                <w:lang w:val="en-GB"/>
              </w:rPr>
            </w:pPr>
            <w:r w:rsidRPr="000C0344">
              <w:rPr>
                <w:i/>
                <w:iCs/>
                <w:lang w:val="fr-FR"/>
              </w:rPr>
              <w:t>Objet</w:t>
            </w:r>
          </w:p>
        </w:tc>
        <w:tc>
          <w:tcPr>
            <w:tcW w:w="4916" w:type="dxa"/>
          </w:tcPr>
          <w:p w14:paraId="766E9E28" w14:textId="77777777" w:rsidR="000C0344" w:rsidRPr="000C0344" w:rsidRDefault="000C0344" w:rsidP="006A594D">
            <w:pPr>
              <w:pStyle w:val="SingleTxtG"/>
              <w:spacing w:before="60" w:after="60"/>
              <w:ind w:left="57" w:right="57"/>
              <w:rPr>
                <w:lang w:val="en-GB"/>
              </w:rPr>
            </w:pPr>
            <w:r w:rsidRPr="000C0344">
              <w:rPr>
                <w:i/>
                <w:iCs/>
                <w:lang w:val="fr-FR"/>
              </w:rPr>
              <w:t>Délai et observations</w:t>
            </w:r>
          </w:p>
        </w:tc>
      </w:tr>
      <w:tr w:rsidR="00FA2029" w:rsidRPr="000C0344" w14:paraId="71D74D27" w14:textId="77777777" w:rsidTr="00FA2029">
        <w:tc>
          <w:tcPr>
            <w:tcW w:w="2374" w:type="dxa"/>
          </w:tcPr>
          <w:p w14:paraId="4B745B5B" w14:textId="77777777" w:rsidR="000C0344" w:rsidRPr="000C0344" w:rsidRDefault="000C0344" w:rsidP="006A594D">
            <w:pPr>
              <w:pStyle w:val="SingleTxtG"/>
              <w:spacing w:before="60" w:after="60"/>
              <w:ind w:left="57" w:right="57"/>
              <w:rPr>
                <w:lang w:val="en-GB"/>
              </w:rPr>
            </w:pPr>
            <w:r w:rsidRPr="000C0344">
              <w:rPr>
                <w:lang w:val="fr-FR"/>
              </w:rPr>
              <w:t>9.3.3.13.4</w:t>
            </w:r>
          </w:p>
        </w:tc>
        <w:tc>
          <w:tcPr>
            <w:tcW w:w="2347" w:type="dxa"/>
          </w:tcPr>
          <w:p w14:paraId="49E1883A" w14:textId="77777777" w:rsidR="000C0344" w:rsidRPr="000C0344" w:rsidRDefault="000C0344" w:rsidP="006A594D">
            <w:pPr>
              <w:pStyle w:val="SingleTxtG"/>
              <w:spacing w:before="60" w:after="60"/>
              <w:ind w:left="57" w:right="57"/>
              <w:rPr>
                <w:lang w:val="en-GB"/>
              </w:rPr>
            </w:pPr>
            <w:r w:rsidRPr="000C0344">
              <w:rPr>
                <w:lang w:val="fr-FR"/>
              </w:rPr>
              <w:t>Stabilité (généralités)</w:t>
            </w:r>
          </w:p>
        </w:tc>
        <w:tc>
          <w:tcPr>
            <w:tcW w:w="4916" w:type="dxa"/>
          </w:tcPr>
          <w:p w14:paraId="6C33EE90" w14:textId="77777777" w:rsidR="000C0344" w:rsidRPr="000C0344" w:rsidRDefault="000C0344" w:rsidP="00FA2029">
            <w:pPr>
              <w:pStyle w:val="SingleTxtG"/>
              <w:spacing w:before="60" w:after="60"/>
              <w:ind w:left="57" w:right="57"/>
              <w:jc w:val="left"/>
              <w:rPr>
                <w:bCs/>
                <w:lang w:val="fr-FR"/>
              </w:rPr>
            </w:pPr>
            <w:r w:rsidRPr="000C0344">
              <w:rPr>
                <w:lang w:val="fr-FR"/>
              </w:rPr>
              <w:t>N.</w:t>
            </w:r>
            <w:r w:rsidR="00FA2029">
              <w:rPr>
                <w:lang w:val="fr-FR"/>
              </w:rPr>
              <w:t> </w:t>
            </w:r>
            <w:r w:rsidRPr="000C0344">
              <w:rPr>
                <w:lang w:val="fr-FR"/>
              </w:rPr>
              <w:t>R.</w:t>
            </w:r>
            <w:r w:rsidR="00FA2029">
              <w:rPr>
                <w:lang w:val="fr-FR"/>
              </w:rPr>
              <w:t> </w:t>
            </w:r>
            <w:r w:rsidRPr="000C0344">
              <w:rPr>
                <w:lang w:val="fr-FR"/>
              </w:rPr>
              <w:t>T. à partir du 1</w:t>
            </w:r>
            <w:r w:rsidRPr="000C0344">
              <w:rPr>
                <w:vertAlign w:val="superscript"/>
                <w:lang w:val="fr-FR"/>
              </w:rPr>
              <w:t>er</w:t>
            </w:r>
            <w:r w:rsidR="00FA2029">
              <w:rPr>
                <w:lang w:val="fr-FR"/>
              </w:rPr>
              <w:t> </w:t>
            </w:r>
            <w:r w:rsidRPr="000C0344">
              <w:rPr>
                <w:lang w:val="fr-FR"/>
              </w:rPr>
              <w:t>janvier 2007</w:t>
            </w:r>
          </w:p>
          <w:p w14:paraId="1F53EDD2" w14:textId="77777777" w:rsidR="000C0344" w:rsidRPr="000C0344" w:rsidRDefault="000C0344" w:rsidP="00FA2029">
            <w:pPr>
              <w:pStyle w:val="SingleTxtG"/>
              <w:spacing w:before="60" w:after="60"/>
              <w:ind w:left="57" w:right="57"/>
              <w:jc w:val="left"/>
              <w:rPr>
                <w:lang w:val="fr-FR"/>
              </w:rPr>
            </w:pPr>
            <w:r w:rsidRPr="000C0344">
              <w:rPr>
                <w:lang w:val="fr-FR"/>
              </w:rPr>
              <w:t>Renouvellement du certificat d</w:t>
            </w:r>
            <w:r w:rsidR="00FA2029">
              <w:rPr>
                <w:lang w:val="fr-FR"/>
              </w:rPr>
              <w:t>’</w:t>
            </w:r>
            <w:r w:rsidRPr="000C0344">
              <w:rPr>
                <w:lang w:val="fr-FR"/>
              </w:rPr>
              <w:t>agrément après le 31</w:t>
            </w:r>
            <w:r w:rsidR="00FA2029">
              <w:rPr>
                <w:lang w:val="fr-FR"/>
              </w:rPr>
              <w:t> </w:t>
            </w:r>
            <w:r w:rsidRPr="000C0344">
              <w:rPr>
                <w:lang w:val="fr-FR"/>
              </w:rPr>
              <w:t>décembre 2044</w:t>
            </w:r>
          </w:p>
        </w:tc>
      </w:tr>
    </w:tbl>
    <w:p w14:paraId="6BB7D663" w14:textId="77777777" w:rsidR="00F9573C" w:rsidRPr="00FA2029" w:rsidRDefault="00FA2029" w:rsidP="00FA2029">
      <w:pPr>
        <w:pStyle w:val="SingleTxtG"/>
        <w:spacing w:before="240" w:after="0"/>
        <w:jc w:val="center"/>
        <w:rPr>
          <w:u w:val="single"/>
        </w:rPr>
      </w:pPr>
      <w:r>
        <w:rPr>
          <w:u w:val="single"/>
          <w:lang w:val="fr-FR"/>
        </w:rPr>
        <w:tab/>
      </w:r>
      <w:r>
        <w:rPr>
          <w:u w:val="single"/>
          <w:lang w:val="fr-FR"/>
        </w:rPr>
        <w:tab/>
      </w:r>
      <w:r>
        <w:rPr>
          <w:u w:val="single"/>
          <w:lang w:val="fr-FR"/>
        </w:rPr>
        <w:tab/>
      </w:r>
    </w:p>
    <w:sectPr w:rsidR="00F9573C" w:rsidRPr="00FA2029" w:rsidSect="000C034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4F46E" w14:textId="77777777" w:rsidR="002A070D" w:rsidRDefault="002A070D" w:rsidP="00F95C08">
      <w:pPr>
        <w:spacing w:line="240" w:lineRule="auto"/>
      </w:pPr>
    </w:p>
  </w:endnote>
  <w:endnote w:type="continuationSeparator" w:id="0">
    <w:p w14:paraId="66CDD0D4" w14:textId="77777777" w:rsidR="002A070D" w:rsidRPr="00AC3823" w:rsidRDefault="002A070D" w:rsidP="00AC3823">
      <w:pPr>
        <w:pStyle w:val="Footer"/>
      </w:pPr>
    </w:p>
  </w:endnote>
  <w:endnote w:type="continuationNotice" w:id="1">
    <w:p w14:paraId="74FF2DB8" w14:textId="77777777" w:rsidR="002A070D" w:rsidRDefault="002A07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F978F" w14:textId="77777777" w:rsidR="000C0344" w:rsidRPr="000C0344" w:rsidRDefault="000C0344" w:rsidP="000C0344">
    <w:pPr>
      <w:pStyle w:val="Footer"/>
      <w:tabs>
        <w:tab w:val="right" w:pos="9638"/>
      </w:tabs>
    </w:pPr>
    <w:r w:rsidRPr="000C0344">
      <w:rPr>
        <w:b/>
        <w:sz w:val="18"/>
      </w:rPr>
      <w:fldChar w:fldCharType="begin"/>
    </w:r>
    <w:r w:rsidRPr="000C0344">
      <w:rPr>
        <w:b/>
        <w:sz w:val="18"/>
      </w:rPr>
      <w:instrText xml:space="preserve"> PAGE  \* MERGEFORMAT </w:instrText>
    </w:r>
    <w:r w:rsidRPr="000C0344">
      <w:rPr>
        <w:b/>
        <w:sz w:val="18"/>
      </w:rPr>
      <w:fldChar w:fldCharType="separate"/>
    </w:r>
    <w:r w:rsidRPr="000C0344">
      <w:rPr>
        <w:b/>
        <w:noProof/>
        <w:sz w:val="18"/>
      </w:rPr>
      <w:t>2</w:t>
    </w:r>
    <w:r w:rsidRPr="000C0344">
      <w:rPr>
        <w:b/>
        <w:sz w:val="18"/>
      </w:rPr>
      <w:fldChar w:fldCharType="end"/>
    </w:r>
    <w:r>
      <w:rPr>
        <w:b/>
        <w:sz w:val="18"/>
      </w:rPr>
      <w:tab/>
    </w:r>
    <w:r>
      <w:t>GE.19-19534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2E9C" w14:textId="77777777" w:rsidR="000C0344" w:rsidRPr="000C0344" w:rsidRDefault="000C0344" w:rsidP="000C0344">
    <w:pPr>
      <w:pStyle w:val="Footer"/>
      <w:tabs>
        <w:tab w:val="right" w:pos="9638"/>
      </w:tabs>
      <w:rPr>
        <w:b/>
        <w:sz w:val="18"/>
      </w:rPr>
    </w:pPr>
    <w:r>
      <w:t>GE.19-19534</w:t>
    </w:r>
    <w:r>
      <w:tab/>
    </w:r>
    <w:r w:rsidRPr="000C0344">
      <w:rPr>
        <w:b/>
        <w:sz w:val="18"/>
      </w:rPr>
      <w:fldChar w:fldCharType="begin"/>
    </w:r>
    <w:r w:rsidRPr="000C0344">
      <w:rPr>
        <w:b/>
        <w:sz w:val="18"/>
      </w:rPr>
      <w:instrText xml:space="preserve"> PAGE  \* MERGEFORMAT </w:instrText>
    </w:r>
    <w:r w:rsidRPr="000C0344">
      <w:rPr>
        <w:b/>
        <w:sz w:val="18"/>
      </w:rPr>
      <w:fldChar w:fldCharType="separate"/>
    </w:r>
    <w:r w:rsidRPr="000C0344">
      <w:rPr>
        <w:b/>
        <w:noProof/>
        <w:sz w:val="18"/>
      </w:rPr>
      <w:t>3</w:t>
    </w:r>
    <w:r w:rsidRPr="000C03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2991B" w14:textId="77777777" w:rsidR="007F20FA" w:rsidRPr="000C0344" w:rsidRDefault="000C0344" w:rsidP="000C0344">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598994A7" wp14:editId="0E18ADF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19534  (</w:t>
    </w:r>
    <w:proofErr w:type="gramEnd"/>
    <w:r>
      <w:rPr>
        <w:sz w:val="20"/>
      </w:rPr>
      <w:t xml:space="preserve">F)    221119    </w:t>
    </w:r>
    <w:r w:rsidRPr="00151F37">
      <w:rPr>
        <w:sz w:val="20"/>
      </w:rPr>
      <w:t>061219</w:t>
    </w:r>
    <w:r>
      <w:rPr>
        <w:sz w:val="20"/>
      </w:rPr>
      <w:br/>
    </w:r>
    <w:r w:rsidRPr="000C0344">
      <w:rPr>
        <w:rFonts w:ascii="C39T30Lfz" w:hAnsi="C39T30Lfz"/>
        <w:sz w:val="56"/>
      </w:rPr>
      <w:t></w:t>
    </w:r>
    <w:r w:rsidRPr="000C0344">
      <w:rPr>
        <w:rFonts w:ascii="C39T30Lfz" w:hAnsi="C39T30Lfz"/>
        <w:sz w:val="56"/>
      </w:rPr>
      <w:t></w:t>
    </w:r>
    <w:r w:rsidRPr="000C0344">
      <w:rPr>
        <w:rFonts w:ascii="C39T30Lfz" w:hAnsi="C39T30Lfz"/>
        <w:sz w:val="56"/>
      </w:rPr>
      <w:t></w:t>
    </w:r>
    <w:r w:rsidRPr="000C0344">
      <w:rPr>
        <w:rFonts w:ascii="C39T30Lfz" w:hAnsi="C39T30Lfz"/>
        <w:sz w:val="56"/>
      </w:rPr>
      <w:t></w:t>
    </w:r>
    <w:r w:rsidRPr="000C0344">
      <w:rPr>
        <w:rFonts w:ascii="C39T30Lfz" w:hAnsi="C39T30Lfz"/>
        <w:sz w:val="56"/>
      </w:rPr>
      <w:t></w:t>
    </w:r>
    <w:r w:rsidRPr="000C0344">
      <w:rPr>
        <w:rFonts w:ascii="C39T30Lfz" w:hAnsi="C39T30Lfz"/>
        <w:sz w:val="56"/>
      </w:rPr>
      <w:t></w:t>
    </w:r>
    <w:r w:rsidRPr="000C0344">
      <w:rPr>
        <w:rFonts w:ascii="C39T30Lfz" w:hAnsi="C39T30Lfz"/>
        <w:sz w:val="56"/>
      </w:rPr>
      <w:t></w:t>
    </w:r>
    <w:r w:rsidRPr="000C0344">
      <w:rPr>
        <w:rFonts w:ascii="C39T30Lfz" w:hAnsi="C39T30Lfz"/>
        <w:sz w:val="56"/>
      </w:rPr>
      <w:t></w:t>
    </w:r>
    <w:r w:rsidRPr="000C0344">
      <w:rPr>
        <w:rFonts w:ascii="C39T30Lfz" w:hAnsi="C39T30Lfz"/>
        <w:sz w:val="56"/>
      </w:rPr>
      <w:t></w:t>
    </w:r>
    <w:r>
      <w:rPr>
        <w:noProof/>
        <w:sz w:val="20"/>
      </w:rPr>
      <w:drawing>
        <wp:anchor distT="0" distB="0" distL="114300" distR="114300" simplePos="0" relativeHeight="251658240" behindDoc="0" locked="0" layoutInCell="1" allowOverlap="1" wp14:anchorId="63D6109A" wp14:editId="2647CF2B">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20/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20/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C3BB1" w14:textId="77777777" w:rsidR="002A070D" w:rsidRPr="00AC3823" w:rsidRDefault="002A070D" w:rsidP="00AC3823">
      <w:pPr>
        <w:pStyle w:val="Footer"/>
        <w:tabs>
          <w:tab w:val="right" w:pos="2155"/>
        </w:tabs>
        <w:spacing w:after="80" w:line="240" w:lineRule="atLeast"/>
        <w:ind w:left="680"/>
        <w:rPr>
          <w:u w:val="single"/>
        </w:rPr>
      </w:pPr>
      <w:r>
        <w:rPr>
          <w:u w:val="single"/>
        </w:rPr>
        <w:tab/>
      </w:r>
    </w:p>
  </w:footnote>
  <w:footnote w:type="continuationSeparator" w:id="0">
    <w:p w14:paraId="052E0FA1" w14:textId="77777777" w:rsidR="002A070D" w:rsidRPr="00AC3823" w:rsidRDefault="002A070D" w:rsidP="00AC3823">
      <w:pPr>
        <w:pStyle w:val="Footer"/>
        <w:tabs>
          <w:tab w:val="right" w:pos="2155"/>
        </w:tabs>
        <w:spacing w:after="80" w:line="240" w:lineRule="atLeast"/>
        <w:ind w:left="680"/>
        <w:rPr>
          <w:u w:val="single"/>
        </w:rPr>
      </w:pPr>
      <w:r>
        <w:rPr>
          <w:u w:val="single"/>
        </w:rPr>
        <w:tab/>
      </w:r>
    </w:p>
  </w:footnote>
  <w:footnote w:type="continuationNotice" w:id="1">
    <w:p w14:paraId="33CAB043" w14:textId="77777777" w:rsidR="002A070D" w:rsidRPr="00AC3823" w:rsidRDefault="002A070D">
      <w:pPr>
        <w:spacing w:line="240" w:lineRule="auto"/>
        <w:rPr>
          <w:sz w:val="2"/>
          <w:szCs w:val="2"/>
        </w:rPr>
      </w:pPr>
    </w:p>
  </w:footnote>
  <w:footnote w:id="2">
    <w:p w14:paraId="2BE37BB0" w14:textId="77777777" w:rsidR="000C0344" w:rsidRPr="00480D43" w:rsidRDefault="000C0344" w:rsidP="000C0344">
      <w:pPr>
        <w:pStyle w:val="FootnoteText"/>
        <w:rPr>
          <w:lang w:val="fr-FR"/>
        </w:rPr>
      </w:pPr>
      <w:r>
        <w:rPr>
          <w:lang w:val="fr-FR"/>
        </w:rPr>
        <w:tab/>
      </w:r>
      <w:r w:rsidRPr="000C0344">
        <w:t>*</w:t>
      </w:r>
      <w:r w:rsidRPr="000C0344">
        <w:tab/>
      </w:r>
      <w:r>
        <w:rPr>
          <w:lang w:val="fr-FR"/>
        </w:rPr>
        <w:t>Diffusé en langue allemande par la Commission centrale pour la navigation du Rhin sous la cote CCNR/ZKR/ADN/WP.15/AC.2/2020/16.</w:t>
      </w:r>
    </w:p>
  </w:footnote>
  <w:footnote w:id="3">
    <w:p w14:paraId="510CEB53" w14:textId="77777777" w:rsidR="000C0344" w:rsidRPr="00480D43" w:rsidRDefault="000C0344" w:rsidP="000C0344">
      <w:pPr>
        <w:pStyle w:val="FootnoteText"/>
        <w:rPr>
          <w:lang w:val="fr-FR"/>
        </w:rPr>
      </w:pPr>
      <w:r>
        <w:rPr>
          <w:lang w:val="fr-FR"/>
        </w:rPr>
        <w:tab/>
      </w:r>
      <w:r w:rsidRPr="000C0344">
        <w:t>**</w:t>
      </w:r>
      <w:r>
        <w:rPr>
          <w:lang w:val="fr-FR"/>
        </w:rPr>
        <w:tab/>
        <w:t>Conformément au programme de travail du Comité des transports intérieurs pour 2018-2019 (ECE/TRANS/2018/21/Add.1, module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2B76" w14:textId="4D2BCA56" w:rsidR="000C0344" w:rsidRPr="000C0344" w:rsidRDefault="00A73D0A">
    <w:pPr>
      <w:pStyle w:val="Header"/>
    </w:pPr>
    <w:r>
      <w:fldChar w:fldCharType="begin"/>
    </w:r>
    <w:r>
      <w:instrText xml:space="preserve"> TITLE  \* MERGEFORMAT </w:instrText>
    </w:r>
    <w:r>
      <w:fldChar w:fldCharType="separate"/>
    </w:r>
    <w:r>
      <w:t>ECE/TRANS/WP.15/AC.2/2020/16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2FF75" w14:textId="68B5E662" w:rsidR="000C0344" w:rsidRPr="000C0344" w:rsidRDefault="00A73D0A" w:rsidP="000C0344">
    <w:pPr>
      <w:pStyle w:val="Header"/>
      <w:jc w:val="right"/>
    </w:pPr>
    <w:r>
      <w:fldChar w:fldCharType="begin"/>
    </w:r>
    <w:r>
      <w:instrText xml:space="preserve"> TITLE  \* MERGEFORMAT </w:instrText>
    </w:r>
    <w:r>
      <w:fldChar w:fldCharType="separate"/>
    </w:r>
    <w:r>
      <w:t>ECE/TRANS/WP.15/AC.2/2020/16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0D"/>
    <w:rsid w:val="00017F94"/>
    <w:rsid w:val="00023842"/>
    <w:rsid w:val="000334F9"/>
    <w:rsid w:val="00045FEB"/>
    <w:rsid w:val="0007796D"/>
    <w:rsid w:val="000B7790"/>
    <w:rsid w:val="000C0344"/>
    <w:rsid w:val="00111F2F"/>
    <w:rsid w:val="0014365E"/>
    <w:rsid w:val="00143C66"/>
    <w:rsid w:val="00151F37"/>
    <w:rsid w:val="00176178"/>
    <w:rsid w:val="001F525A"/>
    <w:rsid w:val="00223272"/>
    <w:rsid w:val="0024779E"/>
    <w:rsid w:val="00257168"/>
    <w:rsid w:val="002744B8"/>
    <w:rsid w:val="002832AC"/>
    <w:rsid w:val="002A070D"/>
    <w:rsid w:val="002D7C93"/>
    <w:rsid w:val="00305801"/>
    <w:rsid w:val="003916DE"/>
    <w:rsid w:val="00421996"/>
    <w:rsid w:val="00441C3B"/>
    <w:rsid w:val="00446FE5"/>
    <w:rsid w:val="00452396"/>
    <w:rsid w:val="004837D8"/>
    <w:rsid w:val="004E2EED"/>
    <w:rsid w:val="004E468C"/>
    <w:rsid w:val="005505B7"/>
    <w:rsid w:val="00573BE5"/>
    <w:rsid w:val="00586ED3"/>
    <w:rsid w:val="00596AA9"/>
    <w:rsid w:val="006A594D"/>
    <w:rsid w:val="0071601D"/>
    <w:rsid w:val="007A62E6"/>
    <w:rsid w:val="007F20FA"/>
    <w:rsid w:val="0080684C"/>
    <w:rsid w:val="00871C75"/>
    <w:rsid w:val="008776DC"/>
    <w:rsid w:val="008B0938"/>
    <w:rsid w:val="009446C0"/>
    <w:rsid w:val="009705C8"/>
    <w:rsid w:val="009C1CF4"/>
    <w:rsid w:val="009F6B74"/>
    <w:rsid w:val="00A3029F"/>
    <w:rsid w:val="00A30353"/>
    <w:rsid w:val="00A73D0A"/>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 w:val="00FA202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70E675"/>
  <w15:docId w15:val="{4136F51D-9F80-4615-A045-8B47807A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0C034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8467</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ECE/TRANS/WP.15/AC.2/2020/16</vt:lpstr>
      <vt:lpstr>ECE/TRANS/WP.15/AC.2/2020/16</vt:lpstr>
    </vt:vector>
  </TitlesOfParts>
  <Company>DCM</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ECE/TRANS/WP.15/AC.2/2020/16</dc:title>
  <dc:subject/>
  <dc:creator>Edith BOURION</dc:creator>
  <cp:keywords/>
  <cp:lastModifiedBy>Marie-Claude Collet</cp:lastModifiedBy>
  <cp:revision>3</cp:revision>
  <cp:lastPrinted>2019-12-09T07:19:00Z</cp:lastPrinted>
  <dcterms:created xsi:type="dcterms:W3CDTF">2019-12-09T07:19:00Z</dcterms:created>
  <dcterms:modified xsi:type="dcterms:W3CDTF">2019-12-09T07:20:00Z</dcterms:modified>
</cp:coreProperties>
</file>