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8150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491C66" w14:textId="77777777" w:rsidR="002D5AAC" w:rsidRDefault="002D5AAC" w:rsidP="00A632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D361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49990C" w14:textId="77777777" w:rsidR="002D5AAC" w:rsidRDefault="00A63221" w:rsidP="00A63221">
            <w:pPr>
              <w:jc w:val="right"/>
            </w:pPr>
            <w:r w:rsidRPr="00A63221">
              <w:rPr>
                <w:sz w:val="40"/>
              </w:rPr>
              <w:t>ECE</w:t>
            </w:r>
            <w:r>
              <w:t>/TRANS/WP.29/GRVA/2020/7</w:t>
            </w:r>
          </w:p>
        </w:tc>
      </w:tr>
      <w:tr w:rsidR="002D5AAC" w:rsidRPr="00206FB1" w14:paraId="08F14F7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04BF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6C1D05" wp14:editId="09A23C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4CF6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D675FF" w14:textId="77777777" w:rsidR="002D5AAC" w:rsidRDefault="00A632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79729B" w14:textId="77777777" w:rsidR="00A63221" w:rsidRDefault="00A63221" w:rsidP="00A6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14:paraId="042E7C47" w14:textId="77777777" w:rsidR="00A63221" w:rsidRDefault="00A63221" w:rsidP="00A6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626CB7" w14:textId="77777777" w:rsidR="00A63221" w:rsidRPr="008D53B6" w:rsidRDefault="00A63221" w:rsidP="00A6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818D46" w14:textId="77777777" w:rsidR="00A63221" w:rsidRDefault="008A37C8" w:rsidP="00F71AAD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01158D80" w14:textId="77777777" w:rsidR="00A63221" w:rsidRDefault="00A63221" w:rsidP="00F71AA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32E21D86" w14:textId="77777777" w:rsidR="00A63221" w:rsidRDefault="00A63221" w:rsidP="00F71AAD">
      <w:pPr>
        <w:spacing w:before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  <w:t>в области транспортных средств</w:t>
      </w:r>
    </w:p>
    <w:p w14:paraId="27937619" w14:textId="77777777" w:rsidR="00A63221" w:rsidRDefault="00A63221" w:rsidP="00F71AAD">
      <w:pPr>
        <w:spacing w:before="120"/>
        <w:rPr>
          <w:b/>
          <w:szCs w:val="20"/>
        </w:rPr>
      </w:pPr>
      <w:bookmarkStart w:id="1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  <w:r w:rsidRPr="00A63221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1"/>
    </w:p>
    <w:p w14:paraId="5F2668F2" w14:textId="77777777" w:rsidR="00A63221" w:rsidRDefault="00A63221" w:rsidP="00F71AAD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5F94F586" w14:textId="77777777" w:rsidR="00A63221" w:rsidRDefault="00A63221" w:rsidP="00F71AAD">
      <w:r>
        <w:t>Женева, 10–14 февраля 2020 года</w:t>
      </w:r>
    </w:p>
    <w:p w14:paraId="709C0386" w14:textId="77777777" w:rsidR="00A63221" w:rsidRDefault="00A63221" w:rsidP="00F71AAD">
      <w:r>
        <w:t>Пункт 6</w:t>
      </w:r>
      <w:r w:rsidR="00A776D4">
        <w:t xml:space="preserve"> </w:t>
      </w:r>
      <w:r>
        <w:t>a</w:t>
      </w:r>
      <w:r w:rsidR="00A776D4">
        <w:t>)</w:t>
      </w:r>
      <w:r>
        <w:t xml:space="preserve"> предварительной повестки дня</w:t>
      </w:r>
    </w:p>
    <w:p w14:paraId="2C401076" w14:textId="77777777" w:rsidR="00A63221" w:rsidRDefault="00A63221" w:rsidP="00F71AAD">
      <w:pPr>
        <w:rPr>
          <w:b/>
        </w:rPr>
      </w:pPr>
      <w:r>
        <w:rPr>
          <w:b/>
          <w:bCs/>
        </w:rPr>
        <w:t>Правила № 79 ООН:</w:t>
      </w:r>
      <w:r>
        <w:rPr>
          <w:b/>
          <w:bCs/>
        </w:rPr>
        <w:br/>
        <w:t>Автоматизированная функция рулевого управления</w:t>
      </w:r>
    </w:p>
    <w:p w14:paraId="30C43E2F" w14:textId="77777777" w:rsidR="00A63221" w:rsidRDefault="00A63221" w:rsidP="00F71AAD">
      <w:pPr>
        <w:pStyle w:val="HChG"/>
      </w:pPr>
      <w:bookmarkStart w:id="2" w:name="OLE_LINK2"/>
      <w:r>
        <w:tab/>
      </w:r>
      <w:r>
        <w:tab/>
      </w:r>
      <w:r>
        <w:rPr>
          <w:bCs/>
        </w:rPr>
        <w:t>Предложение по дополнению к поправкам серии 03 к</w:t>
      </w:r>
      <w:r>
        <w:rPr>
          <w:bCs/>
          <w:lang w:val="en-US"/>
        </w:rPr>
        <w:t> </w:t>
      </w:r>
      <w:r>
        <w:rPr>
          <w:bCs/>
        </w:rPr>
        <w:t>Правилам № 79 ООН (оборудование рулевого управления)</w:t>
      </w:r>
      <w:bookmarkEnd w:id="2"/>
    </w:p>
    <w:p w14:paraId="73925734" w14:textId="77777777" w:rsidR="00A63221" w:rsidRDefault="00A63221" w:rsidP="00F71AA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Европейской ассоциации по</w:t>
      </w:r>
      <w:r>
        <w:rPr>
          <w:bCs/>
          <w:lang w:val="en-US"/>
        </w:rPr>
        <w:t> </w:t>
      </w:r>
      <w:r>
        <w:rPr>
          <w:bCs/>
        </w:rPr>
        <w:t>электромобильности</w:t>
      </w:r>
      <w:r w:rsidRPr="00A6322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502866B1" w14:textId="77777777" w:rsidR="00A63221" w:rsidRDefault="00A63221" w:rsidP="00F71AAD">
      <w:pPr>
        <w:pStyle w:val="SingleTxtG"/>
      </w:pPr>
      <w:r>
        <w:tab/>
      </w:r>
      <w:r>
        <w:tab/>
        <w:t>Воспроизведенный ниже текст был подготовлен экспертом от Европейской ассоциации по электромобильности (АВЕРЕ) для внесения поправок в Правила № 79 ООН. Он нацелен на уточнение текста Правил. В его основу положен документ ECE/TRANS/WP.29/GRVA/2019/26.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38F8776F" w14:textId="77777777" w:rsidR="00A63221" w:rsidRDefault="00A63221" w:rsidP="00F71AAD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F0A9CB7" w14:textId="77777777" w:rsidR="00A63221" w:rsidRDefault="00A63221" w:rsidP="00F71AAD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Пункт 5.6.2.1.3 </w:t>
      </w:r>
      <w:r>
        <w:t>изменить следующим образом (включить новое положение):</w:t>
      </w:r>
    </w:p>
    <w:p w14:paraId="452AE595" w14:textId="77777777" w:rsidR="00A63221" w:rsidRDefault="00A63221" w:rsidP="00F71AA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«5.6.2.1.3</w:t>
      </w:r>
      <w:r>
        <w:tab/>
        <w:t>Система должна быть сконструирована таким образом, чтобы во время ее функционирования исключалась возможность чрезмерного вмешательства в рулевое управление, с тем чтобы обеспечить способность водителя управлять транспортным средством и избежать неожиданного изменения поведения транспортного средства. Это</w:t>
      </w:r>
      <w:r>
        <w:rPr>
          <w:lang w:val="en-US"/>
        </w:rPr>
        <w:t> </w:t>
      </w:r>
      <w:r>
        <w:t>обеспечивается путем выполнения следующих требований:</w:t>
      </w:r>
    </w:p>
    <w:p w14:paraId="19B65B73" w14:textId="77777777" w:rsidR="00A63221" w:rsidRDefault="00A63221" w:rsidP="00F71AAD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tab/>
        <w:t>а)</w:t>
      </w:r>
      <w:r>
        <w:tab/>
        <w:t>Рулевое усилие, необходимое водителю для того, чтобы взять на себя управление траекторией движения, обеспечиваемое системой, не должно превышать 50 Н.</w:t>
      </w:r>
    </w:p>
    <w:p w14:paraId="03DF07D9" w14:textId="77777777" w:rsidR="00A63221" w:rsidRDefault="00A63221" w:rsidP="00F71AAD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5D08F1">
        <w:rPr>
          <w:spacing w:val="-2"/>
        </w:rPr>
        <w:t>b)</w:t>
      </w:r>
      <w:r w:rsidRPr="005D08F1">
        <w:rPr>
          <w:spacing w:val="-2"/>
        </w:rPr>
        <w:tab/>
        <w:t>Указанное максимальное боковое ускорение ay</w:t>
      </w:r>
      <w:r w:rsidRPr="005D08F1">
        <w:rPr>
          <w:spacing w:val="-2"/>
          <w:vertAlign w:val="subscript"/>
        </w:rPr>
        <w:t>smax</w:t>
      </w:r>
      <w:r w:rsidRPr="005D08F1">
        <w:rPr>
          <w:spacing w:val="-2"/>
        </w:rPr>
        <w:t xml:space="preserve">, обеспечиваемое </w:t>
      </w:r>
      <w:r>
        <w:t>системой, должно находиться в пределах, определенных в следующей таблице:</w:t>
      </w:r>
    </w:p>
    <w:p w14:paraId="1E3CC4BC" w14:textId="77777777" w:rsidR="00A63221" w:rsidRDefault="00A63221" w:rsidP="00F71AAD">
      <w:pPr>
        <w:spacing w:after="120"/>
        <w:ind w:left="2268" w:right="1134"/>
        <w:rPr>
          <w:rFonts w:cs="Times New Roman"/>
          <w:b/>
          <w:vertAlign w:val="subscript"/>
        </w:rPr>
      </w:pPr>
      <w:r>
        <w:t>Таблица 1</w:t>
      </w:r>
      <w:r>
        <w:br/>
      </w:r>
      <w:r>
        <w:rPr>
          <w:b/>
          <w:bCs/>
        </w:rPr>
        <w:t>Для транспортных средств категорий M</w:t>
      </w:r>
      <w:r>
        <w:rPr>
          <w:b/>
          <w:bCs/>
          <w:vertAlign w:val="subscript"/>
        </w:rPr>
        <w:t>1</w:t>
      </w:r>
      <w:r>
        <w:rPr>
          <w:b/>
          <w:bCs/>
        </w:rPr>
        <w:t>, N</w:t>
      </w:r>
      <w:r>
        <w:rPr>
          <w:b/>
          <w:bCs/>
          <w:vertAlign w:val="subscript"/>
        </w:rPr>
        <w:t>1</w:t>
      </w:r>
    </w:p>
    <w:tbl>
      <w:tblPr>
        <w:tblW w:w="6270" w:type="dxa"/>
        <w:tblInd w:w="2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08"/>
        <w:gridCol w:w="981"/>
        <w:gridCol w:w="922"/>
        <w:gridCol w:w="1049"/>
      </w:tblGrid>
      <w:tr w:rsidR="00A63221" w:rsidRPr="00A63221" w14:paraId="0D078DE6" w14:textId="77777777" w:rsidTr="00A776D4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C541CEB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color w:val="000000"/>
                <w:sz w:val="16"/>
                <w:szCs w:val="16"/>
                <w:lang w:val="en-GB"/>
              </w:rPr>
            </w:pPr>
            <w:r w:rsidRPr="00A63221">
              <w:rPr>
                <w:i/>
                <w:iCs/>
                <w:sz w:val="16"/>
                <w:szCs w:val="16"/>
              </w:rPr>
              <w:t>Диапазон скоростей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614D2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10–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A63221">
              <w:rPr>
                <w:i/>
                <w:iCs/>
                <w:sz w:val="16"/>
                <w:szCs w:val="16"/>
              </w:rPr>
              <w:t>60 км/ч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B9B7FF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&gt;60–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A63221">
              <w:rPr>
                <w:i/>
                <w:iCs/>
                <w:sz w:val="16"/>
                <w:szCs w:val="16"/>
              </w:rPr>
              <w:t>100 км/ч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D48735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&gt;100–130 км/ч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53C05E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&gt;130 км/ч</w:t>
            </w:r>
          </w:p>
        </w:tc>
      </w:tr>
      <w:tr w:rsidR="00A63221" w14:paraId="6DFF4BF8" w14:textId="77777777" w:rsidTr="00A776D4">
        <w:trPr>
          <w:trHeight w:val="255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696C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84F43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A63221">
              <w:rPr>
                <w:sz w:val="18"/>
                <w:szCs w:val="18"/>
              </w:rPr>
              <w:t>3 м/с²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5C76F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3 м/с²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BE2C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3 м/с²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C7774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3 м/с²</w:t>
            </w:r>
          </w:p>
        </w:tc>
      </w:tr>
      <w:tr w:rsidR="00A63221" w14:paraId="599E19C4" w14:textId="77777777" w:rsidTr="00A776D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6125716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8A3D9B5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A63221">
              <w:rPr>
                <w:sz w:val="18"/>
                <w:szCs w:val="18"/>
              </w:rPr>
              <w:t>0 м/с²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0E3D232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0,5 м/с²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F0368AF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0,8 м/с²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0D3D4FA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0,3 м/с²</w:t>
            </w:r>
          </w:p>
        </w:tc>
      </w:tr>
    </w:tbl>
    <w:p w14:paraId="214F4EB8" w14:textId="77777777" w:rsidR="00A63221" w:rsidRDefault="00A63221" w:rsidP="00F71AAD">
      <w:pPr>
        <w:spacing w:before="120" w:after="120"/>
        <w:ind w:left="2268"/>
        <w:rPr>
          <w:b/>
          <w:szCs w:val="20"/>
          <w:vertAlign w:val="subscript"/>
        </w:rPr>
      </w:pPr>
      <w:r>
        <w:rPr>
          <w:b/>
          <w:bCs/>
        </w:rPr>
        <w:t>Для транспортных средств категорий М</w:t>
      </w:r>
      <w:r>
        <w:rPr>
          <w:b/>
          <w:bCs/>
          <w:vertAlign w:val="subscript"/>
        </w:rPr>
        <w:t>2</w:t>
      </w:r>
      <w:r>
        <w:rPr>
          <w:b/>
          <w:bCs/>
        </w:rPr>
        <w:t>, М</w:t>
      </w:r>
      <w:r>
        <w:rPr>
          <w:b/>
          <w:bCs/>
          <w:vertAlign w:val="subscript"/>
        </w:rPr>
        <w:t>3</w:t>
      </w:r>
      <w:r>
        <w:rPr>
          <w:b/>
          <w:bCs/>
        </w:rPr>
        <w:t>, N</w:t>
      </w:r>
      <w:r>
        <w:rPr>
          <w:b/>
          <w:bCs/>
          <w:vertAlign w:val="subscript"/>
        </w:rPr>
        <w:t>2</w:t>
      </w:r>
      <w:r>
        <w:rPr>
          <w:b/>
          <w:bCs/>
        </w:rPr>
        <w:t>, N</w:t>
      </w:r>
      <w:r>
        <w:rPr>
          <w:b/>
          <w:bCs/>
          <w:vertAlign w:val="subscript"/>
        </w:rPr>
        <w:t>3</w:t>
      </w:r>
    </w:p>
    <w:tbl>
      <w:tblPr>
        <w:tblW w:w="5357" w:type="dxa"/>
        <w:tblInd w:w="2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08"/>
        <w:gridCol w:w="993"/>
        <w:gridCol w:w="1046"/>
      </w:tblGrid>
      <w:tr w:rsidR="00A63221" w14:paraId="3790C4B2" w14:textId="77777777" w:rsidTr="00A776D4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A8BB7F7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color w:val="000000"/>
                <w:sz w:val="16"/>
                <w:szCs w:val="16"/>
                <w:lang w:val="en-GB"/>
              </w:rPr>
            </w:pPr>
            <w:r w:rsidRPr="00A63221">
              <w:rPr>
                <w:i/>
                <w:iCs/>
                <w:sz w:val="16"/>
                <w:szCs w:val="16"/>
              </w:rPr>
              <w:t>Диапазон скоростей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D77BD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10–</w:t>
            </w:r>
            <w:r w:rsidR="005D08F1">
              <w:rPr>
                <w:i/>
                <w:iCs/>
                <w:sz w:val="16"/>
                <w:szCs w:val="16"/>
              </w:rPr>
              <w:br/>
            </w:r>
            <w:r w:rsidRPr="00A63221">
              <w:rPr>
                <w:i/>
                <w:iCs/>
                <w:sz w:val="16"/>
                <w:szCs w:val="16"/>
              </w:rPr>
              <w:t>30 км/ч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774FC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&gt;30–</w:t>
            </w:r>
            <w:r w:rsidR="005D08F1">
              <w:rPr>
                <w:i/>
                <w:iCs/>
                <w:sz w:val="16"/>
                <w:szCs w:val="16"/>
              </w:rPr>
              <w:br/>
            </w:r>
            <w:r w:rsidRPr="00A63221">
              <w:rPr>
                <w:i/>
                <w:iCs/>
                <w:sz w:val="16"/>
                <w:szCs w:val="16"/>
              </w:rPr>
              <w:t>60 км/ч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9FD3E5" w14:textId="77777777" w:rsidR="00A63221" w:rsidRPr="00A63221" w:rsidRDefault="00A63221" w:rsidP="00F71AAD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</w:rPr>
            </w:pPr>
            <w:r w:rsidRPr="00A63221">
              <w:rPr>
                <w:i/>
                <w:iCs/>
                <w:sz w:val="16"/>
                <w:szCs w:val="16"/>
              </w:rPr>
              <w:t>&gt;60 км/ч</w:t>
            </w:r>
          </w:p>
        </w:tc>
      </w:tr>
      <w:tr w:rsidR="00A63221" w14:paraId="1B01C111" w14:textId="77777777" w:rsidTr="00A776D4">
        <w:trPr>
          <w:trHeight w:val="255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6A599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BC9F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val="en-GB"/>
              </w:rPr>
            </w:pPr>
            <w:r w:rsidRPr="00A63221">
              <w:rPr>
                <w:sz w:val="18"/>
                <w:szCs w:val="18"/>
              </w:rPr>
              <w:t>2,5 м/с²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D1AA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2,5 м/с²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F8D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2,5 м/с²</w:t>
            </w:r>
          </w:p>
        </w:tc>
      </w:tr>
      <w:tr w:rsidR="00A63221" w14:paraId="49732506" w14:textId="77777777" w:rsidTr="00A776D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D586F89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rPr>
                <w:color w:val="000000"/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4BBA3C0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A63221">
              <w:rPr>
                <w:sz w:val="18"/>
                <w:szCs w:val="18"/>
              </w:rPr>
              <w:t>0 м/с²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85D372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0,3 м/с²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0D75F6" w14:textId="77777777" w:rsidR="00A63221" w:rsidRPr="00A63221" w:rsidRDefault="00A63221" w:rsidP="00F71AAD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</w:rPr>
            </w:pPr>
            <w:r w:rsidRPr="00A63221">
              <w:rPr>
                <w:sz w:val="18"/>
                <w:szCs w:val="18"/>
              </w:rPr>
              <w:t>0,5 м/с²</w:t>
            </w:r>
          </w:p>
        </w:tc>
      </w:tr>
    </w:tbl>
    <w:p w14:paraId="61603C08" w14:textId="77777777" w:rsidR="00A63221" w:rsidRDefault="00A63221" w:rsidP="00F71AAD">
      <w:pPr>
        <w:pStyle w:val="af5"/>
        <w:spacing w:before="120" w:line="240" w:lineRule="atLeast"/>
        <w:ind w:left="2268" w:firstLine="0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Скользящее среднее значение в течение половины секунды для бокового рывка, обеспечиваемого системой, не должно превышать 5 м/с</w:t>
      </w:r>
      <w:r>
        <w:rPr>
          <w:vertAlign w:val="superscript"/>
          <w:lang w:val="ru-RU"/>
        </w:rPr>
        <w:t>3</w:t>
      </w:r>
      <w:r>
        <w:rPr>
          <w:lang w:val="ru-RU"/>
        </w:rPr>
        <w:t>.</w:t>
      </w:r>
    </w:p>
    <w:p w14:paraId="43EBEB7A" w14:textId="77777777" w:rsidR="00A63221" w:rsidRDefault="00A63221" w:rsidP="00F71AAD">
      <w:pPr>
        <w:pStyle w:val="SingleTxtG"/>
        <w:ind w:left="2268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Специальное положение для транспортных средств категории M</w:t>
      </w:r>
      <w:r>
        <w:rPr>
          <w:b/>
          <w:bCs/>
          <w:vertAlign w:val="subscript"/>
        </w:rPr>
        <w:t>1</w:t>
      </w:r>
      <w:r>
        <w:rPr>
          <w:b/>
          <w:bCs/>
        </w:rPr>
        <w:t>/[N</w:t>
      </w:r>
      <w:r>
        <w:rPr>
          <w:b/>
          <w:bCs/>
          <w:vertAlign w:val="subscript"/>
        </w:rPr>
        <w:t>1</w:t>
      </w:r>
      <w:r>
        <w:rPr>
          <w:b/>
          <w:bCs/>
        </w:rPr>
        <w:t>]</w:t>
      </w:r>
    </w:p>
    <w:p w14:paraId="4CB588BA" w14:textId="77777777" w:rsidR="00A63221" w:rsidRDefault="00A63221" w:rsidP="00F71AAD">
      <w:pPr>
        <w:pStyle w:val="SingleTxtG"/>
        <w:ind w:left="2268"/>
        <w:rPr>
          <w:b/>
          <w:bCs/>
        </w:rPr>
      </w:pPr>
      <w:r>
        <w:rPr>
          <w:b/>
          <w:bCs/>
        </w:rPr>
        <w:t>Независимо от максимальных значений, приведенных в таблице</w:t>
      </w:r>
      <w:r w:rsidR="00A776D4">
        <w:rPr>
          <w:b/>
          <w:bCs/>
        </w:rPr>
        <w:t xml:space="preserve"> </w:t>
      </w:r>
      <w:r>
        <w:rPr>
          <w:b/>
          <w:bCs/>
        </w:rPr>
        <w:t>выше, изготовитель может заявить значение для указанного максимального бокового ускорения ay</w:t>
      </w:r>
      <w:r>
        <w:rPr>
          <w:b/>
          <w:bCs/>
          <w:vertAlign w:val="subscript"/>
        </w:rPr>
        <w:t>smax</w:t>
      </w:r>
      <w:r>
        <w:rPr>
          <w:b/>
          <w:bCs/>
        </w:rPr>
        <w:t xml:space="preserve"> до 4 м/с²:</w:t>
      </w:r>
    </w:p>
    <w:p w14:paraId="6B4B2681" w14:textId="77777777" w:rsidR="00A63221" w:rsidRDefault="00A63221" w:rsidP="00F71AAD">
      <w:pPr>
        <w:pStyle w:val="xsingletxtg"/>
        <w:suppressAutoHyphens/>
        <w:ind w:left="2835"/>
        <w:rPr>
          <w:b/>
          <w:bCs/>
          <w:lang w:val="ru-RU"/>
        </w:rPr>
      </w:pPr>
      <w:r>
        <w:rPr>
          <w:b/>
          <w:bCs/>
          <w:lang w:val="ru-RU"/>
        </w:rPr>
        <w:t>i)</w:t>
      </w:r>
      <w:r>
        <w:rPr>
          <w:lang w:val="ru-RU"/>
        </w:rPr>
        <w:tab/>
      </w:r>
      <w:r>
        <w:rPr>
          <w:b/>
          <w:bCs/>
          <w:lang w:val="ru-RU"/>
        </w:rPr>
        <w:t>для скоростей движения транспортного средства до 80 км/ч,</w:t>
      </w:r>
    </w:p>
    <w:p w14:paraId="3D110206" w14:textId="77777777" w:rsidR="00A63221" w:rsidRDefault="00A63221" w:rsidP="00F71AAD">
      <w:pPr>
        <w:pStyle w:val="xsingletxtg"/>
        <w:suppressAutoHyphens/>
        <w:ind w:left="2835"/>
        <w:rPr>
          <w:b/>
          <w:bCs/>
          <w:lang w:val="ru-RU"/>
        </w:rPr>
      </w:pPr>
      <w:r>
        <w:rPr>
          <w:b/>
          <w:bCs/>
          <w:lang w:val="ru-RU"/>
        </w:rPr>
        <w:t>ii)</w:t>
      </w:r>
      <w:r>
        <w:rPr>
          <w:lang w:val="ru-RU"/>
        </w:rPr>
        <w:tab/>
      </w:r>
      <w:r>
        <w:rPr>
          <w:b/>
          <w:bCs/>
          <w:lang w:val="ru-RU"/>
        </w:rPr>
        <w:t>ситуаций вождения без сильного дождя (например, стеклоочистители не используются в постоянном режиме) и</w:t>
      </w:r>
      <w:r>
        <w:rPr>
          <w:lang w:val="ru-RU"/>
        </w:rPr>
        <w:t xml:space="preserve"> </w:t>
      </w:r>
    </w:p>
    <w:p w14:paraId="50876E08" w14:textId="77777777" w:rsidR="00A63221" w:rsidRDefault="00A63221" w:rsidP="00F71AAD">
      <w:pPr>
        <w:pStyle w:val="xsingletxtg"/>
        <w:suppressAutoHyphens/>
        <w:ind w:left="2835"/>
        <w:rPr>
          <w:b/>
          <w:bCs/>
          <w:lang w:val="ru-RU"/>
        </w:rPr>
      </w:pPr>
      <w:r>
        <w:rPr>
          <w:b/>
          <w:bCs/>
          <w:lang w:val="ru-RU"/>
        </w:rPr>
        <w:t>iii)</w:t>
      </w:r>
      <w:r>
        <w:rPr>
          <w:lang w:val="ru-RU"/>
        </w:rPr>
        <w:tab/>
      </w:r>
      <w:r>
        <w:rPr>
          <w:b/>
          <w:bCs/>
          <w:lang w:val="ru-RU"/>
        </w:rPr>
        <w:t>температур окружающего воздуха выше [4] °C.</w:t>
      </w:r>
    </w:p>
    <w:p w14:paraId="7694F82D" w14:textId="7F2AA6AA" w:rsidR="00A63221" w:rsidRPr="00206FB1" w:rsidRDefault="00A63221" w:rsidP="00F71AAD">
      <w:pPr>
        <w:spacing w:after="120"/>
        <w:ind w:left="2835" w:right="1134"/>
        <w:jc w:val="both"/>
        <w:rPr>
          <w:bCs/>
        </w:rPr>
      </w:pPr>
      <w:r>
        <w:rPr>
          <w:b/>
          <w:bCs/>
        </w:rPr>
        <w:lastRenderedPageBreak/>
        <w:t>[Значения, приведенные в таблице выше, применяются без исключений для любых других условий.]</w:t>
      </w:r>
      <w:r w:rsidR="00206FB1">
        <w:rPr>
          <w:bCs/>
        </w:rPr>
        <w:t>»</w:t>
      </w:r>
    </w:p>
    <w:p w14:paraId="4C01DD4B" w14:textId="77777777" w:rsidR="00A63221" w:rsidRDefault="00A63221" w:rsidP="00F71AAD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 xml:space="preserve">Пункт 5.6.2.3.1.1 </w:t>
      </w:r>
      <w:r>
        <w:t>изменить следующим образом:</w:t>
      </w:r>
    </w:p>
    <w:p w14:paraId="7E936554" w14:textId="224654A9" w:rsidR="00A63221" w:rsidRPr="00206FB1" w:rsidRDefault="00A63221" w:rsidP="00F71AAD">
      <w:pPr>
        <w:pStyle w:val="SingleTxtG"/>
        <w:ind w:left="2268" w:hanging="1134"/>
      </w:pPr>
      <w:r>
        <w:t>«5.6.2.3.1.1</w:t>
      </w:r>
      <w:r>
        <w:tab/>
        <w:t>условия, при которых эта система может быть активирована, и граничные значения для ее функционирования (граничные условия). Изготовитель транспортного средства указывает значения V</w:t>
      </w:r>
      <w:r>
        <w:rPr>
          <w:vertAlign w:val="subscript"/>
        </w:rPr>
        <w:t>smax</w:t>
      </w:r>
      <w:r>
        <w:t>, V</w:t>
      </w:r>
      <w:r>
        <w:rPr>
          <w:vertAlign w:val="subscript"/>
        </w:rPr>
        <w:t>smin</w:t>
      </w:r>
      <w:r>
        <w:t xml:space="preserve"> и ay</w:t>
      </w:r>
      <w:r>
        <w:rPr>
          <w:vertAlign w:val="subscript"/>
        </w:rPr>
        <w:t>smax</w:t>
      </w:r>
      <w:r>
        <w:t xml:space="preserve"> для каждого диапазона скоростей, как упомянуто в таблице, приведенной в пункте 5.6.2.1.3 настоящих Правил; </w:t>
      </w:r>
      <w:r>
        <w:rPr>
          <w:b/>
          <w:bCs/>
        </w:rPr>
        <w:t>в случае, если изготовитель заявляет более высокие значения ay</w:t>
      </w:r>
      <w:r>
        <w:rPr>
          <w:b/>
          <w:bCs/>
          <w:vertAlign w:val="subscript"/>
        </w:rPr>
        <w:t>smax</w:t>
      </w:r>
      <w:r>
        <w:rPr>
          <w:b/>
          <w:bCs/>
        </w:rPr>
        <w:t xml:space="preserve"> в соответствии с пунктом 5.6.2.1.3</w:t>
      </w:r>
      <w:r w:rsidR="00A776D4">
        <w:rPr>
          <w:b/>
          <w:bCs/>
        </w:rPr>
        <w:t xml:space="preserve"> </w:t>
      </w:r>
      <w:r>
        <w:rPr>
          <w:b/>
          <w:bCs/>
        </w:rPr>
        <w:t>d</w:t>
      </w:r>
      <w:r w:rsidR="00A776D4">
        <w:rPr>
          <w:b/>
          <w:bCs/>
        </w:rPr>
        <w:t>)</w:t>
      </w:r>
      <w:r>
        <w:rPr>
          <w:b/>
          <w:bCs/>
        </w:rPr>
        <w:t>, изготовитель транспортного средства должен представить информацию о том, каким образом выявляются сильный дождь и температура окружающей среды.</w:t>
      </w:r>
      <w:r w:rsidR="00206FB1">
        <w:rPr>
          <w:bCs/>
        </w:rPr>
        <w:t>»</w:t>
      </w:r>
    </w:p>
    <w:p w14:paraId="77A3349C" w14:textId="77777777" w:rsidR="00A63221" w:rsidRDefault="00A63221" w:rsidP="00F71AA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B26307E" w14:textId="77777777" w:rsidR="00A63221" w:rsidRDefault="005D08F1" w:rsidP="00F71AAD">
      <w:pPr>
        <w:pStyle w:val="H1G"/>
        <w:rPr>
          <w:rFonts w:asciiTheme="majorBidi" w:hAnsiTheme="majorBidi" w:cstheme="majorBidi"/>
        </w:rPr>
      </w:pPr>
      <w:r>
        <w:tab/>
      </w:r>
      <w:r w:rsidR="00A63221">
        <w:t>A.</w:t>
      </w:r>
      <w:r w:rsidR="00A63221">
        <w:tab/>
        <w:t>Пункт 5.6.2.1.3</w:t>
      </w:r>
    </w:p>
    <w:p w14:paraId="131F3A4D" w14:textId="77777777" w:rsidR="00A63221" w:rsidRDefault="00A63221" w:rsidP="00F71AAD">
      <w:pPr>
        <w:pStyle w:val="SingleTxtG"/>
      </w:pPr>
      <w:r>
        <w:t>1.</w:t>
      </w:r>
      <w:r>
        <w:tab/>
        <w:t>Мы предлагаем увеличить максимальные значения бокового ускорения до 4 м/с² для категорий скорости до 80 км/ч для транспортных средств категории M</w:t>
      </w:r>
      <w:r>
        <w:rPr>
          <w:vertAlign w:val="subscript"/>
        </w:rPr>
        <w:t>1</w:t>
      </w:r>
      <w:r>
        <w:t>/[N</w:t>
      </w:r>
      <w:r>
        <w:rPr>
          <w:vertAlign w:val="subscript"/>
        </w:rPr>
        <w:t>1</w:t>
      </w:r>
      <w:r>
        <w:t>] при условии, что отсутствует сильный дождь и температуры окружающего воздуха превышают 4 °C. Предельная скорость, равная 80 км/ч, еще не охватывает все случаи, когда транспортное средство может демонстрировать значения бокового ускорения свыше 3 м/с² на основе собранных данных о ручном режиме вождения. Системы удержания в пределах полосы движения категории B1 могут использоваться на дорожной инфраструктуре вне автомагистралей или в местах соединения с автомагистралями (таких, как развязки, съезды, междугородние дороги и т. д.). На</w:t>
      </w:r>
      <w:r w:rsidR="005D08F1">
        <w:rPr>
          <w:lang w:val="en-US"/>
        </w:rPr>
        <w:t> </w:t>
      </w:r>
      <w:r>
        <w:t xml:space="preserve">многих рынках эта инфраструктура может вызывать более высокие значения бокового ускорения на допустимых для дорог скоростях даже при вождении в ручном режиме. В частности, сложные ситуации включают в себя изогнутые участки дороги, которые становятся все более крутыми или переходят во второй </w:t>
      </w:r>
      <w:bookmarkStart w:id="3" w:name="_Hlk26869527"/>
      <w:r>
        <w:t>изогнутый участок</w:t>
      </w:r>
      <w:bookmarkEnd w:id="3"/>
      <w:r w:rsidR="005D08F1">
        <w:br/>
      </w:r>
      <w:r>
        <w:t>(S-образные участки дороги). Разрешение до 4 м/с² для категорий скорости до 80 км/ч является поправкой к предложению, представленному на четвертой сессии GRVA, на</w:t>
      </w:r>
      <w:r w:rsidR="005D08F1">
        <w:rPr>
          <w:lang w:val="en-US"/>
        </w:rPr>
        <w:t> </w:t>
      </w:r>
      <w:r>
        <w:t>которой мы предложили разрешить до 4 м/с² для категорий скорости до 100 км/ч. Настоящий пересмотренный вариант подготовлен с учетом замечаний, полученных на</w:t>
      </w:r>
      <w:r w:rsidR="005D08F1">
        <w:rPr>
          <w:lang w:val="en-US"/>
        </w:rPr>
        <w:t> </w:t>
      </w:r>
      <w:r>
        <w:t>четвертой сессии GRVA.</w:t>
      </w:r>
    </w:p>
    <w:p w14:paraId="300C5E5C" w14:textId="77777777" w:rsidR="00A63221" w:rsidRDefault="00A63221" w:rsidP="00F71AAD">
      <w:pPr>
        <w:pStyle w:val="SingleTxtG"/>
      </w:pPr>
      <w:r>
        <w:t>2.</w:t>
      </w:r>
      <w:r>
        <w:tab/>
        <w:t>Анализ, основанный на ручном вождении 16 500 распределенных по всему миру автомобилей в течение 28 дней на протяжении четырех месяцев, показывает, что значения бокового ускорения превышают 3 м/с² в 3,5% поворотов. Значительное большинство случаев бокового ускорения выше 3 м/с² происходит на скоростях до 100 км/ч, как показано на графике распределения ниже (рис. 1 ниже). Для Европы аналогичный анализ 1 250 автомобилей Model 3s показывает, что значения бокового ускорения, равные 3 м/с², превышены в 4,8% поворотов, причем в большинстве случаев превышение ускорения в 3 м/с² происходит на скорости до 100 км/ч (рис. 2 ниже).</w:t>
      </w:r>
    </w:p>
    <w:p w14:paraId="658CC6B6" w14:textId="77777777" w:rsidR="00A63221" w:rsidRDefault="00A63221" w:rsidP="00F71AAD">
      <w:pPr>
        <w:pStyle w:val="SingleTxtG"/>
      </w:pPr>
      <w:r>
        <w:t>3.</w:t>
      </w:r>
      <w:r>
        <w:tab/>
        <w:t>Незначительное количество поворотов, однако, вводит в заблуждение относительно регулярности въезда клиентов на изогнутые участки, демонстрирующие более высокие показатели бокового ускорения. Если оценить, как часто водитель сталкивается с боковым ускорением свыше 3 м/с² за каждую поездку, то совокупный анализ 16 500 автомобилей показывает, что этот предел нарушается по крайней мере один раз в 76,1% всех совершаемых поездок. Поездка определяется как выезд транспортного средства с парковки до повторной парковки. Аналогичный анализ 1</w:t>
      </w:r>
      <w:r w:rsidR="00F71AAD">
        <w:t> </w:t>
      </w:r>
      <w:r>
        <w:t>250</w:t>
      </w:r>
      <w:r w:rsidR="00F71AAD">
        <w:rPr>
          <w:lang w:val="en-US"/>
        </w:rPr>
        <w:t> </w:t>
      </w:r>
      <w:r>
        <w:t>автомобилей Model 3s в Европе показывает, что предельное боковое ускорение в 3 м/с² нарушается по крайней мере один раз в 80,7% всех поездок (рис. 3 ниже). Это</w:t>
      </w:r>
      <w:r w:rsidR="005D08F1">
        <w:rPr>
          <w:lang w:val="en-US"/>
        </w:rPr>
        <w:t> </w:t>
      </w:r>
      <w:r>
        <w:t>означает, что водитель может постоянно сталкиваться с изогнутыми участками, на которых поведение, направленное на удержание на полосе движения, будет ограничиваться на ежедневной основе.</w:t>
      </w:r>
    </w:p>
    <w:p w14:paraId="64B02568" w14:textId="77777777" w:rsidR="00A63221" w:rsidRDefault="00A63221" w:rsidP="00F71AAD">
      <w:pPr>
        <w:pStyle w:val="SingleTxtG"/>
      </w:pPr>
      <w:r>
        <w:lastRenderedPageBreak/>
        <w:t>4.</w:t>
      </w:r>
      <w:r>
        <w:tab/>
        <w:t>Следует подчеркнуть, что увеличение предела бокового ускорения до 4 м/с² является максимально допустимым, а не целевым значением. Изготовитель не будет проектировать систему так, чтобы она всегда достигала значения 4 м/с², поскольку это было бы нежелательным опытом для водителя. Цель повышения предельных значений состоит в том, чтобы позволить системе категории B1 справляться с «пиками» бокового ускорения, которые возникают в описанных выше ситуациях, и чтобы система могла сохранять положение</w:t>
      </w:r>
      <w:r w:rsidR="00F71AAD" w:rsidRPr="00F71AAD">
        <w:t xml:space="preserve"> –</w:t>
      </w:r>
      <w:r>
        <w:t xml:space="preserve"> предпочтительно в центре полосы движения.</w:t>
      </w:r>
    </w:p>
    <w:p w14:paraId="5497F932" w14:textId="77777777" w:rsidR="00A63221" w:rsidRDefault="00A63221" w:rsidP="00F71AAD">
      <w:pPr>
        <w:pStyle w:val="SingleTxtG"/>
      </w:pPr>
      <w:r>
        <w:t>5.</w:t>
      </w:r>
      <w:r>
        <w:tab/>
        <w:t>Крайне маловероятно, что система выполнит прямое снижение с 4 м/с² до 3 м/с² при скорости 80 км/ч, поскольку это приведет к необоснованному поведению системы при пороговой скорости транспортного средства. Поэтому для соблюдения предписаний изготовители предусмотрят линейное изменение от 4 м/с² до 3 м/с² на скоростях до 80 км/час. Если максимальная скорость транспортного средства ограничена 60 км/ч, это приведет к линейному изменению, ведущему к этому значению, и, как следствие, не оставит увеличенного предела для работы системы.</w:t>
      </w:r>
    </w:p>
    <w:p w14:paraId="653FDB03" w14:textId="77777777" w:rsidR="00A63221" w:rsidRDefault="00A63221" w:rsidP="00F71AAD">
      <w:pPr>
        <w:pStyle w:val="H23G"/>
        <w:ind w:left="0" w:firstLine="0"/>
      </w:pPr>
      <w:r w:rsidRPr="00206FB1">
        <w:rPr>
          <w:b w:val="0"/>
        </w:rPr>
        <w:t>Рис. 1</w:t>
      </w:r>
      <w:r w:rsidRPr="00206FB1">
        <w:rPr>
          <w:b w:val="0"/>
        </w:rPr>
        <w:br/>
      </w:r>
      <w:r>
        <w:t>Анализ случаев максимального бокового ускорения и соответствующего распределения скорости транспортного средства, основанный на</w:t>
      </w:r>
      <w:r w:rsidR="005D08F1">
        <w:rPr>
          <w:lang w:val="en-US"/>
        </w:rPr>
        <w:t> </w:t>
      </w:r>
      <w:r>
        <w:t>распределенных по всему миру</w:t>
      </w:r>
      <w:r w:rsidR="00D62F88">
        <w:br/>
      </w:r>
      <w:r>
        <w:t>16 500 автомобилей Tesla</w:t>
      </w:r>
    </w:p>
    <w:p w14:paraId="5DC1F8DA" w14:textId="77777777" w:rsidR="00AA775D" w:rsidRDefault="00AA775D" w:rsidP="00F71AAD">
      <w:pPr>
        <w:rPr>
          <w:lang w:eastAsia="ru-RU"/>
        </w:rPr>
      </w:pPr>
      <w:r>
        <w:rPr>
          <w:noProof/>
        </w:rPr>
        <w:drawing>
          <wp:inline distT="0" distB="0" distL="0" distR="0" wp14:anchorId="30094B76" wp14:editId="6FA0BA24">
            <wp:extent cx="6120130" cy="30340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9936" w14:textId="77777777" w:rsidR="00C01113" w:rsidRPr="00C01113" w:rsidRDefault="00C01113" w:rsidP="00F71AAD">
      <w:pPr>
        <w:pStyle w:val="SingleTxtG"/>
        <w:spacing w:before="120" w:after="0" w:line="220" w:lineRule="exact"/>
        <w:ind w:left="0" w:right="0" w:firstLine="170"/>
        <w:jc w:val="left"/>
        <w:rPr>
          <w:sz w:val="18"/>
          <w:szCs w:val="18"/>
          <w:lang w:eastAsia="ru-RU"/>
        </w:rPr>
      </w:pPr>
      <w:r w:rsidRPr="00C01113">
        <w:rPr>
          <w:rFonts w:eastAsia="Calibri"/>
          <w:sz w:val="18"/>
          <w:szCs w:val="18"/>
          <w:lang w:eastAsia="ru-RU"/>
        </w:rPr>
        <w:t>* Данные собраны по 16,5 тыс. автомобилей из парка клиентов Tesla за 28 дней с января по апрель 2019 года.</w:t>
      </w:r>
    </w:p>
    <w:p w14:paraId="15269A8A" w14:textId="77777777" w:rsidR="00C01113" w:rsidRPr="00C01113" w:rsidRDefault="00C01113" w:rsidP="00F71AAD">
      <w:pPr>
        <w:pStyle w:val="SingleTxtG"/>
        <w:spacing w:after="0" w:line="220" w:lineRule="exact"/>
        <w:ind w:left="0" w:right="0" w:firstLine="170"/>
        <w:jc w:val="left"/>
        <w:rPr>
          <w:sz w:val="18"/>
          <w:szCs w:val="18"/>
          <w:lang w:eastAsia="ru-RU"/>
        </w:rPr>
      </w:pPr>
      <w:r w:rsidRPr="00C01113">
        <w:rPr>
          <w:rFonts w:eastAsia="Calibri"/>
          <w:sz w:val="18"/>
          <w:szCs w:val="18"/>
          <w:lang w:eastAsia="ru-RU"/>
        </w:rPr>
        <w:t>Каждый «поворот», указанный выше, начинается, когда крутящий момент торсиона рулевого колеса превышает 2 Нм, и</w:t>
      </w:r>
      <w:r>
        <w:rPr>
          <w:rFonts w:eastAsia="Calibri"/>
          <w:sz w:val="18"/>
          <w:szCs w:val="18"/>
          <w:lang w:val="en-US" w:eastAsia="ru-RU"/>
        </w:rPr>
        <w:t> </w:t>
      </w:r>
      <w:r w:rsidRPr="00C01113">
        <w:rPr>
          <w:rFonts w:eastAsia="Calibri"/>
          <w:sz w:val="18"/>
          <w:szCs w:val="18"/>
          <w:lang w:eastAsia="ru-RU"/>
        </w:rPr>
        <w:t>заканчивается, когда крутящий момент возвращается к значению ниже 2 Нм (2,2 млн поворотов).</w:t>
      </w:r>
    </w:p>
    <w:p w14:paraId="05036598" w14:textId="77777777" w:rsidR="00C01113" w:rsidRPr="00C01113" w:rsidRDefault="00C01113" w:rsidP="00F71AAD">
      <w:pPr>
        <w:pStyle w:val="SingleTxtG"/>
        <w:spacing w:after="0" w:line="220" w:lineRule="exact"/>
        <w:ind w:left="0" w:right="0" w:firstLine="170"/>
        <w:jc w:val="left"/>
        <w:rPr>
          <w:lang w:eastAsia="ru-RU"/>
        </w:rPr>
      </w:pPr>
      <w:r w:rsidRPr="00C01113">
        <w:rPr>
          <w:rFonts w:eastAsia="Calibri"/>
          <w:sz w:val="18"/>
          <w:szCs w:val="18"/>
          <w:lang w:eastAsia="ru-RU"/>
        </w:rPr>
        <w:t>Данные отфильтрованы для участков, на которых имеется возможность автоматического направления (в попытке ограничить данные участками, на которых имеются и видны линии) и скорость транспортного средства составляет &gt;10 км/ч.</w:t>
      </w:r>
    </w:p>
    <w:p w14:paraId="6E5D3A4E" w14:textId="77777777" w:rsidR="00A63221" w:rsidRDefault="00A63221" w:rsidP="00F71AAD">
      <w:pPr>
        <w:pStyle w:val="H23G"/>
        <w:spacing w:before="120"/>
        <w:ind w:left="0" w:firstLine="0"/>
      </w:pPr>
      <w:r w:rsidRPr="00206FB1">
        <w:rPr>
          <w:b w:val="0"/>
        </w:rPr>
        <w:lastRenderedPageBreak/>
        <w:t>Рис. 2</w:t>
      </w:r>
      <w:r w:rsidRPr="00206FB1">
        <w:rPr>
          <w:b w:val="0"/>
        </w:rPr>
        <w:br/>
      </w:r>
      <w:r>
        <w:t>Анализ случаев максимального бокового ускорения и соответствующего распределения скорости транспортного средства, основанный на распределенных в ЕС 1 250 автомобилей Model 3s</w:t>
      </w:r>
    </w:p>
    <w:p w14:paraId="0992A41F" w14:textId="77777777" w:rsidR="007A362A" w:rsidRDefault="007A362A" w:rsidP="007A362A">
      <w:pPr>
        <w:rPr>
          <w:lang w:eastAsia="ru-RU"/>
        </w:rPr>
      </w:pPr>
      <w:r>
        <w:rPr>
          <w:noProof/>
        </w:rPr>
        <w:drawing>
          <wp:inline distT="0" distB="0" distL="0" distR="0" wp14:anchorId="0411F3D6" wp14:editId="3FC41CDA">
            <wp:extent cx="6120130" cy="303403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EE62" w14:textId="77777777" w:rsidR="00292DA9" w:rsidRPr="00292DA9" w:rsidRDefault="00292DA9" w:rsidP="00F71AAD">
      <w:pPr>
        <w:pStyle w:val="SingleTxtG"/>
        <w:spacing w:after="0" w:line="220" w:lineRule="exact"/>
        <w:ind w:left="0" w:right="0" w:firstLine="170"/>
        <w:jc w:val="left"/>
        <w:rPr>
          <w:rFonts w:eastAsia="Calibri"/>
          <w:sz w:val="18"/>
          <w:szCs w:val="18"/>
          <w:lang w:eastAsia="ru-RU"/>
        </w:rPr>
      </w:pPr>
      <w:r w:rsidRPr="00292DA9">
        <w:rPr>
          <w:bCs/>
        </w:rPr>
        <w:t xml:space="preserve">* </w:t>
      </w:r>
      <w:r w:rsidRPr="00292DA9">
        <w:rPr>
          <w:rFonts w:eastAsia="Calibri"/>
          <w:sz w:val="18"/>
          <w:szCs w:val="18"/>
          <w:lang w:eastAsia="ru-RU"/>
        </w:rPr>
        <w:t>Данные собраны по 1 250 автомобилей Model 3s из парка клиентов Tesla за 28 дней с января по апрель 2019 года.</w:t>
      </w:r>
    </w:p>
    <w:p w14:paraId="26FC1D7D" w14:textId="77777777" w:rsidR="00292DA9" w:rsidRPr="00292DA9" w:rsidRDefault="00292DA9" w:rsidP="00F71AAD">
      <w:pPr>
        <w:pStyle w:val="SingleTxtG"/>
        <w:spacing w:after="0" w:line="220" w:lineRule="exact"/>
        <w:ind w:left="0" w:right="0" w:firstLine="170"/>
        <w:jc w:val="left"/>
        <w:rPr>
          <w:rFonts w:eastAsia="Calibri"/>
          <w:sz w:val="18"/>
          <w:szCs w:val="18"/>
          <w:lang w:eastAsia="ru-RU"/>
        </w:rPr>
      </w:pPr>
      <w:r w:rsidRPr="00292DA9">
        <w:rPr>
          <w:rFonts w:eastAsia="Calibri"/>
          <w:sz w:val="18"/>
          <w:szCs w:val="18"/>
          <w:lang w:eastAsia="ru-RU"/>
        </w:rPr>
        <w:t>Каждый «поворот», указанный выше, начинается, когда крутящий момент торсиона рулевого колеса превышает 2 Нм, и</w:t>
      </w:r>
      <w:r>
        <w:rPr>
          <w:rFonts w:eastAsia="Calibri"/>
          <w:sz w:val="18"/>
          <w:szCs w:val="18"/>
          <w:lang w:val="en-US" w:eastAsia="ru-RU"/>
        </w:rPr>
        <w:t> </w:t>
      </w:r>
      <w:r w:rsidRPr="00292DA9">
        <w:rPr>
          <w:rFonts w:eastAsia="Calibri"/>
          <w:sz w:val="18"/>
          <w:szCs w:val="18"/>
          <w:lang w:eastAsia="ru-RU"/>
        </w:rPr>
        <w:t>заканчивается, когда крутящий момент возвращается к значению ниже 2 Нм (1,1 млн поворотов).</w:t>
      </w:r>
    </w:p>
    <w:p w14:paraId="31040FDD" w14:textId="77777777" w:rsidR="00292DA9" w:rsidRPr="00292DA9" w:rsidRDefault="00292DA9" w:rsidP="00F71AAD">
      <w:pPr>
        <w:pStyle w:val="SingleTxtG"/>
        <w:spacing w:after="0" w:line="220" w:lineRule="exact"/>
        <w:ind w:left="0" w:right="0" w:firstLine="170"/>
        <w:jc w:val="left"/>
        <w:rPr>
          <w:rFonts w:eastAsia="Calibri"/>
          <w:sz w:val="18"/>
          <w:szCs w:val="18"/>
          <w:lang w:eastAsia="ru-RU"/>
        </w:rPr>
      </w:pPr>
      <w:r w:rsidRPr="00292DA9">
        <w:rPr>
          <w:rFonts w:eastAsia="Calibri"/>
          <w:sz w:val="18"/>
          <w:szCs w:val="18"/>
          <w:lang w:eastAsia="ru-RU"/>
        </w:rPr>
        <w:t>Данные отфильтрованы  для участков, на которых имеется возможность автоматического направления (в попытке ограничить данные участками, на которых имеются и видны линии) и скорость транспортного средства составляет</w:t>
      </w:r>
      <w:r w:rsidR="00F71AAD" w:rsidRPr="00F71AAD">
        <w:rPr>
          <w:rFonts w:eastAsia="Calibri"/>
          <w:sz w:val="18"/>
          <w:szCs w:val="18"/>
          <w:lang w:eastAsia="ru-RU"/>
        </w:rPr>
        <w:t xml:space="preserve"> </w:t>
      </w:r>
      <w:r w:rsidRPr="00292DA9">
        <w:rPr>
          <w:rFonts w:eastAsia="Calibri"/>
          <w:sz w:val="18"/>
          <w:szCs w:val="18"/>
          <w:lang w:eastAsia="ru-RU"/>
        </w:rPr>
        <w:t>&gt;10 км/ч.</w:t>
      </w:r>
    </w:p>
    <w:p w14:paraId="03E167C2" w14:textId="77777777" w:rsidR="00EA2C89" w:rsidRDefault="00A63221" w:rsidP="00F71AAD">
      <w:pPr>
        <w:pStyle w:val="H23G"/>
        <w:spacing w:line="230" w:lineRule="exact"/>
        <w:ind w:left="0" w:firstLine="0"/>
        <w:rPr>
          <w:b w:val="0"/>
          <w:bCs/>
        </w:rPr>
      </w:pPr>
      <w:r w:rsidRPr="00206FB1">
        <w:rPr>
          <w:b w:val="0"/>
        </w:rPr>
        <w:t>Рис. 3</w:t>
      </w:r>
      <w:r w:rsidRPr="00206FB1">
        <w:rPr>
          <w:b w:val="0"/>
        </w:rPr>
        <w:br/>
      </w:r>
      <w:r>
        <w:t>Анализ максимального бокового ускорения, встречающегося на изогнутых участках за одну поездку. Данные представлены по 16 500 распределенных по всему миру автомобилей Tesla</w:t>
      </w:r>
      <w:r w:rsidR="00F71AAD">
        <w:rPr>
          <w:lang w:val="en-US"/>
        </w:rPr>
        <w:t> </w:t>
      </w:r>
      <w:r>
        <w:t>(слева) и по 1 250 распределенных в ЕС автомобилей Model 3s (справа)</w:t>
      </w:r>
      <w:r w:rsidR="00EA2C89">
        <w:rPr>
          <w:b w:val="0"/>
          <w:bCs/>
        </w:rPr>
        <w:t xml:space="preserve"> </w:t>
      </w:r>
    </w:p>
    <w:p w14:paraId="7956221D" w14:textId="77777777" w:rsidR="00EA2C89" w:rsidRDefault="004507FA" w:rsidP="00F71AAD">
      <w:pPr>
        <w:rPr>
          <w:lang w:eastAsia="ru-RU"/>
        </w:rPr>
      </w:pPr>
      <w:r>
        <w:rPr>
          <w:noProof/>
        </w:rPr>
        <w:drawing>
          <wp:inline distT="0" distB="0" distL="0" distR="0" wp14:anchorId="6193B54E" wp14:editId="7A9F5091">
            <wp:extent cx="6120130" cy="30340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08"/>
        <w:gridCol w:w="4669"/>
      </w:tblGrid>
      <w:tr w:rsidR="00EA2C89" w:rsidRPr="00EA2C89" w14:paraId="77EDF4D0" w14:textId="77777777" w:rsidTr="00BA6E34">
        <w:tc>
          <w:tcPr>
            <w:tcW w:w="4662" w:type="dxa"/>
          </w:tcPr>
          <w:p w14:paraId="7867ABEA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 w:firstLine="170"/>
              <w:jc w:val="left"/>
              <w:rPr>
                <w:sz w:val="18"/>
                <w:szCs w:val="18"/>
              </w:rPr>
            </w:pPr>
            <w:r w:rsidRPr="00EA2C89">
              <w:rPr>
                <w:sz w:val="18"/>
                <w:szCs w:val="18"/>
              </w:rPr>
              <w:t>* Данные собраны по 16,5 тыс. автомобилей из парка клиентов Tesla за 28 дней с января по апрель 2019 года.</w:t>
            </w:r>
          </w:p>
          <w:p w14:paraId="3C3B3A1A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 w:firstLine="170"/>
              <w:jc w:val="left"/>
              <w:rPr>
                <w:sz w:val="18"/>
                <w:szCs w:val="18"/>
              </w:rPr>
            </w:pPr>
            <w:r w:rsidRPr="00EA2C89">
              <w:rPr>
                <w:sz w:val="18"/>
                <w:szCs w:val="18"/>
              </w:rPr>
              <w:t>Каждая «поездка», упомянутая выше, начинается, когда транспортное средство выезжает с парковки, и заканчивается, когда транспортное средство возвращается на парковку (1,2 млн поездок).</w:t>
            </w:r>
          </w:p>
          <w:p w14:paraId="4730C84B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 w:firstLine="170"/>
              <w:jc w:val="left"/>
              <w:rPr>
                <w:sz w:val="18"/>
                <w:szCs w:val="18"/>
              </w:rPr>
            </w:pPr>
            <w:r w:rsidRPr="00EA2C89">
              <w:rPr>
                <w:sz w:val="18"/>
                <w:szCs w:val="18"/>
              </w:rPr>
              <w:lastRenderedPageBreak/>
              <w:t>Данные отфильтрованы для участков, на которых</w:t>
            </w:r>
            <w:r>
              <w:rPr>
                <w:sz w:val="18"/>
                <w:szCs w:val="18"/>
              </w:rPr>
              <w:br/>
            </w:r>
            <w:r w:rsidRPr="00EA2C89">
              <w:rPr>
                <w:sz w:val="18"/>
                <w:szCs w:val="18"/>
              </w:rPr>
              <w:t>имеется возможность автоматического направления (с</w:t>
            </w:r>
            <w:r>
              <w:rPr>
                <w:sz w:val="18"/>
                <w:szCs w:val="18"/>
                <w:lang w:val="en-US"/>
              </w:rPr>
              <w:t> </w:t>
            </w:r>
            <w:r w:rsidRPr="00EA2C89">
              <w:rPr>
                <w:sz w:val="18"/>
                <w:szCs w:val="18"/>
              </w:rPr>
              <w:t>целью ограничить данные участками, на которых имеются и видны линии) и скорость транспортного средства составляет &gt;10 км/ч.</w:t>
            </w:r>
          </w:p>
        </w:tc>
        <w:tc>
          <w:tcPr>
            <w:tcW w:w="308" w:type="dxa"/>
          </w:tcPr>
          <w:p w14:paraId="3580BEB6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/>
            </w:pPr>
          </w:p>
        </w:tc>
        <w:tc>
          <w:tcPr>
            <w:tcW w:w="4669" w:type="dxa"/>
          </w:tcPr>
          <w:p w14:paraId="27212150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 w:firstLine="170"/>
              <w:rPr>
                <w:sz w:val="18"/>
                <w:szCs w:val="18"/>
              </w:rPr>
            </w:pPr>
            <w:r w:rsidRPr="00EA2C89">
              <w:rPr>
                <w:sz w:val="18"/>
                <w:szCs w:val="18"/>
              </w:rPr>
              <w:t xml:space="preserve">* Данные собраны по 1 250 автомобилей </w:t>
            </w:r>
            <w:r w:rsidRPr="00EA2C89">
              <w:rPr>
                <w:sz w:val="18"/>
                <w:szCs w:val="18"/>
                <w:lang w:val="en-US"/>
              </w:rPr>
              <w:t>Model</w:t>
            </w:r>
            <w:r w:rsidRPr="00EA2C89">
              <w:rPr>
                <w:sz w:val="18"/>
                <w:szCs w:val="18"/>
              </w:rPr>
              <w:t xml:space="preserve"> 3</w:t>
            </w:r>
            <w:r w:rsidRPr="00EA2C89">
              <w:rPr>
                <w:sz w:val="18"/>
                <w:szCs w:val="18"/>
                <w:lang w:val="en-US"/>
              </w:rPr>
              <w:t>s</w:t>
            </w:r>
            <w:r w:rsidRPr="00EA2C89">
              <w:rPr>
                <w:sz w:val="18"/>
                <w:szCs w:val="18"/>
              </w:rPr>
              <w:t>из парка клиентов Tesla за 28 дней с января по апрель 2019 года.</w:t>
            </w:r>
          </w:p>
          <w:p w14:paraId="3D07C1B2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 w:firstLine="170"/>
              <w:rPr>
                <w:sz w:val="18"/>
                <w:szCs w:val="18"/>
              </w:rPr>
            </w:pPr>
            <w:r w:rsidRPr="00EA2C89">
              <w:rPr>
                <w:sz w:val="18"/>
                <w:szCs w:val="18"/>
              </w:rPr>
              <w:t>Каждая «поездка», упомянутая выше, начинается, когда транспортное средство выезжает с парковки и заканчивается, когда транспортное средство возвращается на парковку</w:t>
            </w:r>
            <w:r>
              <w:rPr>
                <w:sz w:val="18"/>
                <w:szCs w:val="18"/>
              </w:rPr>
              <w:br/>
            </w:r>
            <w:r w:rsidRPr="00EA2C89">
              <w:rPr>
                <w:sz w:val="18"/>
                <w:szCs w:val="18"/>
              </w:rPr>
              <w:t>(46 000 поездок).</w:t>
            </w:r>
          </w:p>
          <w:p w14:paraId="6D9E9603" w14:textId="77777777" w:rsidR="00EA2C89" w:rsidRPr="00EA2C89" w:rsidRDefault="00EA2C89" w:rsidP="00F71AAD">
            <w:pPr>
              <w:pStyle w:val="SingleTxtG"/>
              <w:spacing w:after="0" w:line="210" w:lineRule="exact"/>
              <w:ind w:left="0" w:right="0" w:firstLine="170"/>
              <w:rPr>
                <w:sz w:val="18"/>
                <w:szCs w:val="18"/>
              </w:rPr>
            </w:pPr>
            <w:r w:rsidRPr="00EA2C89">
              <w:rPr>
                <w:sz w:val="18"/>
                <w:szCs w:val="18"/>
              </w:rPr>
              <w:lastRenderedPageBreak/>
              <w:t>Данные отфильтрованы для участков, на которых имеется возможность автоматического направления (с целью ограничить данные участками, на которых имеются и видны линии) и скорость транспортного средства составляет</w:t>
            </w:r>
            <w:r>
              <w:rPr>
                <w:sz w:val="18"/>
                <w:szCs w:val="18"/>
              </w:rPr>
              <w:br/>
            </w:r>
            <w:r w:rsidRPr="00EA2C89">
              <w:rPr>
                <w:sz w:val="18"/>
                <w:szCs w:val="18"/>
              </w:rPr>
              <w:t>&gt;10 км/ч.</w:t>
            </w:r>
          </w:p>
        </w:tc>
      </w:tr>
    </w:tbl>
    <w:p w14:paraId="7ED5B5FC" w14:textId="77777777" w:rsidR="00A63221" w:rsidRDefault="004507FA" w:rsidP="00F71AAD">
      <w:pPr>
        <w:pStyle w:val="H1G"/>
        <w:rPr>
          <w:rFonts w:asciiTheme="majorBidi" w:hAnsiTheme="majorBidi" w:cstheme="majorBidi"/>
        </w:rPr>
      </w:pPr>
      <w:r>
        <w:lastRenderedPageBreak/>
        <w:tab/>
      </w:r>
      <w:r w:rsidR="00A63221">
        <w:t>B.</w:t>
      </w:r>
      <w:r w:rsidR="00A63221">
        <w:tab/>
        <w:t>Пункт 5.6.2.1.3</w:t>
      </w:r>
    </w:p>
    <w:p w14:paraId="67B39070" w14:textId="77777777" w:rsidR="00A63221" w:rsidRDefault="00A63221" w:rsidP="00F71AAD">
      <w:pPr>
        <w:pStyle w:val="SingleTxtG"/>
      </w:pPr>
      <w:r>
        <w:t>6.</w:t>
      </w:r>
      <w:r>
        <w:tab/>
        <w:t>Внесенные коррективы отражают указанные в настоящем документе изменения, предлагаемые для других положений.</w:t>
      </w:r>
    </w:p>
    <w:p w14:paraId="48F4EE70" w14:textId="2248CEB5" w:rsidR="00E12C5F" w:rsidRPr="008D53B6" w:rsidRDefault="00A63221" w:rsidP="00206FB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6322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0B55" w14:textId="77777777" w:rsidR="00BB2FDB" w:rsidRPr="00A312BC" w:rsidRDefault="00BB2FDB" w:rsidP="00A312BC"/>
  </w:endnote>
  <w:endnote w:type="continuationSeparator" w:id="0">
    <w:p w14:paraId="09E96361" w14:textId="77777777" w:rsidR="00BB2FDB" w:rsidRPr="00A312BC" w:rsidRDefault="00BB2F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FB16" w14:textId="77777777" w:rsidR="00A63221" w:rsidRPr="00A63221" w:rsidRDefault="00A63221">
    <w:pPr>
      <w:pStyle w:val="a8"/>
    </w:pPr>
    <w:r w:rsidRPr="00A63221">
      <w:rPr>
        <w:b/>
        <w:sz w:val="18"/>
      </w:rPr>
      <w:fldChar w:fldCharType="begin"/>
    </w:r>
    <w:r w:rsidRPr="00A63221">
      <w:rPr>
        <w:b/>
        <w:sz w:val="18"/>
      </w:rPr>
      <w:instrText xml:space="preserve"> PAGE  \* MERGEFORMAT </w:instrText>
    </w:r>
    <w:r w:rsidRPr="00A63221">
      <w:rPr>
        <w:b/>
        <w:sz w:val="18"/>
      </w:rPr>
      <w:fldChar w:fldCharType="separate"/>
    </w:r>
    <w:r w:rsidRPr="00A63221">
      <w:rPr>
        <w:b/>
        <w:noProof/>
        <w:sz w:val="18"/>
      </w:rPr>
      <w:t>2</w:t>
    </w:r>
    <w:r w:rsidRPr="00A63221">
      <w:rPr>
        <w:b/>
        <w:sz w:val="18"/>
      </w:rPr>
      <w:fldChar w:fldCharType="end"/>
    </w:r>
    <w:r>
      <w:rPr>
        <w:b/>
        <w:sz w:val="18"/>
      </w:rPr>
      <w:tab/>
    </w:r>
    <w:r>
      <w:t>GE.19-20570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6467" w14:textId="77777777" w:rsidR="00A63221" w:rsidRPr="00A63221" w:rsidRDefault="00A63221" w:rsidP="00A63221">
    <w:pPr>
      <w:pStyle w:val="a8"/>
      <w:tabs>
        <w:tab w:val="clear" w:pos="9639"/>
        <w:tab w:val="right" w:pos="9638"/>
      </w:tabs>
      <w:rPr>
        <w:b/>
        <w:sz w:val="18"/>
      </w:rPr>
    </w:pPr>
    <w:r>
      <w:t>GE.19-20570</w:t>
    </w:r>
    <w:r>
      <w:tab/>
    </w:r>
    <w:r w:rsidRPr="00A63221">
      <w:rPr>
        <w:b/>
        <w:sz w:val="18"/>
      </w:rPr>
      <w:fldChar w:fldCharType="begin"/>
    </w:r>
    <w:r w:rsidRPr="00A63221">
      <w:rPr>
        <w:b/>
        <w:sz w:val="18"/>
      </w:rPr>
      <w:instrText xml:space="preserve"> PAGE  \* MERGEFORMAT </w:instrText>
    </w:r>
    <w:r w:rsidRPr="00A63221">
      <w:rPr>
        <w:b/>
        <w:sz w:val="18"/>
      </w:rPr>
      <w:fldChar w:fldCharType="separate"/>
    </w:r>
    <w:r w:rsidRPr="00A63221">
      <w:rPr>
        <w:b/>
        <w:noProof/>
        <w:sz w:val="18"/>
      </w:rPr>
      <w:t>3</w:t>
    </w:r>
    <w:r w:rsidRPr="00A632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3ADC" w14:textId="77777777" w:rsidR="00042B72" w:rsidRPr="00A63221" w:rsidRDefault="00A63221" w:rsidP="00A6322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78697D" wp14:editId="2373AA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19-20570  (R)</w:t>
    </w:r>
    <w:r w:rsidR="00F71AAD">
      <w:rPr>
        <w:lang w:val="en-US"/>
      </w:rPr>
      <w:t xml:space="preserve">  101219  111219</w:t>
    </w:r>
    <w:r>
      <w:br/>
    </w:r>
    <w:r w:rsidRPr="00A63221">
      <w:rPr>
        <w:rFonts w:ascii="C39T30Lfz" w:hAnsi="C39T30Lfz"/>
        <w:kern w:val="14"/>
        <w:sz w:val="56"/>
      </w:rPr>
      <w:t></w:t>
    </w:r>
    <w:r w:rsidRPr="00A63221">
      <w:rPr>
        <w:rFonts w:ascii="C39T30Lfz" w:hAnsi="C39T30Lfz"/>
        <w:kern w:val="14"/>
        <w:sz w:val="56"/>
      </w:rPr>
      <w:t></w:t>
    </w:r>
    <w:r w:rsidRPr="00A63221">
      <w:rPr>
        <w:rFonts w:ascii="C39T30Lfz" w:hAnsi="C39T30Lfz"/>
        <w:kern w:val="14"/>
        <w:sz w:val="56"/>
      </w:rPr>
      <w:t></w:t>
    </w:r>
    <w:r w:rsidRPr="00A63221">
      <w:rPr>
        <w:rFonts w:ascii="C39T30Lfz" w:hAnsi="C39T30Lfz"/>
        <w:kern w:val="14"/>
        <w:sz w:val="56"/>
      </w:rPr>
      <w:t></w:t>
    </w:r>
    <w:r w:rsidRPr="00A63221">
      <w:rPr>
        <w:rFonts w:ascii="C39T30Lfz" w:hAnsi="C39T30Lfz"/>
        <w:kern w:val="14"/>
        <w:sz w:val="56"/>
      </w:rPr>
      <w:t></w:t>
    </w:r>
    <w:r w:rsidRPr="00A63221">
      <w:rPr>
        <w:rFonts w:ascii="C39T30Lfz" w:hAnsi="C39T30Lfz"/>
        <w:kern w:val="14"/>
        <w:sz w:val="56"/>
      </w:rPr>
      <w:t></w:t>
    </w:r>
    <w:r w:rsidRPr="00A63221">
      <w:rPr>
        <w:rFonts w:ascii="C39T30Lfz" w:hAnsi="C39T30Lfz"/>
        <w:kern w:val="14"/>
        <w:sz w:val="56"/>
      </w:rPr>
      <w:t></w:t>
    </w:r>
    <w:r w:rsidRPr="00A63221">
      <w:rPr>
        <w:rFonts w:ascii="C39T30Lfz" w:hAnsi="C39T30Lfz"/>
        <w:kern w:val="14"/>
        <w:sz w:val="56"/>
      </w:rPr>
      <w:t></w:t>
    </w:r>
    <w:r w:rsidRPr="00A6322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6CD591" wp14:editId="1549D3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C5B5" w14:textId="77777777" w:rsidR="00BB2FDB" w:rsidRPr="001075E9" w:rsidRDefault="00BB2F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9829D2" w14:textId="77777777" w:rsidR="00BB2FDB" w:rsidRDefault="00BB2F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495514" w14:textId="77777777" w:rsidR="00A63221" w:rsidRDefault="00A63221" w:rsidP="00A63221">
      <w:pPr>
        <w:pStyle w:val="ad"/>
      </w:pPr>
      <w:r>
        <w:tab/>
      </w:r>
      <w:r w:rsidRPr="00A63221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14:paraId="3451CEF0" w14:textId="77777777" w:rsidR="00A63221" w:rsidRDefault="00A63221" w:rsidP="00A63221">
      <w:pPr>
        <w:pStyle w:val="ad"/>
      </w:pPr>
      <w:r>
        <w:tab/>
      </w:r>
      <w:r w:rsidRPr="00A63221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 год, изложенной в предлагаемом бюджете по программам на 2020 год (A/74/6 (часть V, раздел 20), пункт 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9DB9" w14:textId="1FE64014" w:rsidR="00A63221" w:rsidRPr="00A63221" w:rsidRDefault="00AD47C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AFBA" w14:textId="10C68CDE" w:rsidR="00A63221" w:rsidRPr="00A63221" w:rsidRDefault="00AD47CB" w:rsidP="00A6322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DB"/>
    <w:rsid w:val="00033EE1"/>
    <w:rsid w:val="00042B72"/>
    <w:rsid w:val="000558BD"/>
    <w:rsid w:val="000A382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FB1"/>
    <w:rsid w:val="00255343"/>
    <w:rsid w:val="0027151D"/>
    <w:rsid w:val="00292DA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9C4"/>
    <w:rsid w:val="003E0B46"/>
    <w:rsid w:val="00407B78"/>
    <w:rsid w:val="00424203"/>
    <w:rsid w:val="004507FA"/>
    <w:rsid w:val="00452493"/>
    <w:rsid w:val="00453318"/>
    <w:rsid w:val="00454AF2"/>
    <w:rsid w:val="00454E07"/>
    <w:rsid w:val="00472C5C"/>
    <w:rsid w:val="00493A9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08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62A"/>
    <w:rsid w:val="007F2F3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6CCE"/>
    <w:rsid w:val="00911BE4"/>
    <w:rsid w:val="00951972"/>
    <w:rsid w:val="009608F3"/>
    <w:rsid w:val="0096216C"/>
    <w:rsid w:val="00962EDE"/>
    <w:rsid w:val="009A24AC"/>
    <w:rsid w:val="009C59D7"/>
    <w:rsid w:val="009C6FE6"/>
    <w:rsid w:val="009D7E7D"/>
    <w:rsid w:val="00A14DA8"/>
    <w:rsid w:val="00A312BC"/>
    <w:rsid w:val="00A63221"/>
    <w:rsid w:val="00A776D4"/>
    <w:rsid w:val="00A84021"/>
    <w:rsid w:val="00A84D35"/>
    <w:rsid w:val="00A917B3"/>
    <w:rsid w:val="00AA775D"/>
    <w:rsid w:val="00AB4B51"/>
    <w:rsid w:val="00AD47CB"/>
    <w:rsid w:val="00AF4C8C"/>
    <w:rsid w:val="00B10CC7"/>
    <w:rsid w:val="00B36DF7"/>
    <w:rsid w:val="00B539E7"/>
    <w:rsid w:val="00B62458"/>
    <w:rsid w:val="00BB2FDB"/>
    <w:rsid w:val="00BC18B2"/>
    <w:rsid w:val="00BD33EE"/>
    <w:rsid w:val="00BE1CC7"/>
    <w:rsid w:val="00C01113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2F88"/>
    <w:rsid w:val="00D873A8"/>
    <w:rsid w:val="00D90028"/>
    <w:rsid w:val="00D90138"/>
    <w:rsid w:val="00D9145B"/>
    <w:rsid w:val="00DA5D41"/>
    <w:rsid w:val="00DD78D1"/>
    <w:rsid w:val="00DE32CD"/>
    <w:rsid w:val="00DF5767"/>
    <w:rsid w:val="00DF71B9"/>
    <w:rsid w:val="00E12C5F"/>
    <w:rsid w:val="00E73F76"/>
    <w:rsid w:val="00EA2C89"/>
    <w:rsid w:val="00EA2C9F"/>
    <w:rsid w:val="00EA420E"/>
    <w:rsid w:val="00ED0BDA"/>
    <w:rsid w:val="00EE142A"/>
    <w:rsid w:val="00EF1360"/>
    <w:rsid w:val="00EF3220"/>
    <w:rsid w:val="00F2523A"/>
    <w:rsid w:val="00F43903"/>
    <w:rsid w:val="00F71AA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4B0E7E"/>
  <w15:docId w15:val="{097D73D7-04BC-45A6-8FCA-ABD6D79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rsid w:val="00A63221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semiHidden/>
    <w:rsid w:val="00A63221"/>
    <w:rPr>
      <w:lang w:val="en-GB" w:eastAsia="en-US"/>
    </w:rPr>
  </w:style>
  <w:style w:type="character" w:customStyle="1" w:styleId="HChGChar">
    <w:name w:val="_ H _Ch_G Char"/>
    <w:link w:val="HChG"/>
    <w:locked/>
    <w:rsid w:val="00A6322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A63221"/>
    <w:rPr>
      <w:lang w:val="ru-RU" w:eastAsia="en-US"/>
    </w:rPr>
  </w:style>
  <w:style w:type="character" w:customStyle="1" w:styleId="H1GChar">
    <w:name w:val="_ H_1_G Char"/>
    <w:link w:val="H1G"/>
    <w:locked/>
    <w:rsid w:val="00A63221"/>
    <w:rPr>
      <w:b/>
      <w:sz w:val="24"/>
      <w:lang w:val="ru-RU" w:eastAsia="ru-RU"/>
    </w:rPr>
  </w:style>
  <w:style w:type="paragraph" w:customStyle="1" w:styleId="xsingletxtg">
    <w:name w:val="x_singletxtg"/>
    <w:basedOn w:val="a"/>
    <w:rsid w:val="00A63221"/>
    <w:pPr>
      <w:suppressAutoHyphens w:val="0"/>
      <w:spacing w:after="120"/>
      <w:ind w:left="1134" w:right="1134"/>
      <w:jc w:val="both"/>
    </w:pPr>
    <w:rPr>
      <w:rFonts w:cs="Times New Roman"/>
      <w:szCs w:val="20"/>
      <w:lang w:val="en-US"/>
    </w:rPr>
  </w:style>
  <w:style w:type="paragraph" w:customStyle="1" w:styleId="af5">
    <w:name w:val="(a)"/>
    <w:basedOn w:val="a"/>
    <w:qFormat/>
    <w:rsid w:val="00A63221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character" w:styleId="af6">
    <w:name w:val="annotation reference"/>
    <w:semiHidden/>
    <w:unhideWhenUsed/>
    <w:rsid w:val="00A63221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03E5-978C-4A82-B2A0-90693D8A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1438</Words>
  <Characters>9193</Characters>
  <Application>Microsoft Office Word</Application>
  <DocSecurity>0</DocSecurity>
  <Lines>229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ECE/TRANS/WP.29/GRVA/2020/7</vt:lpstr>
      <vt:lpstr>A/</vt:lpstr>
      <vt:lpstr>A/</vt:lpstr>
    </vt:vector>
  </TitlesOfParts>
  <Company>DCM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ECE/TRANS/WP.29/GRVA/2020/7</dc:title>
  <dc:subject/>
  <dc:creator>Uliana ANTIPOVA</dc:creator>
  <cp:keywords/>
  <cp:lastModifiedBy>Ioulia Goussarova</cp:lastModifiedBy>
  <cp:revision>3</cp:revision>
  <cp:lastPrinted>2019-12-11T13:28:00Z</cp:lastPrinted>
  <dcterms:created xsi:type="dcterms:W3CDTF">2019-12-11T13:28:00Z</dcterms:created>
  <dcterms:modified xsi:type="dcterms:W3CDTF">2019-12-11T13:28:00Z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