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5C" w:rsidRDefault="00F4395C" w:rsidP="00F4395C">
      <w:pPr>
        <w:pStyle w:val="HChG"/>
        <w:ind w:firstLine="0"/>
        <w:jc w:val="center"/>
      </w:pPr>
      <w:r>
        <w:t>Proposal for amendments to GRVA-05-05</w:t>
      </w:r>
      <w:bookmarkStart w:id="0" w:name="_GoBack"/>
    </w:p>
    <w:bookmarkEnd w:id="0"/>
    <w:p w:rsidR="00F4395C" w:rsidRDefault="00F4395C" w:rsidP="00F4395C">
      <w:pPr>
        <w:pStyle w:val="SingleTxtG"/>
        <w:jc w:val="center"/>
      </w:pPr>
      <w:r w:rsidRPr="00837025">
        <w:rPr>
          <w:lang w:val="sv-SE"/>
        </w:rPr>
        <w:t>Proposal for a new UN Regulation on uniform provisions concerning the approval of vehicles with regard to cyber security and of cybersecurity management systems</w:t>
      </w:r>
    </w:p>
    <w:p w:rsidR="000C6927" w:rsidRDefault="000C6927" w:rsidP="00F4395C">
      <w:pPr>
        <w:pStyle w:val="HChG"/>
      </w:pPr>
      <w:r w:rsidRPr="004C4906">
        <w:tab/>
        <w:t>I.</w:t>
      </w:r>
      <w:r w:rsidRPr="004C4906">
        <w:tab/>
      </w:r>
      <w:r>
        <w:t>Proposal</w:t>
      </w:r>
    </w:p>
    <w:p w:rsidR="000C6927" w:rsidRPr="004A5DB7" w:rsidRDefault="00F4395C" w:rsidP="004A5DB7">
      <w:pPr>
        <w:spacing w:after="120" w:line="240" w:lineRule="auto"/>
        <w:ind w:left="1134" w:right="1134"/>
        <w:jc w:val="both"/>
        <w:rPr>
          <w:rFonts w:asciiTheme="majorBidi" w:hAnsiTheme="majorBidi" w:cstheme="majorBidi"/>
          <w:i/>
        </w:rPr>
      </w:pPr>
      <w:r>
        <w:rPr>
          <w:rFonts w:asciiTheme="majorBidi" w:hAnsiTheme="majorBidi" w:cstheme="majorBidi"/>
          <w:i/>
          <w:lang w:val="sv-SE"/>
        </w:rPr>
        <w:t>P</w:t>
      </w:r>
      <w:r w:rsidR="000C6927" w:rsidRPr="00843FE1">
        <w:rPr>
          <w:rFonts w:asciiTheme="majorBidi" w:hAnsiTheme="majorBidi" w:cstheme="majorBidi"/>
          <w:i/>
          <w:lang w:val="sv-SE"/>
        </w:rPr>
        <w:t>aragraph</w:t>
      </w:r>
      <w:r w:rsidR="000A3D0C">
        <w:rPr>
          <w:rFonts w:asciiTheme="majorBidi" w:hAnsiTheme="majorBidi" w:cstheme="majorBidi"/>
          <w:i/>
          <w:lang w:val="sv-SE"/>
        </w:rPr>
        <w:t>s 5.3.1</w:t>
      </w:r>
      <w:r w:rsidR="000B3D15">
        <w:rPr>
          <w:rFonts w:asciiTheme="majorBidi" w:hAnsiTheme="majorBidi" w:cstheme="majorBidi"/>
          <w:i/>
          <w:lang w:val="sv-SE"/>
        </w:rPr>
        <w:t>.</w:t>
      </w:r>
      <w:r w:rsidR="000A3D0C">
        <w:rPr>
          <w:rFonts w:asciiTheme="majorBidi" w:hAnsiTheme="majorBidi" w:cstheme="majorBidi"/>
          <w:i/>
          <w:lang w:val="sv-SE"/>
        </w:rPr>
        <w:t xml:space="preserve"> </w:t>
      </w:r>
      <w:r>
        <w:rPr>
          <w:rFonts w:asciiTheme="majorBidi" w:hAnsiTheme="majorBidi" w:cstheme="majorBidi"/>
          <w:i/>
          <w:lang w:val="sv-SE"/>
        </w:rPr>
        <w:t>to</w:t>
      </w:r>
      <w:r w:rsidR="000A3D0C">
        <w:rPr>
          <w:rFonts w:asciiTheme="majorBidi" w:hAnsiTheme="majorBidi" w:cstheme="majorBidi"/>
          <w:i/>
          <w:lang w:val="sv-SE"/>
        </w:rPr>
        <w:t xml:space="preserve"> 5.3.3.</w:t>
      </w:r>
      <w:r>
        <w:rPr>
          <w:rFonts w:asciiTheme="majorBidi" w:hAnsiTheme="majorBidi" w:cstheme="majorBidi"/>
          <w:i/>
          <w:lang w:val="sv-SE"/>
        </w:rPr>
        <w:t>,</w:t>
      </w:r>
      <w:r w:rsidR="004A5DB7">
        <w:rPr>
          <w:rFonts w:asciiTheme="majorBidi" w:hAnsiTheme="majorBidi" w:cstheme="majorBidi"/>
          <w:i/>
          <w:lang w:val="sv-SE"/>
        </w:rPr>
        <w:t xml:space="preserve"> </w:t>
      </w:r>
      <w:r>
        <w:rPr>
          <w:rFonts w:asciiTheme="majorBidi" w:hAnsiTheme="majorBidi" w:cstheme="majorBidi"/>
          <w:iCs/>
          <w:lang w:val="sv-SE"/>
        </w:rPr>
        <w:t>amend to</w:t>
      </w:r>
      <w:r w:rsidR="00837025" w:rsidRPr="00837025">
        <w:rPr>
          <w:rFonts w:asciiTheme="majorBidi" w:hAnsiTheme="majorBidi" w:cstheme="majorBidi"/>
          <w:i/>
          <w:lang w:val="sv-SE"/>
        </w:rPr>
        <w:t xml:space="preserve"> </w:t>
      </w:r>
      <w:r w:rsidR="000C6927" w:rsidRPr="00843FE1">
        <w:rPr>
          <w:rFonts w:asciiTheme="majorBidi" w:hAnsiTheme="majorBidi" w:cstheme="majorBidi"/>
        </w:rPr>
        <w:t>read:</w:t>
      </w:r>
    </w:p>
    <w:p w:rsidR="000A3D0C" w:rsidRPr="00DE441A" w:rsidRDefault="000A3D0C" w:rsidP="000A3D0C">
      <w:pPr>
        <w:pStyle w:val="SingleTxtG"/>
        <w:ind w:left="2268" w:hanging="1134"/>
      </w:pPr>
      <w:r>
        <w:rPr>
          <w:rFonts w:asciiTheme="majorBidi" w:hAnsiTheme="majorBidi" w:cstheme="majorBidi"/>
        </w:rPr>
        <w:t>“5.3.1.</w:t>
      </w:r>
      <w:r w:rsidR="000C6927">
        <w:rPr>
          <w:rFonts w:asciiTheme="majorBidi" w:hAnsiTheme="majorBidi" w:cstheme="majorBidi"/>
        </w:rPr>
        <w:tab/>
      </w:r>
      <w:r w:rsidRPr="00DE441A">
        <w:t xml:space="preserve">Each Approval Authority shall </w:t>
      </w:r>
      <w:r w:rsidRPr="007418FE">
        <w:rPr>
          <w:strike/>
        </w:rPr>
        <w:t>actively</w:t>
      </w:r>
      <w:r w:rsidRPr="00DE441A">
        <w:t xml:space="preserve"> inform </w:t>
      </w:r>
      <w:r w:rsidRPr="007418FE">
        <w:rPr>
          <w:strike/>
        </w:rPr>
        <w:t>and seek guidance from</w:t>
      </w:r>
      <w:r w:rsidRPr="00DE441A">
        <w:t xml:space="preserve"> other Approval Authorities </w:t>
      </w:r>
      <w:r w:rsidRPr="000A3D0C">
        <w:rPr>
          <w:b/>
        </w:rPr>
        <w:t>of their intention to</w:t>
      </w:r>
      <w:r w:rsidRPr="000A3D0C">
        <w:t xml:space="preserve"> </w:t>
      </w:r>
      <w:r w:rsidRPr="007418FE">
        <w:rPr>
          <w:strike/>
        </w:rPr>
        <w:t>before</w:t>
      </w:r>
      <w:r w:rsidRPr="00DE441A">
        <w:t xml:space="preserve"> </w:t>
      </w:r>
      <w:r w:rsidRPr="007418FE">
        <w:rPr>
          <w:strike/>
        </w:rPr>
        <w:t>making the decision</w:t>
      </w:r>
      <w:r w:rsidRPr="00DE441A">
        <w:t xml:space="preserve">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DE441A">
        <w:t>at the moment</w:t>
      </w:r>
      <w:proofErr w:type="gramEnd"/>
      <w:r w:rsidRPr="00DE441A">
        <w:t xml:space="preserve"> of notification.</w:t>
      </w:r>
      <w:r w:rsidRPr="007418FE">
        <w:rPr>
          <w:color w:val="FF0000"/>
        </w:rPr>
        <w:t xml:space="preserve"> </w:t>
      </w:r>
    </w:p>
    <w:p w:rsidR="000A3D0C" w:rsidRDefault="000A3D0C" w:rsidP="000A3D0C">
      <w:pPr>
        <w:spacing w:after="120" w:line="240" w:lineRule="auto"/>
        <w:ind w:left="2268" w:right="1134" w:hanging="1134"/>
        <w:jc w:val="both"/>
      </w:pPr>
      <w:r>
        <w:rPr>
          <w:rFonts w:asciiTheme="majorBidi" w:hAnsiTheme="majorBidi" w:cstheme="majorBidi"/>
        </w:rPr>
        <w:t>5.3.2.</w:t>
      </w:r>
      <w:r>
        <w:rPr>
          <w:rFonts w:asciiTheme="majorBidi" w:hAnsiTheme="majorBidi" w:cstheme="majorBidi"/>
        </w:rPr>
        <w:tab/>
      </w:r>
      <w:r w:rsidRPr="00DE441A">
        <w:t xml:space="preserve">Each Approval </w:t>
      </w:r>
      <w:r w:rsidRPr="000A3D0C">
        <w:t xml:space="preserve">Authority applying this Regulation may notify the other Parties, within 30 calendar days </w:t>
      </w:r>
      <w:r w:rsidRPr="000A3D0C">
        <w:rPr>
          <w:b/>
        </w:rPr>
        <w:t>from the notification of the draft approval decision</w:t>
      </w:r>
      <w:r w:rsidRPr="000A3D0C">
        <w:t xml:space="preserve">, its reasoned reservations with regard to the whole or the part of the decision notified. </w:t>
      </w:r>
      <w:r w:rsidRPr="000A3D0C">
        <w:rPr>
          <w:b/>
        </w:rPr>
        <w:t xml:space="preserve">If no reservation was notified within 30 days from the notification of the draft approval decision, the Approval Authority may issue UN type approval. If Approval Authorities of one or several Parties have notified reservations, </w:t>
      </w:r>
      <w:r w:rsidRPr="000A3D0C">
        <w:t xml:space="preserve">the Approval Authority shall notify to the Approval Authorities applying this </w:t>
      </w:r>
      <w:r w:rsidRPr="00DE441A">
        <w:t>Regulation the draft decision revised taking into account the reservations received.</w:t>
      </w:r>
    </w:p>
    <w:p w:rsidR="000A3D0C" w:rsidRPr="00F4395C" w:rsidRDefault="000A3D0C" w:rsidP="00F4395C">
      <w:pPr>
        <w:pStyle w:val="SingleTxtG"/>
        <w:ind w:left="2268" w:hanging="1134"/>
      </w:pPr>
      <w:r>
        <w:rPr>
          <w:rFonts w:asciiTheme="majorBidi" w:hAnsiTheme="majorBidi" w:cstheme="majorBidi"/>
        </w:rPr>
        <w:t>5.3.3.</w:t>
      </w:r>
      <w:r>
        <w:rPr>
          <w:rFonts w:asciiTheme="majorBidi" w:hAnsiTheme="majorBidi" w:cstheme="majorBidi"/>
        </w:rPr>
        <w:tab/>
      </w:r>
      <w:r w:rsidRPr="00DE441A">
        <w:t xml:space="preserve">If at </w:t>
      </w:r>
      <w:r w:rsidRPr="000A3D0C">
        <w:t xml:space="preserve">least two Parties notify, within </w:t>
      </w:r>
      <w:r w:rsidRPr="000A3D0C">
        <w:rPr>
          <w:strike/>
        </w:rPr>
        <w:t>30</w:t>
      </w:r>
      <w:r w:rsidRPr="000A3D0C">
        <w:t xml:space="preserve"> </w:t>
      </w:r>
      <w:r w:rsidRPr="000A3D0C">
        <w:rPr>
          <w:b/>
        </w:rPr>
        <w:t>14</w:t>
      </w:r>
      <w:r w:rsidRPr="000A3D0C">
        <w:t xml:space="preserve">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w:t>
      </w:r>
      <w:r w:rsidRPr="000A3D0C">
        <w:rPr>
          <w:strike/>
        </w:rPr>
        <w:t>this section</w:t>
      </w:r>
      <w:r w:rsidRPr="000A3D0C">
        <w:rPr>
          <w:b/>
        </w:rPr>
        <w:t xml:space="preserve"> paragraph 5.3.2</w:t>
      </w:r>
      <w:r w:rsidRPr="000A3D0C">
        <w:t>, 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3.3.of this Regulation and the results of the tests performed pursuant to paragraph 5.1.2. shall be open for inspection by the Chair of WP.29 and the Chair of the subsidiary Working Party on the same conditions as those set out in paragraph 5.3.1. above.</w:t>
      </w:r>
    </w:p>
    <w:p w:rsidR="000C6927" w:rsidRDefault="000C6927" w:rsidP="000C6927">
      <w:pPr>
        <w:pStyle w:val="HChG"/>
      </w:pPr>
      <w:r w:rsidRPr="004C4906">
        <w:tab/>
        <w:t>II.</w:t>
      </w:r>
      <w:r w:rsidRPr="004C4906">
        <w:tab/>
      </w:r>
      <w:r>
        <w:t>Justification</w:t>
      </w:r>
    </w:p>
    <w:p w:rsidR="000A3D0C" w:rsidRDefault="000A3D0C" w:rsidP="000C6927">
      <w:pPr>
        <w:tabs>
          <w:tab w:val="left" w:pos="1701"/>
        </w:tabs>
        <w:suppressAutoHyphens w:val="0"/>
        <w:autoSpaceDE w:val="0"/>
        <w:autoSpaceDN w:val="0"/>
        <w:adjustRightInd w:val="0"/>
        <w:spacing w:after="120" w:line="240" w:lineRule="auto"/>
        <w:ind w:left="1134" w:right="1134"/>
        <w:jc w:val="both"/>
        <w:rPr>
          <w:rFonts w:asciiTheme="majorBidi" w:hAnsiTheme="majorBidi" w:cstheme="majorBidi"/>
        </w:rPr>
      </w:pPr>
      <w:r>
        <w:rPr>
          <w:color w:val="222222"/>
          <w:shd w:val="clear" w:color="auto" w:fill="FFFFFF"/>
        </w:rPr>
        <w:t xml:space="preserve">Deletion of the obligation to “actively seek guidance” aims at removing the administrative burden that the </w:t>
      </w:r>
      <w:r w:rsidR="00DD7794">
        <w:rPr>
          <w:color w:val="222222"/>
          <w:shd w:val="clear" w:color="auto" w:fill="FFFFFF"/>
        </w:rPr>
        <w:t xml:space="preserve">Parties </w:t>
      </w:r>
      <w:r>
        <w:rPr>
          <w:color w:val="222222"/>
          <w:shd w:val="clear" w:color="auto" w:fill="FFFFFF"/>
        </w:rPr>
        <w:t>fear the mechanism</w:t>
      </w:r>
      <w:r>
        <w:rPr>
          <w:rFonts w:asciiTheme="majorBidi" w:hAnsiTheme="majorBidi" w:cstheme="majorBidi"/>
        </w:rPr>
        <w:t xml:space="preserve"> could trigger. </w:t>
      </w:r>
      <w:r w:rsidR="00DD7794">
        <w:rPr>
          <w:rFonts w:asciiTheme="majorBidi" w:hAnsiTheme="majorBidi" w:cstheme="majorBidi"/>
        </w:rPr>
        <w:t>Active consultation shall not be required, replaced by mere information with the possibility for interested Parties to issue reservations.</w:t>
      </w:r>
    </w:p>
    <w:p w:rsidR="005011D2" w:rsidRDefault="000A3D0C" w:rsidP="000C6927">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Shortening the time limit in paragraph 5.3.3 aims at the acceleration of the procedure</w:t>
      </w:r>
      <w:r w:rsidR="005011D2">
        <w:rPr>
          <w:color w:val="222222"/>
          <w:shd w:val="clear" w:color="auto" w:fill="FFFFFF"/>
        </w:rPr>
        <w:t>. Interested approval authorities will have already examined the information in the first phase (5.3.1-5.3.2.) and 14 days might be sufficient for them to verify if their reservations were given due consideration.</w:t>
      </w:r>
    </w:p>
    <w:p w:rsidR="00DA2690" w:rsidRPr="00E16A35" w:rsidRDefault="005011D2" w:rsidP="00F4395C">
      <w:pPr>
        <w:tabs>
          <w:tab w:val="left" w:pos="1701"/>
        </w:tabs>
        <w:suppressAutoHyphens w:val="0"/>
        <w:autoSpaceDE w:val="0"/>
        <w:autoSpaceDN w:val="0"/>
        <w:adjustRightInd w:val="0"/>
        <w:spacing w:after="120" w:line="240" w:lineRule="auto"/>
        <w:ind w:left="1134" w:right="1134"/>
        <w:jc w:val="both"/>
        <w:rPr>
          <w:u w:val="single"/>
        </w:rPr>
      </w:pPr>
      <w:r>
        <w:rPr>
          <w:color w:val="222222"/>
          <w:shd w:val="clear" w:color="auto" w:fill="FFFFFF"/>
        </w:rPr>
        <w:t xml:space="preserve">The remaining amendments are mere clarifications. </w:t>
      </w:r>
    </w:p>
    <w:sectPr w:rsidR="00DA2690" w:rsidRPr="00E16A35" w:rsidSect="00F4395C">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56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F3" w:rsidRDefault="002669F3"/>
  </w:endnote>
  <w:endnote w:type="continuationSeparator" w:id="0">
    <w:p w:rsidR="002669F3" w:rsidRDefault="002669F3"/>
  </w:endnote>
  <w:endnote w:type="continuationNotice" w:id="1">
    <w:p w:rsidR="002669F3" w:rsidRDefault="0026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DD7794">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F3" w:rsidRPr="000B175B" w:rsidRDefault="002669F3" w:rsidP="000B175B">
      <w:pPr>
        <w:tabs>
          <w:tab w:val="right" w:pos="2155"/>
        </w:tabs>
        <w:spacing w:after="80"/>
        <w:ind w:left="680"/>
        <w:rPr>
          <w:u w:val="single"/>
        </w:rPr>
      </w:pPr>
      <w:r>
        <w:rPr>
          <w:u w:val="single"/>
        </w:rPr>
        <w:tab/>
      </w:r>
    </w:p>
  </w:footnote>
  <w:footnote w:type="continuationSeparator" w:id="0">
    <w:p w:rsidR="002669F3" w:rsidRPr="00FC68B7" w:rsidRDefault="002669F3" w:rsidP="00FC68B7">
      <w:pPr>
        <w:tabs>
          <w:tab w:val="left" w:pos="2155"/>
        </w:tabs>
        <w:spacing w:after="80"/>
        <w:ind w:left="680"/>
        <w:rPr>
          <w:u w:val="single"/>
        </w:rPr>
      </w:pPr>
      <w:r>
        <w:rPr>
          <w:u w:val="single"/>
        </w:rPr>
        <w:tab/>
      </w:r>
    </w:p>
  </w:footnote>
  <w:footnote w:type="continuationNotice" w:id="1">
    <w:p w:rsidR="002669F3" w:rsidRDefault="00266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tabs>
        <w:tab w:val="left" w:pos="5381"/>
      </w:tabs>
    </w:pPr>
    <w:r>
      <w:t>ECE/TRANS/WP.29/GRVA/2019/</w:t>
    </w:r>
    <w:r w:rsidR="0046625E" w:rsidRPr="0046625E">
      <w:rPr>
        <w:highlight w:val="yellow"/>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444AD5" w:rsidTr="009200DC">
            <w:trPr>
              <w:trHeight w:val="250"/>
            </w:trPr>
            <w:tc>
              <w:tcPr>
                <w:tcW w:w="4854" w:type="dxa"/>
              </w:tcPr>
              <w:p w:rsidR="002B422D" w:rsidRPr="00444AD5" w:rsidRDefault="002B422D" w:rsidP="002B422D">
                <w:pPr>
                  <w:suppressAutoHyphens w:val="0"/>
                  <w:autoSpaceDE w:val="0"/>
                  <w:autoSpaceDN w:val="0"/>
                  <w:adjustRightInd w:val="0"/>
                  <w:spacing w:line="240" w:lineRule="auto"/>
                  <w:jc w:val="both"/>
                  <w:rPr>
                    <w:rFonts w:eastAsia="Calibri"/>
                  </w:rPr>
                </w:pPr>
                <w:r w:rsidRPr="00444AD5">
                  <w:rPr>
                    <w:rFonts w:eastAsia="Calibri"/>
                  </w:rPr>
                  <w:t xml:space="preserve">Submitted by the expert from </w:t>
                </w:r>
                <w:r>
                  <w:rPr>
                    <w:rFonts w:eastAsia="Calibri"/>
                  </w:rPr>
                  <w:t>the European Commission</w:t>
                </w:r>
              </w:p>
            </w:tc>
          </w:tr>
        </w:tbl>
        <w:p w:rsidR="002B422D" w:rsidRPr="00444AD5" w:rsidRDefault="002B422D" w:rsidP="002B422D">
          <w:pPr>
            <w:suppressAutoHyphens w:val="0"/>
            <w:autoSpaceDE w:val="0"/>
            <w:autoSpaceDN w:val="0"/>
            <w:adjustRightInd w:val="0"/>
            <w:spacing w:line="240" w:lineRule="auto"/>
            <w:rPr>
              <w:rFonts w:eastAsia="Calibri"/>
            </w:rPr>
          </w:pPr>
        </w:p>
      </w:tc>
      <w:tc>
        <w:tcPr>
          <w:tcW w:w="4616" w:type="dxa"/>
        </w:tcPr>
        <w:p w:rsidR="002B422D" w:rsidRPr="00947A5C" w:rsidRDefault="002B422D" w:rsidP="002B422D">
          <w:pPr>
            <w:suppressAutoHyphens w:val="0"/>
            <w:autoSpaceDE w:val="0"/>
            <w:autoSpaceDN w:val="0"/>
            <w:adjustRightInd w:val="0"/>
            <w:spacing w:line="240" w:lineRule="auto"/>
            <w:ind w:left="633"/>
            <w:jc w:val="center"/>
            <w:rPr>
              <w:rFonts w:eastAsia="Calibri"/>
            </w:rPr>
          </w:pPr>
          <w:r w:rsidRPr="00947A5C">
            <w:rPr>
              <w:rFonts w:eastAsia="Calibri"/>
              <w:u w:val="single"/>
            </w:rPr>
            <w:t>Informal document</w:t>
          </w:r>
          <w:r w:rsidRPr="00947A5C">
            <w:rPr>
              <w:rFonts w:eastAsia="Calibri"/>
            </w:rPr>
            <w:t xml:space="preserve"> </w:t>
          </w:r>
          <w:r w:rsidRPr="00947A5C">
            <w:rPr>
              <w:rFonts w:eastAsia="Calibri"/>
              <w:b/>
              <w:bCs/>
            </w:rPr>
            <w:t>GRVA-0</w:t>
          </w:r>
          <w:r w:rsidR="00F4395C">
            <w:rPr>
              <w:rFonts w:eastAsia="Calibri"/>
              <w:b/>
              <w:bCs/>
            </w:rPr>
            <w:t>5</w:t>
          </w:r>
          <w:r w:rsidRPr="00947A5C">
            <w:rPr>
              <w:rFonts w:eastAsia="Calibri"/>
              <w:b/>
              <w:bCs/>
            </w:rPr>
            <w:t>-</w:t>
          </w:r>
          <w:r w:rsidR="00F4395C">
            <w:rPr>
              <w:rFonts w:eastAsia="Calibri"/>
              <w:b/>
              <w:bCs/>
            </w:rPr>
            <w:t>42</w:t>
          </w:r>
        </w:p>
        <w:p w:rsidR="002B422D" w:rsidRPr="00947A5C" w:rsidRDefault="003A44BA" w:rsidP="002B422D">
          <w:pPr>
            <w:tabs>
              <w:tab w:val="center" w:pos="4677"/>
              <w:tab w:val="right" w:pos="9355"/>
            </w:tabs>
            <w:spacing w:line="240" w:lineRule="auto"/>
            <w:ind w:left="1200" w:right="-168"/>
            <w:rPr>
              <w:lang w:eastAsia="ar-SA"/>
            </w:rPr>
          </w:pPr>
          <w:r>
            <w:rPr>
              <w:rFonts w:hint="eastAsia"/>
              <w:lang w:eastAsia="ja-JP"/>
            </w:rPr>
            <w:t>5</w:t>
          </w:r>
          <w:r w:rsidR="002B422D" w:rsidRPr="00947A5C">
            <w:rPr>
              <w:rFonts w:hint="eastAsia"/>
              <w:vertAlign w:val="superscript"/>
              <w:lang w:eastAsia="ja-JP"/>
            </w:rPr>
            <w:t>th</w:t>
          </w:r>
          <w:r w:rsidR="002B422D" w:rsidRPr="00947A5C">
            <w:rPr>
              <w:lang w:eastAsia="ar-SA"/>
            </w:rPr>
            <w:t xml:space="preserve"> GRVA, </w:t>
          </w:r>
          <w:r w:rsidR="003E2890">
            <w:rPr>
              <w:lang w:eastAsia="ja-JP"/>
            </w:rPr>
            <w:t>10</w:t>
          </w:r>
          <w:r w:rsidR="002B422D" w:rsidRPr="00947A5C">
            <w:rPr>
              <w:lang w:eastAsia="ar-SA"/>
            </w:rPr>
            <w:t xml:space="preserve">- </w:t>
          </w:r>
          <w:r w:rsidR="003E2890">
            <w:rPr>
              <w:rFonts w:hint="eastAsia"/>
              <w:lang w:eastAsia="ja-JP"/>
            </w:rPr>
            <w:t>14</w:t>
          </w:r>
          <w:r w:rsidR="002B422D" w:rsidRPr="00947A5C">
            <w:rPr>
              <w:lang w:eastAsia="ar-SA"/>
            </w:rPr>
            <w:t xml:space="preserve"> </w:t>
          </w:r>
          <w:r>
            <w:rPr>
              <w:rFonts w:hint="eastAsia"/>
              <w:lang w:eastAsia="ja-JP"/>
            </w:rPr>
            <w:t>Feb</w:t>
          </w:r>
          <w:r w:rsidR="002B422D" w:rsidRPr="00947A5C">
            <w:rPr>
              <w:rFonts w:hint="eastAsia"/>
              <w:lang w:eastAsia="ja-JP"/>
            </w:rPr>
            <w:t>r</w:t>
          </w:r>
          <w:r>
            <w:rPr>
              <w:lang w:eastAsia="ja-JP"/>
            </w:rPr>
            <w:t>uary</w:t>
          </w:r>
          <w:r>
            <w:rPr>
              <w:lang w:eastAsia="ar-SA"/>
            </w:rPr>
            <w:t xml:space="preserve"> 2020</w:t>
          </w:r>
          <w:r w:rsidR="002B422D" w:rsidRPr="00947A5C">
            <w:rPr>
              <w:rFonts w:hint="cs"/>
              <w:lang w:eastAsia="ar-SA"/>
            </w:rPr>
            <w:t xml:space="preserve">, </w:t>
          </w:r>
        </w:p>
        <w:p w:rsidR="002B422D" w:rsidRPr="00444AD5" w:rsidRDefault="002B422D" w:rsidP="003A44BA">
          <w:pPr>
            <w:tabs>
              <w:tab w:val="center" w:pos="4677"/>
              <w:tab w:val="right" w:pos="9355"/>
            </w:tabs>
            <w:spacing w:line="240" w:lineRule="auto"/>
            <w:ind w:left="1200" w:right="-168"/>
            <w:rPr>
              <w:lang w:val="en-TT" w:eastAsia="ar-SA"/>
            </w:rPr>
          </w:pPr>
          <w:r w:rsidRPr="00444AD5">
            <w:rPr>
              <w:lang w:val="en-TT" w:eastAsia="ar-SA"/>
            </w:rPr>
            <w:t xml:space="preserve">Provisional agenda items </w:t>
          </w:r>
          <w:r w:rsidR="007806E7">
            <w:rPr>
              <w:lang w:val="en-TT" w:eastAsia="ja-JP"/>
            </w:rPr>
            <w:t>5(a)</w:t>
          </w:r>
        </w:p>
      </w:tc>
    </w:tr>
  </w:tbl>
  <w:p w:rsidR="004A5DB7" w:rsidRPr="002B422D" w:rsidRDefault="004A5DB7" w:rsidP="00F439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A3D0C"/>
    <w:rsid w:val="000B175B"/>
    <w:rsid w:val="000B3A0F"/>
    <w:rsid w:val="000B3D15"/>
    <w:rsid w:val="000C6927"/>
    <w:rsid w:val="000E0415"/>
    <w:rsid w:val="000F7715"/>
    <w:rsid w:val="00146D13"/>
    <w:rsid w:val="00156B99"/>
    <w:rsid w:val="00166124"/>
    <w:rsid w:val="00184DDA"/>
    <w:rsid w:val="001900CD"/>
    <w:rsid w:val="001A0452"/>
    <w:rsid w:val="001B4B04"/>
    <w:rsid w:val="001B5875"/>
    <w:rsid w:val="001C4B9C"/>
    <w:rsid w:val="001C6663"/>
    <w:rsid w:val="001C7895"/>
    <w:rsid w:val="001D086C"/>
    <w:rsid w:val="001D26DF"/>
    <w:rsid w:val="001F1599"/>
    <w:rsid w:val="001F19C4"/>
    <w:rsid w:val="002043F0"/>
    <w:rsid w:val="00211E0B"/>
    <w:rsid w:val="00232575"/>
    <w:rsid w:val="00247258"/>
    <w:rsid w:val="00257CAC"/>
    <w:rsid w:val="002669F3"/>
    <w:rsid w:val="0027237A"/>
    <w:rsid w:val="002974E9"/>
    <w:rsid w:val="002A306B"/>
    <w:rsid w:val="002A7F94"/>
    <w:rsid w:val="002B109A"/>
    <w:rsid w:val="002B422D"/>
    <w:rsid w:val="002C6D45"/>
    <w:rsid w:val="002D6E53"/>
    <w:rsid w:val="002F046D"/>
    <w:rsid w:val="002F3023"/>
    <w:rsid w:val="00301764"/>
    <w:rsid w:val="003229D8"/>
    <w:rsid w:val="003359CD"/>
    <w:rsid w:val="00336C97"/>
    <w:rsid w:val="00337F88"/>
    <w:rsid w:val="00342432"/>
    <w:rsid w:val="0035223F"/>
    <w:rsid w:val="00352D4B"/>
    <w:rsid w:val="0035638C"/>
    <w:rsid w:val="003A44BA"/>
    <w:rsid w:val="003A46BB"/>
    <w:rsid w:val="003A4EC7"/>
    <w:rsid w:val="003A7295"/>
    <w:rsid w:val="003B1F60"/>
    <w:rsid w:val="003C16CA"/>
    <w:rsid w:val="003C2CC4"/>
    <w:rsid w:val="003D4B23"/>
    <w:rsid w:val="003E278A"/>
    <w:rsid w:val="003E2890"/>
    <w:rsid w:val="003F6ACB"/>
    <w:rsid w:val="00413520"/>
    <w:rsid w:val="004325CB"/>
    <w:rsid w:val="00440A07"/>
    <w:rsid w:val="00462880"/>
    <w:rsid w:val="0046625E"/>
    <w:rsid w:val="00476F24"/>
    <w:rsid w:val="004A5D33"/>
    <w:rsid w:val="004A5DB7"/>
    <w:rsid w:val="004C55B0"/>
    <w:rsid w:val="004F6BA0"/>
    <w:rsid w:val="005011D2"/>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2E42"/>
    <w:rsid w:val="0074533B"/>
    <w:rsid w:val="007643BC"/>
    <w:rsid w:val="007806E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702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2B8B"/>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0EBF"/>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C599A"/>
    <w:rsid w:val="00CD46F5"/>
    <w:rsid w:val="00CE4A8F"/>
    <w:rsid w:val="00CF071D"/>
    <w:rsid w:val="00D0123D"/>
    <w:rsid w:val="00D15B04"/>
    <w:rsid w:val="00D2031B"/>
    <w:rsid w:val="00D25FE2"/>
    <w:rsid w:val="00D37DA9"/>
    <w:rsid w:val="00D406A7"/>
    <w:rsid w:val="00D43252"/>
    <w:rsid w:val="00D44D86"/>
    <w:rsid w:val="00D45300"/>
    <w:rsid w:val="00D50B7D"/>
    <w:rsid w:val="00D52012"/>
    <w:rsid w:val="00D704E5"/>
    <w:rsid w:val="00D72727"/>
    <w:rsid w:val="00D85DC8"/>
    <w:rsid w:val="00D978C6"/>
    <w:rsid w:val="00DA0956"/>
    <w:rsid w:val="00DA2690"/>
    <w:rsid w:val="00DA357F"/>
    <w:rsid w:val="00DA3E12"/>
    <w:rsid w:val="00DC18AD"/>
    <w:rsid w:val="00DD7794"/>
    <w:rsid w:val="00DF7CAE"/>
    <w:rsid w:val="00E16A35"/>
    <w:rsid w:val="00E423C0"/>
    <w:rsid w:val="00E6414C"/>
    <w:rsid w:val="00E7260F"/>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4395C"/>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95546"/>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E57D-95CF-4CF0-8310-A70FFC72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499</Words>
  <Characters>2901</Characters>
  <Application>Microsoft Office Word</Application>
  <DocSecurity>0</DocSecurity>
  <Lines>42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 Guichard</cp:lastModifiedBy>
  <cp:revision>4</cp:revision>
  <cp:lastPrinted>2019-07-09T06:51:00Z</cp:lastPrinted>
  <dcterms:created xsi:type="dcterms:W3CDTF">2020-02-10T16:40:00Z</dcterms:created>
  <dcterms:modified xsi:type="dcterms:W3CDTF">2020-02-10T17:54:00Z</dcterms:modified>
</cp:coreProperties>
</file>