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E0F7A7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64FCC0" w14:textId="77777777" w:rsidR="00F35BAF" w:rsidRPr="00DB58B5" w:rsidRDefault="00F35BAF" w:rsidP="00D9421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41240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0FBE98" w14:textId="79A81CAA" w:rsidR="00F35BAF" w:rsidRPr="00DB58B5" w:rsidRDefault="00D94217" w:rsidP="00D94217">
            <w:pPr>
              <w:jc w:val="right"/>
            </w:pPr>
            <w:r w:rsidRPr="00D94217">
              <w:rPr>
                <w:sz w:val="40"/>
              </w:rPr>
              <w:t>ECE</w:t>
            </w:r>
            <w:r>
              <w:t>/TRANS/WP</w:t>
            </w:r>
            <w:r w:rsidR="001C5CCC" w:rsidRPr="001C5CCC">
              <w:t>.</w:t>
            </w:r>
            <w:r>
              <w:t>15/AC</w:t>
            </w:r>
            <w:r w:rsidR="001C5CCC" w:rsidRPr="001C5CCC">
              <w:t>.</w:t>
            </w:r>
            <w:r>
              <w:t>1/2024/25</w:t>
            </w:r>
          </w:p>
        </w:tc>
      </w:tr>
      <w:tr w:rsidR="00F35BAF" w:rsidRPr="00DB58B5" w14:paraId="0F4F3DD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DA691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CE918D9" wp14:editId="256B2B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FDC4B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877F26" w14:textId="328C8E65" w:rsidR="00F35BAF" w:rsidRDefault="00D9421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1C5CCC" w:rsidRPr="001C5CCC">
              <w:t>.</w:t>
            </w:r>
            <w:r>
              <w:t xml:space="preserve"> générale</w:t>
            </w:r>
          </w:p>
          <w:p w14:paraId="3BC73475" w14:textId="77777777" w:rsidR="00D94217" w:rsidRDefault="00D94217" w:rsidP="00D94217">
            <w:pPr>
              <w:spacing w:line="240" w:lineRule="exact"/>
            </w:pPr>
            <w:r>
              <w:t>29 décembre 2023</w:t>
            </w:r>
          </w:p>
          <w:p w14:paraId="40E8494F" w14:textId="77777777" w:rsidR="00D94217" w:rsidRDefault="00D94217" w:rsidP="00D94217">
            <w:pPr>
              <w:spacing w:line="240" w:lineRule="exact"/>
            </w:pPr>
            <w:r>
              <w:t>Français</w:t>
            </w:r>
          </w:p>
          <w:p w14:paraId="1570468D" w14:textId="05A88187" w:rsidR="00D94217" w:rsidRPr="00DB58B5" w:rsidRDefault="00D94217" w:rsidP="00D94217">
            <w:pPr>
              <w:spacing w:line="240" w:lineRule="exact"/>
            </w:pPr>
            <w:r>
              <w:t>Original : anglais</w:t>
            </w:r>
          </w:p>
        </w:tc>
      </w:tr>
    </w:tbl>
    <w:p w14:paraId="6E03C71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1FA2F8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69F0E7D" w14:textId="344F9C59" w:rsidR="00D94217" w:rsidRPr="00D94217" w:rsidRDefault="00D94217" w:rsidP="00D94217">
      <w:pPr>
        <w:spacing w:before="120"/>
        <w:rPr>
          <w:b/>
          <w:bCs/>
          <w:sz w:val="32"/>
          <w:szCs w:val="32"/>
          <w:lang w:val="fr-FR"/>
        </w:rPr>
      </w:pPr>
      <w:r w:rsidRPr="00D94217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D94217">
        <w:rPr>
          <w:b/>
          <w:bCs/>
          <w:sz w:val="24"/>
          <w:szCs w:val="24"/>
          <w:lang w:val="fr-FR"/>
        </w:rPr>
        <w:t>de marchandises dangereuses</w:t>
      </w:r>
    </w:p>
    <w:p w14:paraId="4EFBD848" w14:textId="3068E6B9" w:rsidR="00D94217" w:rsidRPr="007C34C1" w:rsidRDefault="00D94217" w:rsidP="00D94217">
      <w:pPr>
        <w:spacing w:before="120"/>
        <w:rPr>
          <w:b/>
          <w:lang w:val="fr-FR"/>
        </w:rPr>
      </w:pPr>
      <w:r>
        <w:rPr>
          <w:b/>
          <w:bCs/>
          <w:lang w:val="fr-FR"/>
        </w:rPr>
        <w:t xml:space="preserve">Réunion commune de la Commission d’experts du RID et du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Groupe de travail des transports de marchandises dangereuses</w:t>
      </w:r>
    </w:p>
    <w:p w14:paraId="2EA51A33" w14:textId="77777777" w:rsidR="00D94217" w:rsidRPr="007C34C1" w:rsidRDefault="00D94217" w:rsidP="00D94217">
      <w:pPr>
        <w:rPr>
          <w:lang w:val="fr-FR"/>
        </w:rPr>
      </w:pPr>
      <w:r>
        <w:rPr>
          <w:lang w:val="fr-FR"/>
        </w:rPr>
        <w:t>Berne, 25-28 mars 2024</w:t>
      </w:r>
    </w:p>
    <w:p w14:paraId="0EEADA6A" w14:textId="77777777" w:rsidR="00D94217" w:rsidRPr="007C34C1" w:rsidRDefault="00D94217" w:rsidP="00D94217">
      <w:pPr>
        <w:rPr>
          <w:lang w:val="fr-FR"/>
        </w:rPr>
      </w:pPr>
      <w:r>
        <w:rPr>
          <w:lang w:val="fr-FR"/>
        </w:rPr>
        <w:t>Point 5 a) de l’ordre du jour provisoire</w:t>
      </w:r>
    </w:p>
    <w:p w14:paraId="62C9DDB6" w14:textId="43681BF3" w:rsidR="00D94217" w:rsidRPr="007C34C1" w:rsidRDefault="00D94217" w:rsidP="00D9421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Propositions d’amendements au RID, à l’ADR et à l’ADN :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Questions en suspens</w:t>
      </w:r>
    </w:p>
    <w:p w14:paraId="754B7AB6" w14:textId="3C3C3ABB" w:rsidR="00D94217" w:rsidRPr="007C34C1" w:rsidRDefault="00D94217" w:rsidP="00D9421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Harmonisation du RID, de l’ADR et de l’ADN avec </w:t>
      </w:r>
      <w:r>
        <w:rPr>
          <w:lang w:val="fr-FR"/>
        </w:rPr>
        <w:br/>
      </w:r>
      <w:r>
        <w:rPr>
          <w:lang w:val="fr-FR"/>
        </w:rPr>
        <w:t xml:space="preserve">les Recommandations de l’ONU relatives au transport </w:t>
      </w:r>
      <w:r>
        <w:rPr>
          <w:lang w:val="fr-FR"/>
        </w:rPr>
        <w:br/>
      </w:r>
      <w:r>
        <w:rPr>
          <w:lang w:val="fr-FR"/>
        </w:rPr>
        <w:t>des marchandises dangereuses (Règlement type)</w:t>
      </w:r>
    </w:p>
    <w:p w14:paraId="6BAF9206" w14:textId="6593D7C8" w:rsidR="00D94217" w:rsidRPr="007C34C1" w:rsidRDefault="00D94217" w:rsidP="00D9421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Pr="00D94217">
        <w:rPr>
          <w:rStyle w:val="Appelnotedebasdep"/>
          <w:b w:val="0"/>
          <w:bCs/>
          <w:sz w:val="20"/>
          <w:szCs w:val="22"/>
          <w:vertAlign w:val="baseline"/>
          <w:lang w:val="fr-FR"/>
        </w:rPr>
        <w:footnoteReference w:customMarkFollows="1" w:id="2"/>
        <w:t>*</w:t>
      </w:r>
      <w:r w:rsidRPr="00D94217">
        <w:rPr>
          <w:b w:val="0"/>
          <w:bCs/>
          <w:sz w:val="20"/>
          <w:szCs w:val="16"/>
          <w:vertAlign w:val="superscript"/>
          <w:lang w:val="fr-FR"/>
        </w:rPr>
        <w:t xml:space="preserve">, </w:t>
      </w:r>
      <w:r w:rsidRPr="00D94217">
        <w:rPr>
          <w:rStyle w:val="Appelnotedebasdep"/>
          <w:b w:val="0"/>
          <w:bCs/>
          <w:sz w:val="20"/>
          <w:szCs w:val="22"/>
          <w:vertAlign w:val="baseline"/>
          <w:lang w:val="fr-FR"/>
        </w:rPr>
        <w:footnoteReference w:customMarkFollows="1" w:id="3"/>
        <w:t>**</w:t>
      </w:r>
    </w:p>
    <w:p w14:paraId="4981DE66" w14:textId="0263E2E7" w:rsidR="00D94217" w:rsidRPr="007C34C1" w:rsidRDefault="00D94217" w:rsidP="00D94217">
      <w:pPr>
        <w:pStyle w:val="HChG"/>
        <w:rPr>
          <w:lang w:val="fr-FR"/>
        </w:rPr>
      </w:pPr>
      <w:r>
        <w:rPr>
          <w:lang w:val="fr-FR"/>
        </w:rPr>
        <w:tab/>
        <w:t>I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Introduction</w:t>
      </w:r>
    </w:p>
    <w:p w14:paraId="163DD064" w14:textId="62BB326B" w:rsidR="00D94217" w:rsidRPr="007C34C1" w:rsidRDefault="00D94217" w:rsidP="00D94217">
      <w:pPr>
        <w:pStyle w:val="SingleTxtG"/>
        <w:rPr>
          <w:rFonts w:eastAsia="DengXian"/>
          <w:lang w:val="fr-FR"/>
        </w:rPr>
      </w:pP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Pendant l’élaboration des propositions visant à transposer dans le RID, l’ADR et l’ADN les modifications apportées à la vingt-deuxième édition révisée du Règlement type, le Groupe de travail spécial de l’harmonisation des Règlements RID/ADR/ADN avec les Recommandations de l’ONU relatives au transport des marchandises dangereuses a recensé certains amendements de conséquence qu’il pourrait être nécessaire d’apporter au Règlement type et aux Règlements RID/ADR/ADN</w:t>
      </w:r>
      <w:r w:rsidR="001C5CCC" w:rsidRPr="001C5CCC">
        <w:rPr>
          <w:lang w:val="fr-FR"/>
        </w:rPr>
        <w:t>.</w:t>
      </w:r>
    </w:p>
    <w:p w14:paraId="5C703DEE" w14:textId="2602389F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Ces amendements ont été examinés à la soixante-deuxième session du Sous-Comité d’experts du transport des marchandises dangereuses, à la lumière du document informel INF</w:t>
      </w:r>
      <w:r w:rsidR="001C5CCC" w:rsidRPr="001C5CCC">
        <w:rPr>
          <w:lang w:val="fr-FR"/>
        </w:rPr>
        <w:t>.</w:t>
      </w:r>
      <w:r>
        <w:rPr>
          <w:lang w:val="fr-FR"/>
        </w:rPr>
        <w:t>13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La plupart d’entre eux ont été jugés comme étant d’ordre rédactionnel et ont été adoptés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Ils ont déjà été pris en compte dans les projets d’amendements au RID, à l’ADR et à l’ADN adoptés par la Réunion commune qui doivent entrer en vigueur au 1</w:t>
      </w:r>
      <w:r>
        <w:rPr>
          <w:vertAlign w:val="superscript"/>
          <w:lang w:val="fr-FR"/>
        </w:rPr>
        <w:t>er</w:t>
      </w:r>
      <w:r>
        <w:rPr>
          <w:lang w:val="fr-FR"/>
        </w:rPr>
        <w:t> janvier 2025 (voir ECE/TRANS/WP</w:t>
      </w:r>
      <w:r w:rsidR="001C5CCC" w:rsidRPr="001C5CCC">
        <w:rPr>
          <w:lang w:val="fr-FR"/>
        </w:rPr>
        <w:t>.</w:t>
      </w:r>
      <w:r>
        <w:rPr>
          <w:lang w:val="fr-FR"/>
        </w:rPr>
        <w:t>15/AC</w:t>
      </w:r>
      <w:r w:rsidR="001C5CCC" w:rsidRPr="001C5CCC">
        <w:rPr>
          <w:lang w:val="fr-FR"/>
        </w:rPr>
        <w:t>.</w:t>
      </w:r>
      <w:r>
        <w:rPr>
          <w:lang w:val="fr-FR"/>
        </w:rPr>
        <w:t>1/170, sixième partie et annexe II)</w:t>
      </w:r>
      <w:r w:rsidR="001C5CCC" w:rsidRPr="001C5CCC">
        <w:rPr>
          <w:lang w:val="fr-FR"/>
        </w:rPr>
        <w:t>.</w:t>
      </w:r>
    </w:p>
    <w:p w14:paraId="5904B6BD" w14:textId="428AA28C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3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Le Sous-Comité a estimé que les modifications qu’il était proposé d’apporter aux 2</w:t>
      </w:r>
      <w:r w:rsidR="001C5CCC" w:rsidRPr="001C5CCC">
        <w:rPr>
          <w:lang w:val="fr-FR"/>
        </w:rPr>
        <w:t>.</w:t>
      </w:r>
      <w:r>
        <w:rPr>
          <w:lang w:val="fr-FR"/>
        </w:rPr>
        <w:t>0</w:t>
      </w:r>
      <w:r w:rsidR="001C5CCC" w:rsidRPr="001C5CCC">
        <w:rPr>
          <w:lang w:val="fr-FR"/>
        </w:rPr>
        <w:t>.</w:t>
      </w: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Pr="000C108D">
        <w:rPr>
          <w:lang w:val="fr-FR"/>
        </w:rPr>
        <w:t xml:space="preserve"> (2</w:t>
      </w:r>
      <w:r w:rsidR="001C5CCC" w:rsidRPr="001C5CCC">
        <w:rPr>
          <w:lang w:val="fr-FR"/>
        </w:rPr>
        <w:t>.</w:t>
      </w:r>
      <w:r w:rsidRPr="000C108D">
        <w:rPr>
          <w:lang w:val="fr-FR"/>
        </w:rPr>
        <w:t>1</w:t>
      </w:r>
      <w:r w:rsidR="001C5CCC" w:rsidRPr="001C5CCC">
        <w:rPr>
          <w:lang w:val="fr-FR"/>
        </w:rPr>
        <w:t>.</w:t>
      </w:r>
      <w:r w:rsidRPr="000C108D">
        <w:rPr>
          <w:lang w:val="fr-FR"/>
        </w:rPr>
        <w:t>5</w:t>
      </w:r>
      <w:r w:rsidR="001C5CCC" w:rsidRPr="001C5CCC">
        <w:rPr>
          <w:lang w:val="fr-FR"/>
        </w:rPr>
        <w:t>.</w:t>
      </w:r>
      <w:r w:rsidRPr="000C108D">
        <w:rPr>
          <w:lang w:val="fr-FR"/>
        </w:rPr>
        <w:t>2 du RID</w:t>
      </w:r>
      <w:r>
        <w:rPr>
          <w:lang w:val="fr-FR"/>
        </w:rPr>
        <w:t>, de l’</w:t>
      </w:r>
      <w:r w:rsidRPr="000C108D">
        <w:rPr>
          <w:lang w:val="fr-FR"/>
        </w:rPr>
        <w:t>AD</w:t>
      </w:r>
      <w:r>
        <w:rPr>
          <w:lang w:val="fr-FR"/>
        </w:rPr>
        <w:t>R et de l’</w:t>
      </w:r>
      <w:r w:rsidRPr="000C108D">
        <w:rPr>
          <w:lang w:val="fr-FR"/>
        </w:rPr>
        <w:t>ADN)</w:t>
      </w:r>
      <w:r>
        <w:rPr>
          <w:lang w:val="fr-FR"/>
        </w:rPr>
        <w:t xml:space="preserve">, P006 et LP03 n’étaient pas d’ordre rédactionnel puisqu’il était question d’appliquer aux objets contenant des batteries </w:t>
      </w:r>
      <w:r w:rsidRPr="000C108D">
        <w:rPr>
          <w:lang w:val="fr-FR"/>
        </w:rPr>
        <w:t xml:space="preserve">au sodium ionique </w:t>
      </w:r>
      <w:r>
        <w:rPr>
          <w:lang w:val="fr-FR"/>
        </w:rPr>
        <w:t>des dispositions relatives aux objets contenant des batteries au lithium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Il a été rappelé que l’idée de départ était d’appliquer les mêmes dispositions aux batteries au lithium et aux batteries </w:t>
      </w:r>
      <w:r w:rsidRPr="00C17713">
        <w:rPr>
          <w:lang w:val="fr-FR"/>
        </w:rPr>
        <w:t>au sodium ionique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Le Sous-Comité a décidé de passer en revue ces propositions à </w:t>
      </w:r>
      <w:r>
        <w:rPr>
          <w:lang w:val="fr-FR"/>
        </w:rPr>
        <w:lastRenderedPageBreak/>
        <w:t>sa soixante-troisième session (27 novembre-6 décembre 2023) sur la base d’un document officiel</w:t>
      </w:r>
      <w:r w:rsidR="001C5CCC" w:rsidRPr="001C5CCC">
        <w:rPr>
          <w:lang w:val="fr-FR"/>
        </w:rPr>
        <w:t>.</w:t>
      </w:r>
    </w:p>
    <w:p w14:paraId="24E3645A" w14:textId="722F3F2A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4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À sa soixante-troisième session, le Sous-Comité a donc examiné le document ST/SG/AC</w:t>
      </w:r>
      <w:r w:rsidR="001C5CCC" w:rsidRPr="001C5CCC">
        <w:rPr>
          <w:lang w:val="fr-FR"/>
        </w:rPr>
        <w:t>.</w:t>
      </w:r>
      <w:r>
        <w:rPr>
          <w:lang w:val="fr-FR"/>
        </w:rPr>
        <w:t>10/C</w:t>
      </w:r>
      <w:r w:rsidR="001C5CCC" w:rsidRPr="001C5CCC">
        <w:rPr>
          <w:lang w:val="fr-FR"/>
        </w:rPr>
        <w:t>.</w:t>
      </w:r>
      <w:r>
        <w:rPr>
          <w:lang w:val="fr-FR"/>
        </w:rPr>
        <w:t>3/2023/57, établi par le secrétariat sur cette question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Il a confirmé que les dispositions des 2</w:t>
      </w:r>
      <w:r w:rsidR="001C5CCC" w:rsidRPr="001C5CCC">
        <w:rPr>
          <w:lang w:val="fr-FR"/>
        </w:rPr>
        <w:t>.</w:t>
      </w:r>
      <w:r>
        <w:rPr>
          <w:lang w:val="fr-FR"/>
        </w:rPr>
        <w:t>0</w:t>
      </w:r>
      <w:r w:rsidR="001C5CCC" w:rsidRPr="001C5CCC">
        <w:rPr>
          <w:lang w:val="fr-FR"/>
        </w:rPr>
        <w:t>.</w:t>
      </w: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2, P006 et LP03 concernant les objets contenant des batteries au lithium s’appliquaient également aux objets contenant des batteries au sodium ionique, et adopté les modifications correspondantes qui ont été apportées à la vingt-troisième édition révisée du Règlement type (voir ST/SG/AC</w:t>
      </w:r>
      <w:r w:rsidR="001C5CCC" w:rsidRPr="001C5CCC">
        <w:rPr>
          <w:lang w:val="fr-FR"/>
        </w:rPr>
        <w:t>.</w:t>
      </w:r>
      <w:r>
        <w:rPr>
          <w:lang w:val="fr-FR"/>
        </w:rPr>
        <w:t>10/C</w:t>
      </w:r>
      <w:r w:rsidR="001C5CCC" w:rsidRPr="001C5CCC">
        <w:rPr>
          <w:lang w:val="fr-FR"/>
        </w:rPr>
        <w:t>.</w:t>
      </w:r>
      <w:r>
        <w:rPr>
          <w:lang w:val="fr-FR"/>
        </w:rPr>
        <w:t>3/126 et Add</w:t>
      </w:r>
      <w:r w:rsidR="001C5CCC" w:rsidRPr="001C5CCC">
        <w:rPr>
          <w:lang w:val="fr-FR"/>
        </w:rPr>
        <w:t>.</w:t>
      </w:r>
      <w:r>
        <w:rPr>
          <w:lang w:val="fr-FR"/>
        </w:rPr>
        <w:t>1)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Ces modifications, qui concernent les nouveaux textes relatifs aux batteries au sodium ionique adoptés par la Réunion commune qui doivent entrer en vigueur au 1</w:t>
      </w:r>
      <w:r>
        <w:rPr>
          <w:vertAlign w:val="superscript"/>
          <w:lang w:val="fr-FR"/>
        </w:rPr>
        <w:t>er</w:t>
      </w:r>
      <w:r>
        <w:rPr>
          <w:lang w:val="fr-FR"/>
        </w:rPr>
        <w:t> janvier 2025, sont nécessaires pour assurer la cohérence des textes adoptés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Par conséquent, la Réunion commune souhaitera peut-être les adopter en vue d’une entrée en vigueur au 1</w:t>
      </w:r>
      <w:r w:rsidRPr="00994FC3">
        <w:rPr>
          <w:vertAlign w:val="superscript"/>
          <w:lang w:val="fr-FR"/>
        </w:rPr>
        <w:t>er</w:t>
      </w:r>
      <w:r>
        <w:rPr>
          <w:lang w:val="fr-FR"/>
        </w:rPr>
        <w:t> janvier 2025 également, sans attendre que s’achève le cycle d’harmonisation avec la vingt-quatrième édition révisée du Règlement type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</w:t>
      </w:r>
    </w:p>
    <w:p w14:paraId="428D958E" w14:textId="0856F05E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Le Sous-Comité a, en outre, adopté les propositions du secrétariat visant à simplifier, au chapitre 5</w:t>
      </w:r>
      <w:r w:rsidR="001C5CCC" w:rsidRPr="001C5CCC">
        <w:rPr>
          <w:lang w:val="fr-FR"/>
        </w:rPr>
        <w:t>.</w:t>
      </w:r>
      <w:r>
        <w:rPr>
          <w:lang w:val="fr-FR"/>
        </w:rPr>
        <w:t>2, la dénomination de la marque pour les batteries et piles au lithium ou au sodium, pour la remplacer par « marque pour les batteries »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Ces modifications sont présentées séparément étant donné qu’elles ne sont pas nécessaires à la cohérence des textes adoptés qui doivent entrer en vigueur au 1</w:t>
      </w:r>
      <w:r>
        <w:rPr>
          <w:vertAlign w:val="superscript"/>
          <w:lang w:val="fr-FR"/>
        </w:rPr>
        <w:t>er</w:t>
      </w:r>
      <w:r>
        <w:rPr>
          <w:lang w:val="fr-FR"/>
        </w:rPr>
        <w:t> janvier 2027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La Réunion commune souhaitera peut-être reporter l’adoption de ces modifications en vue d’une entrée en vigueur au 1</w:t>
      </w:r>
      <w:r>
        <w:rPr>
          <w:vertAlign w:val="superscript"/>
          <w:lang w:val="fr-FR"/>
        </w:rPr>
        <w:t>er</w:t>
      </w:r>
      <w:r>
        <w:rPr>
          <w:lang w:val="fr-FR"/>
        </w:rPr>
        <w:t> janvier 2027, qui coïnciderait avec le cycle d’harmonisation avec la vingt-quatrième édition révisée du Règlement type</w:t>
      </w:r>
      <w:r w:rsidR="001C5CCC" w:rsidRPr="001C5CCC">
        <w:rPr>
          <w:lang w:val="fr-FR"/>
        </w:rPr>
        <w:t>.</w:t>
      </w:r>
    </w:p>
    <w:p w14:paraId="4CAF3FA7" w14:textId="5F85CF67" w:rsidR="00D94217" w:rsidRPr="007C34C1" w:rsidRDefault="00D94217" w:rsidP="00D94217">
      <w:pPr>
        <w:pStyle w:val="HChG"/>
        <w:rPr>
          <w:lang w:val="fr-FR"/>
        </w:rPr>
      </w:pPr>
      <w:r>
        <w:rPr>
          <w:lang w:val="fr-FR"/>
        </w:rPr>
        <w:tab/>
        <w:t>II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Propositions d’amendements aux 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2, P006 et LP03</w:t>
      </w:r>
    </w:p>
    <w:p w14:paraId="7A29C60D" w14:textId="2B0A450F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6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Modifier le 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 tel qu’adopté par la Réunion commune à sa session d’automne 2023 (voir ECE/TRANS/WP</w:t>
      </w:r>
      <w:r w:rsidR="001C5CCC" w:rsidRPr="001C5CCC">
        <w:rPr>
          <w:lang w:val="fr-FR"/>
        </w:rPr>
        <w:t>.</w:t>
      </w:r>
      <w:r>
        <w:rPr>
          <w:lang w:val="fr-FR"/>
        </w:rPr>
        <w:t>15/AC</w:t>
      </w:r>
      <w:r w:rsidR="001C5CCC" w:rsidRPr="001C5CCC">
        <w:rPr>
          <w:lang w:val="fr-FR"/>
        </w:rPr>
        <w:t>.</w:t>
      </w:r>
      <w:r>
        <w:rPr>
          <w:lang w:val="fr-FR"/>
        </w:rPr>
        <w:t>1/170, sixième partie et annexe II), comme suit</w:t>
      </w:r>
      <w:r w:rsidR="001C5CCC">
        <w:rPr>
          <w:lang w:val="fr-FR"/>
        </w:rPr>
        <w:t xml:space="preserve"> </w:t>
      </w:r>
      <w:r>
        <w:rPr>
          <w:lang w:val="fr-FR"/>
        </w:rPr>
        <w:t xml:space="preserve">(les parties nouvelles figurent en caractères gras) : </w:t>
      </w:r>
    </w:p>
    <w:p w14:paraId="2F9FDF81" w14:textId="296499B7" w:rsidR="00D94217" w:rsidRPr="007C34C1" w:rsidRDefault="00D94217" w:rsidP="00D94217">
      <w:pPr>
        <w:spacing w:after="120"/>
        <w:ind w:left="2268" w:right="1134" w:hanging="1134"/>
        <w:jc w:val="both"/>
        <w:rPr>
          <w:rFonts w:eastAsia="SimSun"/>
          <w:lang w:val="fr-FR"/>
        </w:rPr>
      </w:pPr>
      <w:r>
        <w:rPr>
          <w:lang w:val="fr-FR"/>
        </w:rPr>
        <w:t>« 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Ces objets peuvent en outre contenir des piles ou batteries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Les piles et batteries au lithium </w:t>
      </w:r>
      <w:r>
        <w:rPr>
          <w:b/>
          <w:bCs/>
          <w:lang w:val="fr-FR"/>
        </w:rPr>
        <w:t>métal, au lithium ionique et au sodium ionique</w:t>
      </w:r>
      <w:r>
        <w:rPr>
          <w:lang w:val="fr-FR"/>
        </w:rPr>
        <w:t xml:space="preserve"> qui font partie intégrante d’un objet doivent être conformes à un type dont il a été démontré qu’il satisfait aux prescriptions en matière d’épreuves du Manuel d’épreuves et de critères, troisième partie, sous-section 38</w:t>
      </w:r>
      <w:r w:rsidR="001C5CCC" w:rsidRPr="001C5CCC">
        <w:rPr>
          <w:lang w:val="fr-FR"/>
        </w:rPr>
        <w:t>.</w:t>
      </w:r>
      <w:r>
        <w:rPr>
          <w:lang w:val="fr-FR"/>
        </w:rPr>
        <w:t>3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Pour les objets contenant des prototypes de préproduction de piles ou batteries au lithium </w:t>
      </w:r>
      <w:r>
        <w:rPr>
          <w:b/>
          <w:bCs/>
          <w:lang w:val="fr-FR"/>
        </w:rPr>
        <w:t>métal, au lithium ionique ou au sodium ionique</w:t>
      </w:r>
      <w:r>
        <w:rPr>
          <w:lang w:val="fr-FR"/>
        </w:rPr>
        <w:t xml:space="preserve">, transportés pour être éprouvés, ou pour les objets contenant des piles ou batteries au lithium </w:t>
      </w:r>
      <w:r>
        <w:rPr>
          <w:b/>
          <w:bCs/>
          <w:lang w:val="fr-FR"/>
        </w:rPr>
        <w:t>métal, au lithium ionique ou au sodium ionique</w:t>
      </w:r>
      <w:r>
        <w:rPr>
          <w:lang w:val="fr-FR"/>
        </w:rPr>
        <w:t>, de séries de production d’au plus 100 piles ou batteries, les prescriptions de la disposition spéciale 310 du chapitre 3</w:t>
      </w:r>
      <w:r w:rsidR="001C5CCC" w:rsidRPr="001C5CCC">
        <w:rPr>
          <w:lang w:val="fr-FR"/>
        </w:rPr>
        <w:t>.</w:t>
      </w:r>
      <w:r>
        <w:rPr>
          <w:lang w:val="fr-FR"/>
        </w:rPr>
        <w:t>3 s’appliquent</w:t>
      </w:r>
      <w:r w:rsidR="001C5CCC" w:rsidRPr="001C5CCC">
        <w:rPr>
          <w:lang w:val="fr-FR"/>
        </w:rPr>
        <w:t>.</w:t>
      </w:r>
      <w:r>
        <w:rPr>
          <w:lang w:val="fr-FR"/>
        </w:rPr>
        <w:t> »</w:t>
      </w:r>
      <w:r w:rsidR="001C5CCC" w:rsidRPr="001C5CCC">
        <w:rPr>
          <w:lang w:val="fr-FR"/>
        </w:rPr>
        <w:t>.</w:t>
      </w:r>
    </w:p>
    <w:p w14:paraId="234E183B" w14:textId="3043C110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7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Modifier le premier paragraphe du nouveau point 5) au 4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4</w:t>
      </w:r>
      <w:r w:rsidR="001C5CCC" w:rsidRPr="001C5CCC">
        <w:rPr>
          <w:lang w:val="fr-FR"/>
        </w:rPr>
        <w:t>.</w:t>
      </w:r>
      <w:r>
        <w:rPr>
          <w:lang w:val="fr-FR"/>
        </w:rPr>
        <w:t>1, instruction d’emballage P006, tel qu’adopté par la Réunion commune à sa session d’automne 2023 (voir ECE/TRANS/WP</w:t>
      </w:r>
      <w:r w:rsidR="001C5CCC" w:rsidRPr="001C5CCC">
        <w:rPr>
          <w:lang w:val="fr-FR"/>
        </w:rPr>
        <w:t>.</w:t>
      </w:r>
      <w:r>
        <w:rPr>
          <w:lang w:val="fr-FR"/>
        </w:rPr>
        <w:t>15/AC</w:t>
      </w:r>
      <w:r w:rsidR="001C5CCC" w:rsidRPr="001C5CCC">
        <w:rPr>
          <w:lang w:val="fr-FR"/>
        </w:rPr>
        <w:t>.</w:t>
      </w:r>
      <w:r>
        <w:rPr>
          <w:lang w:val="fr-FR"/>
        </w:rPr>
        <w:t>1/170, sixième partie et annexe</w:t>
      </w:r>
      <w:r w:rsidR="00AF62B2">
        <w:rPr>
          <w:lang w:val="fr-FR"/>
        </w:rPr>
        <w:t> </w:t>
      </w:r>
      <w:r>
        <w:rPr>
          <w:lang w:val="fr-FR"/>
        </w:rPr>
        <w:t xml:space="preserve">II), comme suit (les parties nouvelles figurent en caractères gras) : </w:t>
      </w:r>
    </w:p>
    <w:p w14:paraId="0604440A" w14:textId="76FE750D" w:rsidR="00D94217" w:rsidRPr="007C34C1" w:rsidRDefault="00D94217" w:rsidP="00D94217">
      <w:pPr>
        <w:spacing w:after="120"/>
        <w:ind w:left="1701" w:right="1134" w:hanging="567"/>
        <w:jc w:val="both"/>
        <w:rPr>
          <w:rFonts w:eastAsia="SimSun"/>
          <w:lang w:val="fr-FR"/>
        </w:rPr>
      </w:pPr>
      <w:r>
        <w:rPr>
          <w:lang w:val="fr-FR"/>
        </w:rPr>
        <w:t>« 5)</w:t>
      </w:r>
      <w:r>
        <w:rPr>
          <w:lang w:val="fr-FR"/>
        </w:rPr>
        <w:tab/>
        <w:t xml:space="preserve">Les objets contenant des prototypes de préproduction de piles ou batteries au lithium </w:t>
      </w:r>
      <w:r>
        <w:rPr>
          <w:b/>
          <w:bCs/>
          <w:lang w:val="fr-FR"/>
        </w:rPr>
        <w:t>ou de piles ou batteries au sodium ionique</w:t>
      </w:r>
      <w:r>
        <w:rPr>
          <w:lang w:val="fr-FR"/>
        </w:rPr>
        <w:t xml:space="preserve"> lorsque ces prototypes sont transportés pour être éprouvés, ou des piles ou batteries au lithium </w:t>
      </w:r>
      <w:r>
        <w:rPr>
          <w:b/>
          <w:bCs/>
          <w:lang w:val="fr-FR"/>
        </w:rPr>
        <w:t>ou des piles ou batteries au sodium ionique</w:t>
      </w:r>
      <w:r>
        <w:rPr>
          <w:lang w:val="fr-FR"/>
        </w:rPr>
        <w:t xml:space="preserve"> produites pour une série comprenant au plus 100 piles ou batteries, d’un type dont il n’a pas été démontré qu’il satisfait aux prescriptions en matière d’épreuves de la sous-section 38</w:t>
      </w:r>
      <w:r w:rsidR="001C5CCC" w:rsidRPr="001C5CCC">
        <w:rPr>
          <w:lang w:val="fr-FR"/>
        </w:rPr>
        <w:t>.</w:t>
      </w:r>
      <w:r>
        <w:rPr>
          <w:lang w:val="fr-FR"/>
        </w:rPr>
        <w:t>3 de la troisième partie du Manuel d’épreuves et de critères doivent en outre satisfaire aux prescriptions suivantes : »</w:t>
      </w:r>
      <w:r w:rsidR="001C5CCC" w:rsidRPr="001C5CCC">
        <w:rPr>
          <w:lang w:val="fr-FR"/>
        </w:rPr>
        <w:t>.</w:t>
      </w:r>
    </w:p>
    <w:p w14:paraId="6CB2D460" w14:textId="16E4413B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8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Modifier le premier paragraphe du nouveau point 4) au 4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4</w:t>
      </w:r>
      <w:r w:rsidR="001C5CCC" w:rsidRPr="001C5CCC">
        <w:rPr>
          <w:lang w:val="fr-FR"/>
        </w:rPr>
        <w:t>.</w:t>
      </w:r>
      <w:r>
        <w:rPr>
          <w:lang w:val="fr-FR"/>
        </w:rPr>
        <w:t>3, instruction d’emballage LP03, tel qu’adopté par la Réunion commune à sa session d’automne 2023 (voir ECE/TRANS/WP</w:t>
      </w:r>
      <w:r w:rsidR="001C5CCC" w:rsidRPr="001C5CCC">
        <w:rPr>
          <w:lang w:val="fr-FR"/>
        </w:rPr>
        <w:t>.</w:t>
      </w:r>
      <w:r>
        <w:rPr>
          <w:lang w:val="fr-FR"/>
        </w:rPr>
        <w:t>15/AC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1/170, sixième partie et annexe II), comme suit (les parties nouvelles figurent en caractères gras) : </w:t>
      </w:r>
    </w:p>
    <w:p w14:paraId="238A4F2D" w14:textId="0BD92786" w:rsidR="00D94217" w:rsidRPr="007C34C1" w:rsidRDefault="00D94217" w:rsidP="00D94217">
      <w:pPr>
        <w:spacing w:after="120"/>
        <w:ind w:left="1701" w:right="1134" w:hanging="567"/>
        <w:jc w:val="both"/>
        <w:rPr>
          <w:rFonts w:eastAsia="SimSun"/>
          <w:lang w:val="fr-FR"/>
        </w:rPr>
      </w:pPr>
      <w:r>
        <w:rPr>
          <w:lang w:val="fr-FR"/>
        </w:rPr>
        <w:t>« 4)</w:t>
      </w:r>
      <w:r>
        <w:rPr>
          <w:lang w:val="fr-FR"/>
        </w:rPr>
        <w:tab/>
        <w:t xml:space="preserve">Les objets contenant des prototypes de préproduction de piles ou batteries au lithium </w:t>
      </w:r>
      <w:r>
        <w:rPr>
          <w:b/>
          <w:bCs/>
          <w:lang w:val="fr-FR"/>
        </w:rPr>
        <w:t>ou de piles ou batteries au sodium ionique</w:t>
      </w:r>
      <w:r>
        <w:rPr>
          <w:lang w:val="fr-FR"/>
        </w:rPr>
        <w:t xml:space="preserve"> lorsque ces prototypes sont transportés pour être éprouvés, ou des piles ou batteries au lithium </w:t>
      </w:r>
      <w:r>
        <w:rPr>
          <w:b/>
          <w:bCs/>
          <w:lang w:val="fr-FR"/>
        </w:rPr>
        <w:t xml:space="preserve">ou des piles ou batteries au </w:t>
      </w:r>
      <w:r>
        <w:rPr>
          <w:b/>
          <w:bCs/>
          <w:lang w:val="fr-FR"/>
        </w:rPr>
        <w:lastRenderedPageBreak/>
        <w:t>sodium ionique</w:t>
      </w:r>
      <w:r>
        <w:rPr>
          <w:lang w:val="fr-FR"/>
        </w:rPr>
        <w:t xml:space="preserve"> produites pour une série comprenant au plus 100 piles ou batteries, d’un type dont il n’a pas été démontré qu’il satisfait aux prescriptions en matière d’épreuves de la sous-section 38</w:t>
      </w:r>
      <w:r w:rsidR="001C5CCC" w:rsidRPr="001C5CCC">
        <w:rPr>
          <w:lang w:val="fr-FR"/>
        </w:rPr>
        <w:t>.</w:t>
      </w:r>
      <w:r>
        <w:rPr>
          <w:lang w:val="fr-FR"/>
        </w:rPr>
        <w:t>3 de la troisième partie du Manuel d’épreuves et de critères doivent en outre satisfaire aux prescriptions suivantes :</w:t>
      </w:r>
      <w:bookmarkStart w:id="0" w:name="_Hlk133414700"/>
      <w:bookmarkEnd w:id="0"/>
      <w:r>
        <w:rPr>
          <w:lang w:val="fr-FR"/>
        </w:rPr>
        <w:t> »</w:t>
      </w:r>
      <w:r w:rsidR="001C5CCC" w:rsidRPr="001C5CCC">
        <w:rPr>
          <w:lang w:val="fr-FR"/>
        </w:rPr>
        <w:t>.</w:t>
      </w:r>
    </w:p>
    <w:p w14:paraId="0C0C4532" w14:textId="0C26F502" w:rsidR="00D94217" w:rsidRPr="007C34C1" w:rsidRDefault="00D94217" w:rsidP="00D94217">
      <w:pPr>
        <w:pStyle w:val="HChG"/>
        <w:rPr>
          <w:lang w:val="fr-FR"/>
        </w:rPr>
      </w:pPr>
      <w:r>
        <w:rPr>
          <w:lang w:val="fr-FR"/>
        </w:rPr>
        <w:tab/>
        <w:t>III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Proposition additionnelle visant à modifier la dénomination de la marque pour les batteries</w:t>
      </w:r>
    </w:p>
    <w:p w14:paraId="4DC74C74" w14:textId="0961432A" w:rsidR="00D94217" w:rsidRPr="007C34C1" w:rsidRDefault="00D94217" w:rsidP="00D94217">
      <w:pPr>
        <w:pStyle w:val="SingleTxtG"/>
        <w:rPr>
          <w:lang w:val="fr-FR"/>
        </w:rPr>
      </w:pPr>
      <w:r>
        <w:rPr>
          <w:lang w:val="fr-FR"/>
        </w:rPr>
        <w:t>9</w:t>
      </w:r>
      <w:r w:rsidR="001C5CCC" w:rsidRPr="001C5CCC">
        <w:rPr>
          <w:lang w:val="fr-FR"/>
        </w:rPr>
        <w:t>.</w:t>
      </w:r>
      <w:r>
        <w:rPr>
          <w:lang w:val="fr-FR"/>
        </w:rPr>
        <w:tab/>
        <w:t>Les présentes propositions d’amendements remplaceraient les amendements déjà adoptés par la Réunion concernant la mention « la marque pour les batteries au lithium ou batteries au sodium ionique » (voir ECE/TRANS/WP</w:t>
      </w:r>
      <w:r w:rsidR="001C5CCC" w:rsidRPr="001C5CCC">
        <w:rPr>
          <w:lang w:val="fr-FR"/>
        </w:rPr>
        <w:t>.</w:t>
      </w:r>
      <w:r>
        <w:rPr>
          <w:lang w:val="fr-FR"/>
        </w:rPr>
        <w:t>15/AC</w:t>
      </w:r>
      <w:r w:rsidR="001C5CCC" w:rsidRPr="001C5CCC">
        <w:rPr>
          <w:lang w:val="fr-FR"/>
        </w:rPr>
        <w:t>.</w:t>
      </w:r>
      <w:r>
        <w:rPr>
          <w:lang w:val="fr-FR"/>
        </w:rPr>
        <w:t>1/170, sixième partie et annexe</w:t>
      </w:r>
      <w:r>
        <w:rPr>
          <w:lang w:val="fr-FR"/>
        </w:rPr>
        <w:t> </w:t>
      </w:r>
      <w:r>
        <w:rPr>
          <w:lang w:val="fr-FR"/>
        </w:rPr>
        <w:t>II)</w:t>
      </w:r>
      <w:r w:rsidR="001C5CCC" w:rsidRPr="001C5CCC">
        <w:rPr>
          <w:lang w:val="fr-FR"/>
        </w:rPr>
        <w:t>.</w:t>
      </w:r>
    </w:p>
    <w:p w14:paraId="71CCEE4E" w14:textId="5E02BBEC" w:rsidR="00D94217" w:rsidRPr="007C34C1" w:rsidRDefault="00D94217" w:rsidP="00D94217">
      <w:pPr>
        <w:pStyle w:val="SingleTxtG"/>
        <w:rPr>
          <w:rFonts w:eastAsia="SimSun"/>
          <w:lang w:val="fr-FR"/>
        </w:rPr>
      </w:pPr>
      <w:r>
        <w:rPr>
          <w:lang w:val="fr-FR"/>
        </w:rPr>
        <w:t>3</w:t>
      </w:r>
      <w:r w:rsidR="001C5CCC" w:rsidRPr="001C5CCC">
        <w:rPr>
          <w:lang w:val="fr-FR"/>
        </w:rPr>
        <w:t>.</w:t>
      </w:r>
      <w:r>
        <w:rPr>
          <w:lang w:val="fr-FR"/>
        </w:rPr>
        <w:t>3</w:t>
      </w:r>
      <w:r w:rsidR="001C5CCC" w:rsidRPr="001C5CCC">
        <w:rPr>
          <w:lang w:val="fr-FR"/>
        </w:rPr>
        <w:t>.</w:t>
      </w:r>
      <w:r>
        <w:rPr>
          <w:lang w:val="fr-FR"/>
        </w:rPr>
        <w:t>1, DS 188, alinéa f) :</w:t>
      </w:r>
    </w:p>
    <w:p w14:paraId="5DDF2351" w14:textId="7DA2BFF5" w:rsidR="00D94217" w:rsidRPr="007C34C1" w:rsidRDefault="00D94217" w:rsidP="00D94217">
      <w:pPr>
        <w:spacing w:after="120"/>
        <w:ind w:left="2410" w:right="1134" w:hanging="1276"/>
        <w:jc w:val="both"/>
        <w:rPr>
          <w:rFonts w:eastAsia="SimSun"/>
          <w:lang w:val="fr-FR"/>
        </w:rPr>
      </w:pPr>
      <w:r>
        <w:rPr>
          <w:lang w:val="fr-FR"/>
        </w:rPr>
        <w:tab/>
        <w:t>- Dans la première phrase, remplacer «</w:t>
      </w:r>
      <w:r w:rsidR="001C5CCC">
        <w:rPr>
          <w:lang w:val="fr-FR"/>
        </w:rPr>
        <w:t> </w:t>
      </w:r>
      <w:r>
        <w:rPr>
          <w:lang w:val="fr-FR"/>
        </w:rPr>
        <w:t>marque de pile au lithium » par «</w:t>
      </w:r>
      <w:r>
        <w:rPr>
          <w:lang w:val="fr-FR"/>
        </w:rPr>
        <w:t> </w:t>
      </w:r>
      <w:r>
        <w:rPr>
          <w:lang w:val="fr-FR"/>
        </w:rPr>
        <w:t>marque pour les batteries</w:t>
      </w:r>
      <w:r w:rsidR="001C5CCC">
        <w:rPr>
          <w:lang w:val="fr-FR"/>
        </w:rPr>
        <w:t> </w:t>
      </w:r>
      <w:r>
        <w:rPr>
          <w:lang w:val="fr-FR"/>
        </w:rPr>
        <w:t>»</w:t>
      </w:r>
      <w:r w:rsidR="001C5CCC" w:rsidRPr="001C5CCC">
        <w:rPr>
          <w:lang w:val="fr-FR"/>
        </w:rPr>
        <w:t>.</w:t>
      </w:r>
    </w:p>
    <w:p w14:paraId="545AB35D" w14:textId="2A8F0FA0" w:rsidR="00D94217" w:rsidRPr="007C34C1" w:rsidRDefault="00D94217" w:rsidP="00D94217">
      <w:pPr>
        <w:spacing w:after="120"/>
        <w:ind w:left="2410" w:right="1134" w:hanging="1276"/>
        <w:jc w:val="both"/>
        <w:rPr>
          <w:rFonts w:eastAsia="SimSun"/>
          <w:lang w:val="fr-FR"/>
        </w:rPr>
      </w:pPr>
      <w:r>
        <w:rPr>
          <w:lang w:val="fr-FR"/>
        </w:rPr>
        <w:tab/>
        <w:t>- Dans le nota, remplacer « </w:t>
      </w:r>
      <w:r>
        <w:rPr>
          <w:i/>
          <w:iCs/>
          <w:lang w:val="fr-FR"/>
        </w:rPr>
        <w:t>(marque pour les piles au lithium)</w:t>
      </w:r>
      <w:r w:rsidR="001C5CCC">
        <w:rPr>
          <w:lang w:val="fr-FR"/>
        </w:rPr>
        <w:t> </w:t>
      </w:r>
      <w:r>
        <w:rPr>
          <w:lang w:val="fr-FR"/>
        </w:rPr>
        <w:t>» par «</w:t>
      </w:r>
      <w:r>
        <w:rPr>
          <w:lang w:val="fr-FR"/>
        </w:rPr>
        <w:t> </w:t>
      </w:r>
      <w:r>
        <w:rPr>
          <w:i/>
          <w:iCs/>
          <w:lang w:val="fr-FR"/>
        </w:rPr>
        <w:t>(marque pour les batteries)</w:t>
      </w:r>
      <w:r>
        <w:rPr>
          <w:lang w:val="fr-FR"/>
        </w:rPr>
        <w:t> </w:t>
      </w:r>
      <w:r w:rsidRPr="00C17713">
        <w:rPr>
          <w:lang w:val="fr-FR"/>
        </w:rPr>
        <w:t>»</w:t>
      </w:r>
      <w:r w:rsidR="001C5CCC" w:rsidRPr="001C5CCC">
        <w:rPr>
          <w:lang w:val="fr-FR"/>
        </w:rPr>
        <w:t>.</w:t>
      </w:r>
    </w:p>
    <w:p w14:paraId="369FE7EE" w14:textId="25E5FEF3" w:rsidR="00D94217" w:rsidRPr="007C34C1" w:rsidRDefault="00D94217" w:rsidP="00D94217">
      <w:pPr>
        <w:spacing w:after="120"/>
        <w:ind w:left="2410" w:right="1134" w:hanging="1276"/>
        <w:jc w:val="both"/>
        <w:rPr>
          <w:rFonts w:eastAsia="SimSun"/>
          <w:lang w:val="fr-FR"/>
        </w:rPr>
      </w:pPr>
      <w:r>
        <w:rPr>
          <w:lang w:val="fr-FR"/>
        </w:rPr>
        <w:tab/>
        <w:t>- Dans la première phrase</w:t>
      </w:r>
      <w:r w:rsidRPr="00994FC3">
        <w:rPr>
          <w:lang w:val="fr-FR"/>
        </w:rPr>
        <w:t xml:space="preserve"> du dernier paragraphe</w:t>
      </w:r>
      <w:r>
        <w:rPr>
          <w:lang w:val="fr-FR"/>
        </w:rPr>
        <w:t>, remplacer « marque de pile au lithium » par « marque pour les batteries »</w:t>
      </w:r>
      <w:r w:rsidR="001C5CCC" w:rsidRPr="001C5CCC">
        <w:rPr>
          <w:lang w:val="fr-FR"/>
        </w:rPr>
        <w:t>.</w:t>
      </w:r>
    </w:p>
    <w:p w14:paraId="2F915394" w14:textId="3774580C" w:rsidR="00D94217" w:rsidRPr="007C34C1" w:rsidRDefault="00D94217" w:rsidP="00D94217">
      <w:pPr>
        <w:spacing w:after="120"/>
        <w:ind w:left="2268" w:right="1134" w:hanging="1134"/>
        <w:jc w:val="both"/>
        <w:rPr>
          <w:rFonts w:eastAsia="SimSun"/>
          <w:lang w:val="fr-FR"/>
        </w:rPr>
      </w:pP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9</w:t>
      </w:r>
      <w:r>
        <w:rPr>
          <w:lang w:val="fr-FR"/>
        </w:rPr>
        <w:tab/>
        <w:t xml:space="preserve">Remplacer le titre par « </w:t>
      </w:r>
      <w:r>
        <w:rPr>
          <w:b/>
          <w:bCs/>
          <w:i/>
          <w:iCs/>
          <w:lang w:val="fr-FR"/>
        </w:rPr>
        <w:t>Marque pour les batteries</w:t>
      </w:r>
      <w:r>
        <w:rPr>
          <w:lang w:val="fr-FR"/>
        </w:rPr>
        <w:t xml:space="preserve"> »</w:t>
      </w:r>
      <w:r w:rsidR="001C5CCC" w:rsidRPr="001C5CCC">
        <w:rPr>
          <w:lang w:val="fr-FR"/>
        </w:rPr>
        <w:t>.</w:t>
      </w:r>
    </w:p>
    <w:p w14:paraId="75401E7E" w14:textId="15EC0C52" w:rsidR="00D94217" w:rsidRPr="007C34C1" w:rsidRDefault="00D94217" w:rsidP="00D94217">
      <w:pPr>
        <w:spacing w:after="120"/>
        <w:ind w:left="2268" w:right="1134" w:hanging="1134"/>
        <w:jc w:val="both"/>
        <w:rPr>
          <w:rFonts w:eastAsia="SimSun"/>
          <w:lang w:val="fr-FR"/>
        </w:rPr>
      </w:pP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9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Après « au lithium », ajouter « ou des piles ou batteries au sodium ionique »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</w:t>
      </w:r>
    </w:p>
    <w:p w14:paraId="37DEBDC9" w14:textId="4F13D8E1" w:rsidR="00D94217" w:rsidRPr="007C34C1" w:rsidRDefault="00D94217" w:rsidP="00D94217">
      <w:pPr>
        <w:spacing w:after="120"/>
        <w:ind w:left="2268" w:right="1134" w:hanging="1134"/>
        <w:jc w:val="both"/>
        <w:rPr>
          <w:rFonts w:eastAsia="SimSun"/>
          <w:i/>
          <w:iCs/>
          <w:lang w:val="fr-FR"/>
        </w:rPr>
      </w:pPr>
      <w:r>
        <w:rPr>
          <w:i/>
          <w:iCs/>
          <w:lang w:val="fr-FR"/>
        </w:rPr>
        <w:t>(Document de référence : ECE/TRANS/WP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15/AC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1/2023/23/Add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 tel que modifié par ECE/TRANS/WP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15/AC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1/170, annexe II)</w:t>
      </w:r>
    </w:p>
    <w:p w14:paraId="7723A527" w14:textId="64F47E23" w:rsidR="00D94217" w:rsidRPr="007C34C1" w:rsidRDefault="00D94217" w:rsidP="00D94217">
      <w:pPr>
        <w:spacing w:after="120"/>
        <w:ind w:left="2268" w:right="1134" w:hanging="1134"/>
        <w:jc w:val="both"/>
        <w:rPr>
          <w:rFonts w:eastAsia="SimSun"/>
          <w:i/>
          <w:iCs/>
          <w:lang w:val="fr-FR"/>
        </w:rPr>
      </w:pP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9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Remplacer «</w:t>
      </w:r>
      <w:r w:rsidR="00AF62B2">
        <w:rPr>
          <w:lang w:val="fr-FR"/>
        </w:rPr>
        <w:t> </w:t>
      </w:r>
      <w:r>
        <w:rPr>
          <w:lang w:val="fr-FR"/>
        </w:rPr>
        <w:t>à la disposition spéciale</w:t>
      </w:r>
      <w:r w:rsidR="00AF62B2">
        <w:rPr>
          <w:lang w:val="fr-FR"/>
        </w:rPr>
        <w:t> </w:t>
      </w:r>
      <w:r>
        <w:rPr>
          <w:lang w:val="fr-FR"/>
        </w:rPr>
        <w:t>188</w:t>
      </w:r>
      <w:r w:rsidR="00AF62B2">
        <w:rPr>
          <w:lang w:val="fr-FR"/>
        </w:rPr>
        <w:t> </w:t>
      </w:r>
      <w:r>
        <w:rPr>
          <w:lang w:val="fr-FR"/>
        </w:rPr>
        <w:t>» par «</w:t>
      </w:r>
      <w:r w:rsidR="00AF62B2">
        <w:rPr>
          <w:lang w:val="fr-FR"/>
        </w:rPr>
        <w:t> </w:t>
      </w:r>
      <w:r>
        <w:rPr>
          <w:lang w:val="fr-FR"/>
        </w:rPr>
        <w:t>aux dispositions spéciales</w:t>
      </w:r>
      <w:r w:rsidR="00AF62B2">
        <w:rPr>
          <w:lang w:val="fr-FR"/>
        </w:rPr>
        <w:t> </w:t>
      </w:r>
      <w:r>
        <w:rPr>
          <w:lang w:val="fr-FR"/>
        </w:rPr>
        <w:t>188 ou 400 »</w:t>
      </w:r>
      <w:r w:rsidR="001C5CCC" w:rsidRPr="001C5CCC">
        <w:rPr>
          <w:lang w:val="fr-FR"/>
        </w:rPr>
        <w:t>.</w:t>
      </w:r>
    </w:p>
    <w:p w14:paraId="2D83C0E8" w14:textId="557FCA16" w:rsidR="00D94217" w:rsidRPr="007C34C1" w:rsidRDefault="00D94217" w:rsidP="00D94217">
      <w:pPr>
        <w:spacing w:after="120"/>
        <w:ind w:left="2268" w:right="1134" w:hanging="1134"/>
        <w:jc w:val="both"/>
        <w:rPr>
          <w:rFonts w:eastAsia="SimSun"/>
          <w:i/>
          <w:iCs/>
          <w:lang w:val="fr-FR"/>
        </w:rPr>
      </w:pPr>
      <w:r>
        <w:rPr>
          <w:i/>
          <w:iCs/>
          <w:lang w:val="fr-FR"/>
        </w:rPr>
        <w:t>(Document de référence : ECE/TRANS/WP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15/AC</w:t>
      </w:r>
      <w:r w:rsidR="001C5CCC" w:rsidRPr="001C5CCC">
        <w:rPr>
          <w:i/>
          <w:iCs/>
          <w:lang w:val="fr-FR"/>
        </w:rPr>
        <w:t>.</w:t>
      </w:r>
      <w:r>
        <w:rPr>
          <w:i/>
          <w:iCs/>
          <w:lang w:val="fr-FR"/>
        </w:rPr>
        <w:t>1/170, annexe II)</w:t>
      </w:r>
    </w:p>
    <w:p w14:paraId="05449D35" w14:textId="6FA3FCA6" w:rsidR="00D94217" w:rsidRDefault="00D94217" w:rsidP="00D94217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9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Remplacer le titre de la figure 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9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2 par « </w:t>
      </w:r>
      <w:r>
        <w:rPr>
          <w:b/>
          <w:bCs/>
          <w:lang w:val="fr-FR"/>
        </w:rPr>
        <w:t>Marque pour les batteries</w:t>
      </w:r>
      <w:r>
        <w:rPr>
          <w:lang w:val="fr-FR"/>
        </w:rPr>
        <w:t xml:space="preserve"> »</w:t>
      </w:r>
      <w:r w:rsidR="001C5CCC" w:rsidRPr="001C5CCC">
        <w:rPr>
          <w:lang w:val="fr-FR"/>
        </w:rPr>
        <w:t>.</w:t>
      </w:r>
      <w:r>
        <w:rPr>
          <w:lang w:val="fr-FR"/>
        </w:rPr>
        <w:t xml:space="preserve"> </w:t>
      </w:r>
    </w:p>
    <w:p w14:paraId="1673288F" w14:textId="5E553E51" w:rsidR="00F9573C" w:rsidRDefault="00D94217" w:rsidP="00D94217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5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 w:rsidR="001C5CCC" w:rsidRPr="001C5CCC">
        <w:rPr>
          <w:lang w:val="fr-FR"/>
        </w:rPr>
        <w:t>.</w:t>
      </w:r>
      <w:r>
        <w:rPr>
          <w:lang w:val="fr-FR"/>
        </w:rPr>
        <w:t>12</w:t>
      </w:r>
      <w:r w:rsidR="001C5CCC" w:rsidRPr="001C5CCC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Remplacer « piles au lithium » par « piles au lithium ou des piles au sodium ionique » et remplacer « marque pour les piles au lithium » par « marque pour les batteries »</w:t>
      </w:r>
      <w:r w:rsidR="001C5CCC" w:rsidRPr="001C5CCC">
        <w:rPr>
          <w:lang w:val="fr-FR"/>
        </w:rPr>
        <w:t>.</w:t>
      </w:r>
    </w:p>
    <w:p w14:paraId="24C2F6A0" w14:textId="5BC109BC" w:rsidR="00D94217" w:rsidRPr="00D94217" w:rsidRDefault="00D94217" w:rsidP="00D94217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4217" w:rsidRPr="00D94217" w:rsidSect="00D942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99E9" w14:textId="77777777" w:rsidR="00A77696" w:rsidRDefault="00A77696" w:rsidP="00F95C08">
      <w:pPr>
        <w:spacing w:line="240" w:lineRule="auto"/>
      </w:pPr>
    </w:p>
  </w:endnote>
  <w:endnote w:type="continuationSeparator" w:id="0">
    <w:p w14:paraId="3DA82E9E" w14:textId="77777777" w:rsidR="00A77696" w:rsidRPr="00AC3823" w:rsidRDefault="00A77696" w:rsidP="00AC3823">
      <w:pPr>
        <w:pStyle w:val="Pieddepage"/>
      </w:pPr>
    </w:p>
  </w:endnote>
  <w:endnote w:type="continuationNotice" w:id="1">
    <w:p w14:paraId="4784090C" w14:textId="77777777" w:rsidR="00A77696" w:rsidRDefault="00A776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3236" w14:textId="39EA1647" w:rsidR="00D94217" w:rsidRPr="00D94217" w:rsidRDefault="00D94217" w:rsidP="00D94217">
    <w:pPr>
      <w:pStyle w:val="Pieddepage"/>
      <w:tabs>
        <w:tab w:val="right" w:pos="9638"/>
      </w:tabs>
    </w:pPr>
    <w:r w:rsidRPr="00D94217">
      <w:rPr>
        <w:b/>
        <w:sz w:val="18"/>
      </w:rPr>
      <w:fldChar w:fldCharType="begin"/>
    </w:r>
    <w:r w:rsidRPr="00D94217">
      <w:rPr>
        <w:b/>
        <w:sz w:val="18"/>
      </w:rPr>
      <w:instrText xml:space="preserve"> PAGE  \* MERGEFORMAT </w:instrText>
    </w:r>
    <w:r w:rsidRPr="00D94217">
      <w:rPr>
        <w:b/>
        <w:sz w:val="18"/>
      </w:rPr>
      <w:fldChar w:fldCharType="separate"/>
    </w:r>
    <w:r w:rsidRPr="00D94217">
      <w:rPr>
        <w:b/>
        <w:noProof/>
        <w:sz w:val="18"/>
      </w:rPr>
      <w:t>2</w:t>
    </w:r>
    <w:r w:rsidRPr="00D94217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1C5CCC" w:rsidRPr="001C5CCC">
      <w:t>.</w:t>
    </w:r>
    <w:r>
      <w:t>23-26286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96B5" w14:textId="20BE3022" w:rsidR="00D94217" w:rsidRPr="00D94217" w:rsidRDefault="00D94217" w:rsidP="00D94217">
    <w:pPr>
      <w:pStyle w:val="Pieddepage"/>
      <w:tabs>
        <w:tab w:val="right" w:pos="9638"/>
      </w:tabs>
      <w:rPr>
        <w:b/>
        <w:sz w:val="18"/>
      </w:rPr>
    </w:pPr>
    <w:r>
      <w:t>GE</w:t>
    </w:r>
    <w:r w:rsidR="001C5CCC" w:rsidRPr="001C5CCC">
      <w:t>.</w:t>
    </w:r>
    <w:r>
      <w:t>23-26286</w:t>
    </w:r>
    <w:r>
      <w:tab/>
    </w:r>
    <w:r w:rsidRPr="00D94217">
      <w:rPr>
        <w:b/>
        <w:sz w:val="18"/>
      </w:rPr>
      <w:fldChar w:fldCharType="begin"/>
    </w:r>
    <w:r w:rsidRPr="00D94217">
      <w:rPr>
        <w:b/>
        <w:sz w:val="18"/>
      </w:rPr>
      <w:instrText xml:space="preserve"> PAGE  \* MERGEFORMAT </w:instrText>
    </w:r>
    <w:r w:rsidRPr="00D94217">
      <w:rPr>
        <w:b/>
        <w:sz w:val="18"/>
      </w:rPr>
      <w:fldChar w:fldCharType="separate"/>
    </w:r>
    <w:r w:rsidRPr="00D94217">
      <w:rPr>
        <w:b/>
        <w:noProof/>
        <w:sz w:val="18"/>
      </w:rPr>
      <w:t>3</w:t>
    </w:r>
    <w:r w:rsidRPr="00D942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5A4" w14:textId="07AAD619" w:rsidR="007F20FA" w:rsidRPr="00D94217" w:rsidRDefault="00D94217" w:rsidP="00D94217">
    <w:pPr>
      <w:pStyle w:val="Pieddepage"/>
      <w:spacing w:before="120"/>
      <w:rPr>
        <w:sz w:val="20"/>
      </w:rPr>
    </w:pPr>
    <w:r>
      <w:rPr>
        <w:sz w:val="20"/>
      </w:rPr>
      <w:t>GE</w:t>
    </w:r>
    <w:r w:rsidR="001C5CCC" w:rsidRPr="001C5CCC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F30FE50" wp14:editId="76CD257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23-26286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6E9A13" wp14:editId="799037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190124    220124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1B0" w14:textId="77777777" w:rsidR="00A77696" w:rsidRPr="00AC3823" w:rsidRDefault="00A776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F6624" w14:textId="77777777" w:rsidR="00A77696" w:rsidRPr="00AC3823" w:rsidRDefault="00A776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B3F5DA" w14:textId="77777777" w:rsidR="00A77696" w:rsidRPr="00AC3823" w:rsidRDefault="00A77696">
      <w:pPr>
        <w:spacing w:line="240" w:lineRule="auto"/>
        <w:rPr>
          <w:sz w:val="2"/>
          <w:szCs w:val="2"/>
        </w:rPr>
      </w:pPr>
    </w:p>
  </w:footnote>
  <w:footnote w:id="2">
    <w:p w14:paraId="043CCF54" w14:textId="4DEC5E56" w:rsidR="00D94217" w:rsidRPr="007C34C1" w:rsidRDefault="00D94217" w:rsidP="00D94217">
      <w:pPr>
        <w:pStyle w:val="Notedebasdepage"/>
        <w:rPr>
          <w:lang w:val="fr-FR"/>
        </w:rPr>
      </w:pPr>
      <w:r w:rsidRPr="00D94217">
        <w:rPr>
          <w:sz w:val="20"/>
          <w:szCs w:val="22"/>
          <w:lang w:val="fr-FR"/>
        </w:rPr>
        <w:tab/>
        <w:t>*</w:t>
      </w:r>
      <w:r w:rsidRPr="00D94217">
        <w:rPr>
          <w:sz w:val="20"/>
          <w:szCs w:val="22"/>
          <w:lang w:val="fr-FR"/>
        </w:rPr>
        <w:tab/>
      </w:r>
      <w:r>
        <w:rPr>
          <w:lang w:val="fr-FR"/>
        </w:rPr>
        <w:t>A/78/6 (Sect</w:t>
      </w:r>
      <w:r w:rsidR="001C5CCC" w:rsidRPr="001C5CCC">
        <w:rPr>
          <w:lang w:val="fr-FR"/>
        </w:rPr>
        <w:t>.</w:t>
      </w:r>
      <w:r>
        <w:rPr>
          <w:lang w:val="fr-FR"/>
        </w:rPr>
        <w:t> 20), tableau 20</w:t>
      </w:r>
      <w:r w:rsidR="001C5CCC" w:rsidRPr="001C5CCC">
        <w:rPr>
          <w:lang w:val="fr-FR"/>
        </w:rPr>
        <w:t>.</w:t>
      </w:r>
      <w:r>
        <w:rPr>
          <w:lang w:val="fr-FR"/>
        </w:rPr>
        <w:t>5</w:t>
      </w:r>
      <w:r w:rsidR="001C5CCC" w:rsidRPr="001C5CCC">
        <w:rPr>
          <w:lang w:val="fr-FR"/>
        </w:rPr>
        <w:t>.</w:t>
      </w:r>
    </w:p>
  </w:footnote>
  <w:footnote w:id="3">
    <w:p w14:paraId="2BEA7DF8" w14:textId="17A72BFA" w:rsidR="00D94217" w:rsidRDefault="00D94217" w:rsidP="00D94217">
      <w:pPr>
        <w:pStyle w:val="Notedebasdepage"/>
        <w:rPr>
          <w:lang w:val="fr-FR"/>
        </w:rPr>
      </w:pPr>
      <w:r w:rsidRPr="00D94217">
        <w:rPr>
          <w:sz w:val="20"/>
          <w:szCs w:val="22"/>
          <w:lang w:val="fr-FR"/>
        </w:rPr>
        <w:tab/>
        <w:t>**</w:t>
      </w:r>
      <w:r w:rsidRPr="00D94217">
        <w:rPr>
          <w:sz w:val="20"/>
          <w:szCs w:val="22"/>
          <w:lang w:val="fr-FR"/>
        </w:rPr>
        <w:tab/>
      </w:r>
      <w:r>
        <w:rPr>
          <w:lang w:val="fr-FR"/>
        </w:rPr>
        <w:t xml:space="preserve">Diffusée par l’Organisation </w:t>
      </w:r>
      <w:proofErr w:type="spellStart"/>
      <w:r>
        <w:rPr>
          <w:lang w:val="fr-FR"/>
        </w:rPr>
        <w:t>intergouvernementale</w:t>
      </w:r>
      <w:proofErr w:type="spellEnd"/>
      <w:r>
        <w:rPr>
          <w:lang w:val="fr-FR"/>
        </w:rPr>
        <w:t xml:space="preserve"> pour les transports internationaux ferroviaires (OTIF) sous la cote OTIF/RID/RC/2024/25</w:t>
      </w:r>
      <w:r w:rsidR="001C5CCC" w:rsidRPr="001C5CCC">
        <w:rPr>
          <w:lang w:val="fr-FR"/>
        </w:rPr>
        <w:t>.</w:t>
      </w:r>
    </w:p>
    <w:p w14:paraId="50D1BD8A" w14:textId="77777777" w:rsidR="00D94217" w:rsidRPr="007C34C1" w:rsidRDefault="00D94217" w:rsidP="00D94217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D8C" w14:textId="0E94F9BE" w:rsidR="00D94217" w:rsidRPr="00D94217" w:rsidRDefault="00D94217">
    <w:pPr>
      <w:pStyle w:val="En-tte"/>
    </w:pPr>
    <w:fldSimple w:instr=" TITLE  \* MERGEFORMAT ">
      <w:r w:rsidR="00267CB1">
        <w:t>ECE/TRANS/WP.15/AC.1/2024/25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7BAA" w14:textId="4DCDC1A0" w:rsidR="00D94217" w:rsidRPr="00D94217" w:rsidRDefault="00D94217" w:rsidP="00D94217">
    <w:pPr>
      <w:pStyle w:val="En-tte"/>
      <w:jc w:val="right"/>
    </w:pPr>
    <w:fldSimple w:instr=" TITLE  \* MERGEFORMAT ">
      <w:r w:rsidR="00267CB1">
        <w:t>ECE/TRANS/WP.15/AC.1/2024/25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77977218">
    <w:abstractNumId w:val="12"/>
  </w:num>
  <w:num w:numId="2" w16cid:durableId="203640666">
    <w:abstractNumId w:val="11"/>
  </w:num>
  <w:num w:numId="3" w16cid:durableId="1156918737">
    <w:abstractNumId w:val="10"/>
  </w:num>
  <w:num w:numId="4" w16cid:durableId="1464074758">
    <w:abstractNumId w:val="8"/>
  </w:num>
  <w:num w:numId="5" w16cid:durableId="493451713">
    <w:abstractNumId w:val="3"/>
  </w:num>
  <w:num w:numId="6" w16cid:durableId="1087575044">
    <w:abstractNumId w:val="2"/>
  </w:num>
  <w:num w:numId="7" w16cid:durableId="380326777">
    <w:abstractNumId w:val="1"/>
  </w:num>
  <w:num w:numId="8" w16cid:durableId="960845541">
    <w:abstractNumId w:val="0"/>
  </w:num>
  <w:num w:numId="9" w16cid:durableId="1759910968">
    <w:abstractNumId w:val="9"/>
  </w:num>
  <w:num w:numId="10" w16cid:durableId="1723483249">
    <w:abstractNumId w:val="7"/>
  </w:num>
  <w:num w:numId="11" w16cid:durableId="1485010235">
    <w:abstractNumId w:val="6"/>
  </w:num>
  <w:num w:numId="12" w16cid:durableId="973438736">
    <w:abstractNumId w:val="5"/>
  </w:num>
  <w:num w:numId="13" w16cid:durableId="491146645">
    <w:abstractNumId w:val="4"/>
  </w:num>
  <w:num w:numId="14" w16cid:durableId="128330872">
    <w:abstractNumId w:val="12"/>
  </w:num>
  <w:num w:numId="15" w16cid:durableId="1030230072">
    <w:abstractNumId w:val="11"/>
  </w:num>
  <w:num w:numId="16" w16cid:durableId="346519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9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5CCC"/>
    <w:rsid w:val="001F525A"/>
    <w:rsid w:val="00201148"/>
    <w:rsid w:val="00223272"/>
    <w:rsid w:val="0024779E"/>
    <w:rsid w:val="00257168"/>
    <w:rsid w:val="00267CB1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7696"/>
    <w:rsid w:val="00AC3823"/>
    <w:rsid w:val="00AE323C"/>
    <w:rsid w:val="00AF0CB5"/>
    <w:rsid w:val="00AF62B2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94217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3984A"/>
  <w15:docId w15:val="{89543ED1-1D40-4896-A78C-FB837D8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D9421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D9421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qFormat/>
    <w:locked/>
    <w:rsid w:val="00D9421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5885C-17EE-4577-AD16-BE394DF89496}"/>
</file>

<file path=customXml/itemProps2.xml><?xml version="1.0" encoding="utf-8"?>
<ds:datastoreItem xmlns:ds="http://schemas.openxmlformats.org/officeDocument/2006/customXml" ds:itemID="{F837CD03-BB56-4697-9606-934398DE97B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1027</Words>
  <Characters>7194</Characters>
  <Application>Microsoft Office Word</Application>
  <DocSecurity>0</DocSecurity>
  <Lines>599</Lines>
  <Paragraphs>328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ECE/TRANS/WP.15/AC.1/2024/25</vt:lpstr>
    </vt:vector>
  </TitlesOfParts>
  <Company>DCM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ECE/TRANS/WP.15/AC.1/2024/25</dc:title>
  <dc:subject/>
  <dc:creator>Maud DARICHE</dc:creator>
  <cp:keywords/>
  <cp:lastModifiedBy>Maud Dariche</cp:lastModifiedBy>
  <cp:revision>3</cp:revision>
  <cp:lastPrinted>2024-01-22T12:15:00Z</cp:lastPrinted>
  <dcterms:created xsi:type="dcterms:W3CDTF">2024-01-22T12:15:00Z</dcterms:created>
  <dcterms:modified xsi:type="dcterms:W3CDTF">2024-01-22T12:16:00Z</dcterms:modified>
</cp:coreProperties>
</file>