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27D8" w14:textId="77777777" w:rsidR="00F55358" w:rsidRPr="00625218" w:rsidRDefault="00F55358" w:rsidP="00F55358">
      <w:pPr>
        <w:spacing w:before="120"/>
        <w:rPr>
          <w:b/>
          <w:sz w:val="28"/>
          <w:szCs w:val="28"/>
          <w:lang w:eastAsia="fr-FR"/>
        </w:rPr>
      </w:pPr>
      <w:r w:rsidRPr="00625218">
        <w:rPr>
          <w:b/>
          <w:sz w:val="28"/>
          <w:szCs w:val="28"/>
        </w:rPr>
        <w:t>Economic Commission for Europe</w:t>
      </w:r>
    </w:p>
    <w:p w14:paraId="04EA5779" w14:textId="77777777" w:rsidR="00F55358" w:rsidRPr="00625218" w:rsidRDefault="00F55358" w:rsidP="00F55358">
      <w:pPr>
        <w:spacing w:before="120"/>
        <w:rPr>
          <w:sz w:val="28"/>
          <w:szCs w:val="28"/>
        </w:rPr>
      </w:pPr>
      <w:r w:rsidRPr="00625218">
        <w:rPr>
          <w:sz w:val="28"/>
          <w:szCs w:val="28"/>
        </w:rPr>
        <w:t>Inland Transport Committee</w:t>
      </w:r>
    </w:p>
    <w:p w14:paraId="2D2A73CE" w14:textId="77777777" w:rsidR="00F55358" w:rsidRPr="00625218" w:rsidRDefault="00F55358" w:rsidP="00F55358">
      <w:pPr>
        <w:spacing w:before="120"/>
        <w:rPr>
          <w:b/>
          <w:sz w:val="24"/>
          <w:szCs w:val="24"/>
        </w:rPr>
      </w:pPr>
      <w:r w:rsidRPr="00625218">
        <w:rPr>
          <w:b/>
          <w:sz w:val="24"/>
          <w:szCs w:val="24"/>
        </w:rPr>
        <w:t>Working Party on the Transport of Dangerous Goods</w:t>
      </w:r>
    </w:p>
    <w:p w14:paraId="50A97E2D" w14:textId="652B93C6" w:rsidR="00F55358" w:rsidRPr="00625218" w:rsidRDefault="00F55358" w:rsidP="00F55358">
      <w:pPr>
        <w:spacing w:before="120"/>
        <w:rPr>
          <w:b/>
          <w:bCs/>
        </w:rPr>
      </w:pPr>
      <w:r w:rsidRPr="00625218">
        <w:rPr>
          <w:b/>
          <w:bCs/>
        </w:rPr>
        <w:t>11</w:t>
      </w:r>
      <w:r w:rsidR="00444F09" w:rsidRPr="00625218">
        <w:rPr>
          <w:b/>
          <w:bCs/>
        </w:rPr>
        <w:t>5</w:t>
      </w:r>
      <w:r w:rsidRPr="00625218">
        <w:rPr>
          <w:b/>
          <w:bCs/>
        </w:rPr>
        <w:t>th session</w:t>
      </w:r>
    </w:p>
    <w:p w14:paraId="115A641C" w14:textId="5FBC6B2D" w:rsidR="00F55358" w:rsidRPr="00625218" w:rsidRDefault="00F55358" w:rsidP="00F55358">
      <w:pPr>
        <w:rPr>
          <w:rFonts w:eastAsia="SimSun"/>
        </w:rPr>
      </w:pPr>
      <w:r w:rsidRPr="00625218">
        <w:t xml:space="preserve">Geneva, </w:t>
      </w:r>
      <w:r w:rsidR="002E0F3F" w:rsidRPr="00625218">
        <w:t>2-5</w:t>
      </w:r>
      <w:r w:rsidRPr="00625218">
        <w:t xml:space="preserve"> </w:t>
      </w:r>
      <w:r w:rsidR="002E0F3F" w:rsidRPr="00625218">
        <w:t>April 2024</w:t>
      </w:r>
      <w:r w:rsidR="00957638" w:rsidRPr="00625218">
        <w:tab/>
      </w:r>
      <w:r w:rsidR="00957638" w:rsidRPr="00625218">
        <w:tab/>
      </w:r>
      <w:r w:rsidR="00957638" w:rsidRPr="00625218">
        <w:tab/>
      </w:r>
      <w:r w:rsidR="00957638" w:rsidRPr="00625218">
        <w:tab/>
      </w:r>
      <w:r w:rsidR="00957638" w:rsidRPr="00625218">
        <w:tab/>
      </w:r>
      <w:r w:rsidR="00957638" w:rsidRPr="00625218">
        <w:tab/>
      </w:r>
      <w:r w:rsidR="00957638" w:rsidRPr="00625218">
        <w:tab/>
      </w:r>
      <w:r w:rsidR="00D730F5" w:rsidRPr="00625218">
        <w:tab/>
      </w:r>
      <w:r w:rsidR="002E0F3F" w:rsidRPr="00625218">
        <w:t>2</w:t>
      </w:r>
      <w:r w:rsidR="002E107E" w:rsidRPr="00625218">
        <w:t>9</w:t>
      </w:r>
      <w:r w:rsidR="002E0F3F" w:rsidRPr="00625218">
        <w:t xml:space="preserve"> March 2024</w:t>
      </w:r>
    </w:p>
    <w:p w14:paraId="53BF3EE4" w14:textId="1D624302" w:rsidR="00F55358" w:rsidRPr="00625218" w:rsidRDefault="00F55358" w:rsidP="00F55358">
      <w:r w:rsidRPr="00625218">
        <w:t xml:space="preserve">Item </w:t>
      </w:r>
      <w:r w:rsidR="005D338A" w:rsidRPr="00625218">
        <w:t>4</w:t>
      </w:r>
      <w:r w:rsidRPr="00625218">
        <w:t xml:space="preserve"> of the provisional agenda</w:t>
      </w:r>
    </w:p>
    <w:p w14:paraId="2CA3528F" w14:textId="7838004E" w:rsidR="00F55358" w:rsidRPr="00625218" w:rsidRDefault="00A96E56" w:rsidP="00F55358">
      <w:pPr>
        <w:rPr>
          <w:b/>
          <w:bCs/>
        </w:rPr>
      </w:pPr>
      <w:r w:rsidRPr="00625218">
        <w:rPr>
          <w:b/>
        </w:rPr>
        <w:t>Work of the RID/ADR/ADN Joint Meeting</w:t>
      </w:r>
    </w:p>
    <w:p w14:paraId="2316B785" w14:textId="74553041" w:rsidR="00787B89" w:rsidRPr="00625218" w:rsidRDefault="00787B89" w:rsidP="00787B89">
      <w:pPr>
        <w:keepNext/>
        <w:keepLines/>
        <w:tabs>
          <w:tab w:val="right" w:pos="851"/>
        </w:tabs>
        <w:spacing w:before="360" w:after="240" w:line="300" w:lineRule="exact"/>
        <w:ind w:left="1134" w:right="1134" w:hanging="1134"/>
        <w:rPr>
          <w:b/>
          <w:sz w:val="28"/>
        </w:rPr>
      </w:pPr>
      <w:r w:rsidRPr="00625218">
        <w:rPr>
          <w:b/>
          <w:sz w:val="28"/>
        </w:rPr>
        <w:tab/>
      </w:r>
      <w:r w:rsidRPr="00625218">
        <w:rPr>
          <w:b/>
          <w:sz w:val="28"/>
        </w:rPr>
        <w:tab/>
        <w:t xml:space="preserve">Texts adopted by the Joint Meeting: </w:t>
      </w:r>
      <w:r w:rsidR="00E758CA" w:rsidRPr="00625218">
        <w:rPr>
          <w:b/>
          <w:sz w:val="28"/>
        </w:rPr>
        <w:t xml:space="preserve">draft </w:t>
      </w:r>
      <w:r w:rsidRPr="00625218">
        <w:rPr>
          <w:b/>
          <w:sz w:val="28"/>
        </w:rPr>
        <w:t>amendments to ADR for entry into force on 1 January 20</w:t>
      </w:r>
      <w:r w:rsidR="00103323" w:rsidRPr="00625218">
        <w:rPr>
          <w:b/>
          <w:sz w:val="28"/>
        </w:rPr>
        <w:t>25</w:t>
      </w:r>
    </w:p>
    <w:p w14:paraId="398B3512" w14:textId="77777777" w:rsidR="00787B89" w:rsidRPr="00625218" w:rsidRDefault="00787B89" w:rsidP="00787B89">
      <w:pPr>
        <w:keepNext/>
        <w:keepLines/>
        <w:tabs>
          <w:tab w:val="right" w:pos="851"/>
        </w:tabs>
        <w:spacing w:before="360" w:after="240" w:line="270" w:lineRule="exact"/>
        <w:ind w:left="1134" w:right="1134" w:hanging="1134"/>
        <w:rPr>
          <w:b/>
          <w:sz w:val="24"/>
        </w:rPr>
      </w:pPr>
      <w:r w:rsidRPr="00625218">
        <w:rPr>
          <w:b/>
          <w:sz w:val="24"/>
        </w:rPr>
        <w:tab/>
      </w:r>
      <w:r w:rsidRPr="00625218">
        <w:rPr>
          <w:b/>
          <w:sz w:val="24"/>
        </w:rPr>
        <w:tab/>
        <w:t>Note by the secretariat</w:t>
      </w:r>
    </w:p>
    <w:p w14:paraId="5B763B72" w14:textId="77777777" w:rsidR="00E758CA" w:rsidRPr="00625218" w:rsidRDefault="00787B89" w:rsidP="00E758CA">
      <w:pPr>
        <w:spacing w:after="120"/>
        <w:ind w:left="1134" w:right="1134"/>
        <w:jc w:val="both"/>
      </w:pPr>
      <w:r w:rsidRPr="00625218">
        <w:t>The secretariat reproduces hereafter proposals of amendments to ADR for entry into force on 1 January 202</w:t>
      </w:r>
      <w:r w:rsidR="00103323" w:rsidRPr="00625218">
        <w:t>5</w:t>
      </w:r>
      <w:r w:rsidRPr="00625218">
        <w:t xml:space="preserve"> as adopted by the Joint Meeting at its March 202</w:t>
      </w:r>
      <w:r w:rsidR="00103323" w:rsidRPr="00625218">
        <w:t>4</w:t>
      </w:r>
      <w:r w:rsidRPr="00625218">
        <w:t xml:space="preserve"> session (</w:t>
      </w:r>
      <w:r w:rsidR="0076621E" w:rsidRPr="00625218">
        <w:t>Draft report: ECE/TRANS/WP.15/AC.1/20</w:t>
      </w:r>
      <w:r w:rsidR="00103323" w:rsidRPr="00625218">
        <w:t>24</w:t>
      </w:r>
      <w:r w:rsidR="0076621E" w:rsidRPr="00625218">
        <w:t>/R.2 and add</w:t>
      </w:r>
      <w:r w:rsidR="00805B7D" w:rsidRPr="00625218">
        <w:t>.</w:t>
      </w:r>
      <w:r w:rsidR="0076621E" w:rsidRPr="00625218">
        <w:t xml:space="preserve">1 / Final report </w:t>
      </w:r>
      <w:r w:rsidR="007508B7" w:rsidRPr="00625218">
        <w:t xml:space="preserve">to be published: </w:t>
      </w:r>
      <w:r w:rsidRPr="00625218">
        <w:t>ECE/TRANS/WP.15/AC.1/1</w:t>
      </w:r>
      <w:r w:rsidR="00805B7D" w:rsidRPr="00625218">
        <w:t>72</w:t>
      </w:r>
      <w:r w:rsidRPr="00625218">
        <w:t>).</w:t>
      </w:r>
    </w:p>
    <w:p w14:paraId="0F2A6236" w14:textId="102628CA" w:rsidR="00E758CA" w:rsidRPr="00625218" w:rsidRDefault="00E758CA" w:rsidP="00E758CA">
      <w:pPr>
        <w:pStyle w:val="HChG"/>
        <w:rPr>
          <w:lang w:val="en-GB"/>
        </w:rPr>
      </w:pPr>
      <w:r w:rsidRPr="00625218">
        <w:rPr>
          <w:b w:val="0"/>
          <w:lang w:val="en-GB"/>
        </w:rPr>
        <w:tab/>
      </w:r>
      <w:r w:rsidRPr="00625218">
        <w:rPr>
          <w:bCs/>
          <w:lang w:val="en-GB"/>
        </w:rPr>
        <w:t>A.</w:t>
      </w:r>
      <w:r w:rsidRPr="00625218">
        <w:rPr>
          <w:bCs/>
          <w:lang w:val="en-GB"/>
        </w:rPr>
        <w:tab/>
      </w:r>
      <w:r w:rsidRPr="00625218">
        <w:rPr>
          <w:lang w:val="en-GB"/>
        </w:rPr>
        <w:t xml:space="preserve">New </w:t>
      </w:r>
      <w:r w:rsidR="004F66ED" w:rsidRPr="00625218">
        <w:rPr>
          <w:lang w:val="en-GB"/>
        </w:rPr>
        <w:t xml:space="preserve">draft </w:t>
      </w:r>
      <w:r w:rsidRPr="00625218">
        <w:rPr>
          <w:lang w:val="en-GB"/>
        </w:rPr>
        <w:t>amendments</w:t>
      </w:r>
    </w:p>
    <w:p w14:paraId="6AE40130" w14:textId="354ACB6D" w:rsidR="00BC764F" w:rsidRPr="00625218" w:rsidRDefault="00BC764F" w:rsidP="00BC764F">
      <w:pPr>
        <w:pStyle w:val="H1G"/>
      </w:pPr>
      <w:r w:rsidRPr="00625218">
        <w:tab/>
      </w:r>
      <w:r w:rsidRPr="00625218">
        <w:tab/>
        <w:t>Chapter 1.1</w:t>
      </w:r>
    </w:p>
    <w:p w14:paraId="6BC22639" w14:textId="293F5475" w:rsidR="005026DB" w:rsidRPr="00625218" w:rsidRDefault="005026DB" w:rsidP="0078147C">
      <w:pPr>
        <w:pStyle w:val="SingleTxtG"/>
        <w:tabs>
          <w:tab w:val="left" w:pos="2268"/>
        </w:tabs>
        <w:ind w:left="2268" w:hanging="1134"/>
        <w:rPr>
          <w:bCs/>
          <w:lang w:val="en-GB"/>
        </w:rPr>
      </w:pPr>
      <w:r w:rsidRPr="00625218">
        <w:rPr>
          <w:bCs/>
          <w:lang w:val="en-GB"/>
        </w:rPr>
        <w:t>1.1.3.7</w:t>
      </w:r>
      <w:r w:rsidRPr="00625218">
        <w:rPr>
          <w:bCs/>
          <w:lang w:val="en-GB"/>
        </w:rPr>
        <w:tab/>
        <w:t xml:space="preserve">The amendment to </w:t>
      </w:r>
      <w:r w:rsidR="0078147C" w:rsidRPr="00625218">
        <w:rPr>
          <w:bCs/>
          <w:lang w:val="en-GB"/>
        </w:rPr>
        <w:t>sub-</w:t>
      </w:r>
      <w:r w:rsidRPr="00625218">
        <w:rPr>
          <w:bCs/>
          <w:lang w:val="en-GB"/>
        </w:rPr>
        <w:t>paragraph (b) in the French version does not apply to the English text.</w:t>
      </w:r>
    </w:p>
    <w:p w14:paraId="32A9A974" w14:textId="767CABC1" w:rsidR="00D20DA0" w:rsidRPr="00625218" w:rsidRDefault="00D20DA0" w:rsidP="00D20DA0">
      <w:pPr>
        <w:pStyle w:val="H1G"/>
      </w:pPr>
      <w:r w:rsidRPr="00625218">
        <w:tab/>
      </w:r>
      <w:r w:rsidRPr="00625218">
        <w:tab/>
        <w:t>Chapter 1.2</w:t>
      </w:r>
    </w:p>
    <w:p w14:paraId="6A37C083" w14:textId="50FFFA87" w:rsidR="00D1443C" w:rsidRPr="00625218" w:rsidRDefault="00D1443C" w:rsidP="00D1443C">
      <w:pPr>
        <w:pStyle w:val="SingleTxtG"/>
        <w:tabs>
          <w:tab w:val="left" w:pos="2268"/>
        </w:tabs>
        <w:ind w:left="2268" w:hanging="1134"/>
        <w:rPr>
          <w:bCs/>
          <w:lang w:val="en-GB"/>
        </w:rPr>
      </w:pPr>
      <w:r w:rsidRPr="00625218">
        <w:rPr>
          <w:bCs/>
          <w:lang w:val="en-GB"/>
        </w:rPr>
        <w:t>1.2.1</w:t>
      </w:r>
      <w:r w:rsidRPr="00625218">
        <w:rPr>
          <w:bCs/>
          <w:lang w:val="en-GB"/>
        </w:rPr>
        <w:tab/>
        <w:t>The amendment in the French version does not apply to the English text.</w:t>
      </w:r>
    </w:p>
    <w:p w14:paraId="189D4685" w14:textId="4F40CAC2" w:rsidR="00D1443C" w:rsidRPr="00625218" w:rsidRDefault="00D1443C" w:rsidP="00D1443C">
      <w:pPr>
        <w:pStyle w:val="SingleTxtG"/>
        <w:tabs>
          <w:tab w:val="left" w:pos="2268"/>
        </w:tabs>
        <w:ind w:left="2268" w:hanging="1134"/>
        <w:rPr>
          <w:bCs/>
          <w:lang w:val="en-GB"/>
        </w:rPr>
      </w:pPr>
      <w:r w:rsidRPr="00625218">
        <w:rPr>
          <w:bCs/>
          <w:lang w:val="en-GB"/>
        </w:rPr>
        <w:t>1.2.2.1</w:t>
      </w:r>
      <w:r w:rsidRPr="00625218">
        <w:rPr>
          <w:bCs/>
          <w:lang w:val="en-GB"/>
        </w:rPr>
        <w:tab/>
        <w:t xml:space="preserve">In the table, in the row for </w:t>
      </w:r>
      <w:r w:rsidR="00B212E8" w:rsidRPr="00625218">
        <w:rPr>
          <w:bCs/>
          <w:lang w:val="en-GB"/>
        </w:rPr>
        <w:t>“</w:t>
      </w:r>
      <w:r w:rsidRPr="00625218">
        <w:rPr>
          <w:bCs/>
          <w:lang w:val="en-GB"/>
        </w:rPr>
        <w:t>Mass</w:t>
      </w:r>
      <w:r w:rsidR="00B212E8" w:rsidRPr="00625218">
        <w:rPr>
          <w:bCs/>
          <w:lang w:val="en-GB"/>
        </w:rPr>
        <w:t>”</w:t>
      </w:r>
      <w:r w:rsidRPr="00625218">
        <w:rPr>
          <w:bCs/>
          <w:lang w:val="en-GB"/>
        </w:rPr>
        <w:t xml:space="preserve">, in the third column, replace </w:t>
      </w:r>
      <w:r w:rsidR="00B212E8" w:rsidRPr="00625218">
        <w:rPr>
          <w:bCs/>
          <w:lang w:val="en-GB"/>
        </w:rPr>
        <w:t>“</w:t>
      </w:r>
      <w:r w:rsidRPr="00625218">
        <w:rPr>
          <w:bCs/>
          <w:lang w:val="en-GB"/>
        </w:rPr>
        <w:t>t (ton)</w:t>
      </w:r>
      <w:r w:rsidR="00B212E8" w:rsidRPr="00625218">
        <w:rPr>
          <w:bCs/>
          <w:lang w:val="en-GB"/>
        </w:rPr>
        <w:t>”</w:t>
      </w:r>
      <w:r w:rsidRPr="00625218">
        <w:rPr>
          <w:bCs/>
          <w:lang w:val="en-GB"/>
        </w:rPr>
        <w:t xml:space="preserve"> by </w:t>
      </w:r>
      <w:r w:rsidR="00B212E8" w:rsidRPr="00625218">
        <w:rPr>
          <w:bCs/>
          <w:lang w:val="en-GB"/>
        </w:rPr>
        <w:t>“</w:t>
      </w:r>
      <w:r w:rsidRPr="00625218">
        <w:rPr>
          <w:bCs/>
          <w:lang w:val="en-GB"/>
        </w:rPr>
        <w:t>t (tonne)</w:t>
      </w:r>
      <w:r w:rsidR="00B212E8" w:rsidRPr="00625218">
        <w:rPr>
          <w:bCs/>
          <w:lang w:val="en-GB"/>
        </w:rPr>
        <w:t>”</w:t>
      </w:r>
      <w:r w:rsidRPr="00625218">
        <w:rPr>
          <w:bCs/>
          <w:lang w:val="en-GB"/>
        </w:rPr>
        <w:t>.</w:t>
      </w:r>
    </w:p>
    <w:p w14:paraId="737A34FE" w14:textId="213279B0" w:rsidR="00607B17" w:rsidRPr="00625218" w:rsidRDefault="00607B17" w:rsidP="0032120D">
      <w:pPr>
        <w:pStyle w:val="H1G"/>
      </w:pPr>
      <w:r w:rsidRPr="00625218">
        <w:tab/>
      </w:r>
      <w:r w:rsidRPr="00625218">
        <w:tab/>
        <w:t>Chapter 1.</w:t>
      </w:r>
      <w:r w:rsidR="00A04646" w:rsidRPr="00625218">
        <w:t>4</w:t>
      </w:r>
    </w:p>
    <w:p w14:paraId="5DACC5E0" w14:textId="1DF7FF53" w:rsidR="00E56657" w:rsidRPr="00625218" w:rsidRDefault="00E56657" w:rsidP="00564105">
      <w:pPr>
        <w:pStyle w:val="SingleTxtG"/>
        <w:tabs>
          <w:tab w:val="left" w:pos="2268"/>
        </w:tabs>
        <w:rPr>
          <w:bCs/>
          <w:lang w:val="en-GB"/>
        </w:rPr>
      </w:pPr>
      <w:r w:rsidRPr="00625218">
        <w:rPr>
          <w:bCs/>
          <w:lang w:val="en-GB"/>
        </w:rPr>
        <w:t>1.4.2.1.1</w:t>
      </w:r>
      <w:r w:rsidRPr="00625218">
        <w:rPr>
          <w:bCs/>
          <w:lang w:val="en-GB"/>
        </w:rPr>
        <w:tab/>
        <w:t xml:space="preserve">At the end of </w:t>
      </w:r>
      <w:r w:rsidR="00015838" w:rsidRPr="00625218">
        <w:rPr>
          <w:bCs/>
          <w:lang w:val="en-GB"/>
        </w:rPr>
        <w:t>sub-</w:t>
      </w:r>
      <w:r w:rsidRPr="00625218">
        <w:rPr>
          <w:bCs/>
          <w:lang w:val="en-GB"/>
        </w:rPr>
        <w:t>paragraph (e), replace the semicolon by a full stop.</w:t>
      </w:r>
    </w:p>
    <w:p w14:paraId="48300B80" w14:textId="59B2D7D4" w:rsidR="00E56657" w:rsidRPr="00625218" w:rsidRDefault="00E56657" w:rsidP="00E56657">
      <w:pPr>
        <w:pStyle w:val="SingleTxtG"/>
        <w:rPr>
          <w:lang w:val="en-GB"/>
        </w:rPr>
      </w:pPr>
      <w:r w:rsidRPr="00625218">
        <w:rPr>
          <w:lang w:val="en-GB"/>
        </w:rPr>
        <w:t xml:space="preserve">Add the following new </w:t>
      </w:r>
      <w:r w:rsidR="00015838" w:rsidRPr="00625218">
        <w:rPr>
          <w:lang w:val="en-GB"/>
        </w:rPr>
        <w:t>sub-</w:t>
      </w:r>
      <w:r w:rsidRPr="00625218">
        <w:rPr>
          <w:lang w:val="en-GB"/>
        </w:rPr>
        <w:t>paragraph (f):</w:t>
      </w:r>
    </w:p>
    <w:p w14:paraId="7089D7BE" w14:textId="5E1E8712" w:rsidR="00E56657" w:rsidRPr="00625218" w:rsidRDefault="00B212E8" w:rsidP="00E56657">
      <w:pPr>
        <w:pStyle w:val="SingleTxtG"/>
        <w:rPr>
          <w:lang w:val="en-GB"/>
        </w:rPr>
      </w:pPr>
      <w:r w:rsidRPr="00625218">
        <w:rPr>
          <w:lang w:val="en-GB"/>
        </w:rPr>
        <w:t>“</w:t>
      </w:r>
      <w:r w:rsidR="00E56657" w:rsidRPr="00625218">
        <w:rPr>
          <w:lang w:val="en-GB"/>
        </w:rPr>
        <w:t>(f)</w:t>
      </w:r>
      <w:r w:rsidR="00E56657" w:rsidRPr="00625218">
        <w:rPr>
          <w:lang w:val="en-GB"/>
        </w:rPr>
        <w:tab/>
        <w:t>In the case of tank-containers and portable tanks carrying refrigerated liquefied gases ensure that the actual holding time is determined if applicable or, in the case of empty, uncleaned tank-containers and portable tanks, ensure that the pressure is sufficiently reduced.</w:t>
      </w:r>
      <w:r w:rsidRPr="00625218">
        <w:rPr>
          <w:lang w:val="en-GB"/>
        </w:rPr>
        <w:t>”</w:t>
      </w:r>
    </w:p>
    <w:p w14:paraId="29D7C968" w14:textId="77777777" w:rsidR="00E56657" w:rsidRPr="00625218" w:rsidRDefault="00E56657" w:rsidP="00D56736">
      <w:pPr>
        <w:pStyle w:val="H1G"/>
      </w:pPr>
      <w:r w:rsidRPr="00625218">
        <w:tab/>
      </w:r>
      <w:r w:rsidRPr="00625218">
        <w:tab/>
        <w:t>Chapter 1.6</w:t>
      </w:r>
    </w:p>
    <w:p w14:paraId="554C51E0" w14:textId="2A968997" w:rsidR="003E4A1C" w:rsidRPr="00625218" w:rsidRDefault="003E4A1C" w:rsidP="003E4A1C">
      <w:pPr>
        <w:pStyle w:val="SingleTxtG"/>
        <w:tabs>
          <w:tab w:val="left" w:pos="2268"/>
        </w:tabs>
        <w:ind w:left="2268" w:hanging="1134"/>
        <w:rPr>
          <w:bCs/>
          <w:lang w:val="en-GB"/>
        </w:rPr>
      </w:pPr>
      <w:r w:rsidRPr="00625218">
        <w:rPr>
          <w:bCs/>
          <w:lang w:val="en-GB"/>
        </w:rPr>
        <w:t>1.6.1.51</w:t>
      </w:r>
      <w:r w:rsidRPr="00625218">
        <w:rPr>
          <w:bCs/>
          <w:lang w:val="en-GB"/>
        </w:rPr>
        <w:tab/>
        <w:t xml:space="preserve">In the paragraph after the three indents, replace </w:t>
      </w:r>
      <w:r w:rsidR="00B212E8" w:rsidRPr="00625218">
        <w:rPr>
          <w:bCs/>
          <w:lang w:val="en-GB"/>
        </w:rPr>
        <w:t>“</w:t>
      </w:r>
      <w:r w:rsidRPr="00625218">
        <w:rPr>
          <w:bCs/>
          <w:lang w:val="en-GB"/>
        </w:rPr>
        <w:t>30 June 2025</w:t>
      </w:r>
      <w:r w:rsidR="00B212E8" w:rsidRPr="00625218">
        <w:rPr>
          <w:bCs/>
          <w:lang w:val="en-GB"/>
        </w:rPr>
        <w:t>”</w:t>
      </w:r>
      <w:r w:rsidRPr="00625218">
        <w:rPr>
          <w:bCs/>
          <w:lang w:val="en-GB"/>
        </w:rPr>
        <w:t xml:space="preserve"> by </w:t>
      </w:r>
      <w:r w:rsidR="00B212E8" w:rsidRPr="00625218">
        <w:rPr>
          <w:bCs/>
          <w:lang w:val="en-GB"/>
        </w:rPr>
        <w:t>“</w:t>
      </w:r>
      <w:r w:rsidRPr="00625218">
        <w:rPr>
          <w:bCs/>
          <w:lang w:val="en-GB"/>
        </w:rPr>
        <w:t>30 June 2027</w:t>
      </w:r>
      <w:r w:rsidR="00B212E8" w:rsidRPr="00625218">
        <w:rPr>
          <w:bCs/>
          <w:lang w:val="en-GB"/>
        </w:rPr>
        <w:t>”</w:t>
      </w:r>
      <w:r w:rsidRPr="00625218">
        <w:rPr>
          <w:bCs/>
          <w:lang w:val="en-GB"/>
        </w:rPr>
        <w:t>.</w:t>
      </w:r>
    </w:p>
    <w:p w14:paraId="56565A8B" w14:textId="77777777" w:rsidR="00E56657" w:rsidRPr="00625218" w:rsidRDefault="00E56657" w:rsidP="00564105">
      <w:pPr>
        <w:pStyle w:val="SingleTxtG"/>
        <w:tabs>
          <w:tab w:val="left" w:pos="2268"/>
        </w:tabs>
        <w:rPr>
          <w:bCs/>
          <w:lang w:val="en-GB"/>
        </w:rPr>
      </w:pPr>
      <w:r w:rsidRPr="00625218">
        <w:rPr>
          <w:bCs/>
          <w:lang w:val="en-GB"/>
        </w:rPr>
        <w:t>1.6.4</w:t>
      </w:r>
      <w:r w:rsidRPr="00625218">
        <w:rPr>
          <w:bCs/>
          <w:lang w:val="en-GB"/>
        </w:rPr>
        <w:tab/>
        <w:t>Insert a new transitional measure to read:</w:t>
      </w:r>
    </w:p>
    <w:p w14:paraId="49DC7670" w14:textId="1B08D315" w:rsidR="00E56657" w:rsidRPr="00625218" w:rsidRDefault="00B212E8" w:rsidP="00A60A8B">
      <w:pPr>
        <w:pStyle w:val="SingleTxtG"/>
        <w:ind w:left="2268" w:hanging="1134"/>
        <w:rPr>
          <w:bCs/>
          <w:lang w:val="en-GB"/>
        </w:rPr>
      </w:pPr>
      <w:r w:rsidRPr="00625218">
        <w:rPr>
          <w:bCs/>
          <w:lang w:val="en-GB"/>
        </w:rPr>
        <w:t>“</w:t>
      </w:r>
      <w:r w:rsidR="00E56657" w:rsidRPr="00625218">
        <w:rPr>
          <w:bCs/>
          <w:lang w:val="en-GB"/>
        </w:rPr>
        <w:t>1.6.4.66</w:t>
      </w:r>
      <w:r w:rsidR="00E56657" w:rsidRPr="00625218">
        <w:rPr>
          <w:bCs/>
          <w:lang w:val="en-GB"/>
        </w:rPr>
        <w:tab/>
        <w:t>Portable tanks constructed before 1 January 2027 in accordance with the requirements in force up to 31 December 2024, but which do not, however, conform to the requirements of 6.7.4.15.1 (i) (iv) applicable as from 1 January 2025 may continue to be used.</w:t>
      </w:r>
      <w:r w:rsidRPr="00625218">
        <w:rPr>
          <w:bCs/>
          <w:lang w:val="en-GB"/>
        </w:rPr>
        <w:t>”</w:t>
      </w:r>
    </w:p>
    <w:p w14:paraId="72E6357D" w14:textId="77777777" w:rsidR="00951173" w:rsidRPr="00625218" w:rsidRDefault="00951173" w:rsidP="00951173">
      <w:pPr>
        <w:pStyle w:val="H1G"/>
      </w:pPr>
      <w:r w:rsidRPr="00625218">
        <w:lastRenderedPageBreak/>
        <w:tab/>
      </w:r>
      <w:r w:rsidRPr="00625218">
        <w:tab/>
        <w:t>Chapter 1.8</w:t>
      </w:r>
    </w:p>
    <w:p w14:paraId="049EEFF4" w14:textId="77777777" w:rsidR="00951173" w:rsidRPr="00625218" w:rsidRDefault="00951173" w:rsidP="00951173">
      <w:pPr>
        <w:pStyle w:val="SingleTxtG"/>
        <w:rPr>
          <w:lang w:val="en-GB"/>
        </w:rPr>
      </w:pPr>
      <w:r w:rsidRPr="00625218">
        <w:rPr>
          <w:bCs/>
          <w:lang w:val="en-GB"/>
        </w:rPr>
        <w:t>1.8.6.2.1</w:t>
      </w:r>
      <w:r w:rsidRPr="00625218">
        <w:rPr>
          <w:bCs/>
          <w:lang w:val="en-GB"/>
        </w:rPr>
        <w:tab/>
      </w:r>
      <w:r w:rsidRPr="00625218">
        <w:rPr>
          <w:lang w:val="en-GB"/>
        </w:rPr>
        <w:t>Amend the last paragraph to read:</w:t>
      </w:r>
    </w:p>
    <w:p w14:paraId="60681AB6" w14:textId="2AE02968" w:rsidR="00951173" w:rsidRPr="00625218" w:rsidRDefault="00B212E8" w:rsidP="00951173">
      <w:pPr>
        <w:pStyle w:val="SingleTxtG"/>
        <w:rPr>
          <w:lang w:val="en-GB"/>
        </w:rPr>
      </w:pPr>
      <w:r w:rsidRPr="00625218">
        <w:rPr>
          <w:lang w:val="en-GB"/>
        </w:rPr>
        <w:t>“</w:t>
      </w:r>
      <w:r w:rsidR="00951173" w:rsidRPr="00625218">
        <w:rPr>
          <w:lang w:val="en-GB"/>
        </w:rPr>
        <w:t>When the competent authority performs the tasks of the inspection body itself, the competent authority shall comply with the provisions of 1.8.6.3. However, when a competent authority designates an inspection body to act as the competent authority the designated body shall be accredited according to the standard EN ISO/IEC 17020:2012 (except clause 8.1.3) type A.</w:t>
      </w:r>
      <w:r w:rsidRPr="00625218">
        <w:rPr>
          <w:lang w:val="en-GB"/>
        </w:rPr>
        <w:t>”</w:t>
      </w:r>
    </w:p>
    <w:p w14:paraId="14D5A55E" w14:textId="77777777" w:rsidR="00951173" w:rsidRPr="00625218" w:rsidRDefault="00951173" w:rsidP="00951173">
      <w:pPr>
        <w:pStyle w:val="SingleTxtG"/>
        <w:rPr>
          <w:i/>
          <w:iCs/>
          <w:lang w:val="en-GB"/>
        </w:rPr>
      </w:pPr>
      <w:r w:rsidRPr="00625218">
        <w:rPr>
          <w:i/>
          <w:iCs/>
          <w:lang w:val="en-GB"/>
        </w:rPr>
        <w:t>(Replaces the draft amendment in ECE/TRANS/WP.15/264, annex III)</w:t>
      </w:r>
    </w:p>
    <w:p w14:paraId="6335B42E" w14:textId="77777777" w:rsidR="00951173" w:rsidRPr="00625218" w:rsidRDefault="00951173" w:rsidP="00B41740">
      <w:pPr>
        <w:pStyle w:val="SingleTxtG"/>
        <w:ind w:left="2268" w:hanging="1134"/>
        <w:rPr>
          <w:lang w:val="en-GB"/>
        </w:rPr>
      </w:pPr>
      <w:r w:rsidRPr="00625218">
        <w:rPr>
          <w:lang w:val="en-GB"/>
        </w:rPr>
        <w:t xml:space="preserve">1.8.6.3.1 </w:t>
      </w:r>
      <w:r w:rsidRPr="00625218">
        <w:rPr>
          <w:lang w:val="en-GB"/>
        </w:rPr>
        <w:tab/>
        <w:t>Amend the last sentence to read: “The requirements above are deemed to be met in the case of accreditation according to the standard EN ISO/IEC 17020:2012 (except clause 8.1.3).”</w:t>
      </w:r>
    </w:p>
    <w:p w14:paraId="1E4E28EC" w14:textId="77777777" w:rsidR="00951173" w:rsidRPr="00625218" w:rsidRDefault="00951173" w:rsidP="00951173">
      <w:pPr>
        <w:pStyle w:val="SingleTxtG"/>
        <w:rPr>
          <w:i/>
          <w:iCs/>
          <w:lang w:val="en-GB"/>
        </w:rPr>
      </w:pPr>
      <w:r w:rsidRPr="00625218">
        <w:rPr>
          <w:i/>
          <w:iCs/>
          <w:lang w:val="en-GB"/>
        </w:rPr>
        <w:t>(Reference document: ECE/TRANS/WP.15/264, annex III)</w:t>
      </w:r>
    </w:p>
    <w:p w14:paraId="2849B425" w14:textId="77777777" w:rsidR="00E56657" w:rsidRPr="00625218" w:rsidRDefault="00E56657" w:rsidP="00D56736">
      <w:pPr>
        <w:pStyle w:val="H1G"/>
      </w:pPr>
      <w:r w:rsidRPr="00625218">
        <w:tab/>
      </w:r>
      <w:r w:rsidRPr="00625218">
        <w:tab/>
        <w:t>Chapter 4.1</w:t>
      </w:r>
    </w:p>
    <w:p w14:paraId="0119BCC4" w14:textId="00631F25" w:rsidR="00E56657" w:rsidRPr="00625218" w:rsidRDefault="00E56657" w:rsidP="00564105">
      <w:pPr>
        <w:pStyle w:val="SingleTxtG"/>
        <w:tabs>
          <w:tab w:val="left" w:pos="2268"/>
        </w:tabs>
        <w:ind w:left="2268" w:hanging="1134"/>
        <w:rPr>
          <w:lang w:val="en-GB"/>
        </w:rPr>
      </w:pPr>
      <w:r w:rsidRPr="00625218">
        <w:rPr>
          <w:lang w:val="en-GB"/>
        </w:rPr>
        <w:t>4.1.4.1</w:t>
      </w:r>
      <w:r w:rsidR="00564105" w:rsidRPr="00625218">
        <w:rPr>
          <w:lang w:val="en-GB"/>
        </w:rPr>
        <w:t xml:space="preserve">, </w:t>
      </w:r>
      <w:r w:rsidRPr="00625218">
        <w:rPr>
          <w:lang w:val="en-GB"/>
        </w:rPr>
        <w:t>P200</w:t>
      </w:r>
      <w:r w:rsidRPr="00625218">
        <w:rPr>
          <w:lang w:val="en-GB"/>
        </w:rPr>
        <w:tab/>
        <w:t xml:space="preserve">In paragraph (11), at the end of the table, delete the row for standard </w:t>
      </w:r>
      <w:r w:rsidR="00B212E8" w:rsidRPr="00625218">
        <w:rPr>
          <w:lang w:val="en-GB"/>
        </w:rPr>
        <w:t>“</w:t>
      </w:r>
      <w:r w:rsidRPr="00625218">
        <w:rPr>
          <w:lang w:val="en-GB"/>
        </w:rPr>
        <w:t>EN 14794:2005</w:t>
      </w:r>
      <w:r w:rsidR="00B212E8" w:rsidRPr="00625218">
        <w:rPr>
          <w:lang w:val="en-GB"/>
        </w:rPr>
        <w:t>”</w:t>
      </w:r>
      <w:r w:rsidRPr="00625218">
        <w:rPr>
          <w:lang w:val="en-GB"/>
        </w:rPr>
        <w:t>.</w:t>
      </w:r>
    </w:p>
    <w:p w14:paraId="5A35BE35" w14:textId="3C752D95" w:rsidR="00E56657" w:rsidRPr="00625218" w:rsidRDefault="00943187" w:rsidP="007A225A">
      <w:pPr>
        <w:pStyle w:val="SingleTxtG"/>
        <w:ind w:left="2268"/>
        <w:rPr>
          <w:lang w:val="en-GB"/>
        </w:rPr>
      </w:pPr>
      <w:r w:rsidRPr="00625218">
        <w:rPr>
          <w:lang w:val="en-GB"/>
        </w:rPr>
        <w:t>In Table 2, in the footnote related to the filling ratio for UN No. 1965,</w:t>
      </w:r>
      <w:r w:rsidR="00E56657" w:rsidRPr="00625218">
        <w:rPr>
          <w:lang w:val="en-GB"/>
        </w:rPr>
        <w:t xml:space="preserve"> after the graph, insert the following new note:</w:t>
      </w:r>
    </w:p>
    <w:p w14:paraId="5ACEEE3D" w14:textId="2232F3C2" w:rsidR="00E56657" w:rsidRPr="00625218" w:rsidRDefault="00B212E8" w:rsidP="007A225A">
      <w:pPr>
        <w:pStyle w:val="SingleTxtG"/>
        <w:ind w:left="2268"/>
        <w:rPr>
          <w:i/>
          <w:iCs/>
          <w:lang w:val="en-GB"/>
        </w:rPr>
      </w:pPr>
      <w:r w:rsidRPr="00625218">
        <w:rPr>
          <w:i/>
          <w:iCs/>
          <w:lang w:val="en-GB"/>
        </w:rPr>
        <w:t>“</w:t>
      </w:r>
      <w:r w:rsidR="00B97CA2" w:rsidRPr="00625218">
        <w:rPr>
          <w:b/>
          <w:i/>
          <w:iCs/>
          <w:lang w:val="en-GB"/>
        </w:rPr>
        <w:t>NOTE</w:t>
      </w:r>
      <w:r w:rsidR="00E56657" w:rsidRPr="00625218">
        <w:rPr>
          <w:b/>
          <w:i/>
          <w:iCs/>
          <w:lang w:val="en-GB"/>
        </w:rPr>
        <w:t>:</w:t>
      </w:r>
      <w:r w:rsidR="00E56657" w:rsidRPr="00625218">
        <w:rPr>
          <w:i/>
          <w:iCs/>
          <w:lang w:val="en-GB"/>
        </w:rPr>
        <w:tab/>
      </w:r>
      <w:r w:rsidR="007A225A" w:rsidRPr="00625218">
        <w:rPr>
          <w:i/>
          <w:iCs/>
          <w:lang w:val="en-GB"/>
        </w:rPr>
        <w:t> </w:t>
      </w:r>
      <w:r w:rsidR="00E56657" w:rsidRPr="00625218">
        <w:rPr>
          <w:i/>
          <w:iCs/>
          <w:lang w:val="en-GB"/>
        </w:rPr>
        <w:t>The graph above can be used to determine the correct filling ratios for the mixtures listed in 2.2.2.3.</w:t>
      </w:r>
      <w:r w:rsidRPr="00625218">
        <w:rPr>
          <w:i/>
          <w:iCs/>
          <w:lang w:val="en-GB"/>
        </w:rPr>
        <w:t>”</w:t>
      </w:r>
    </w:p>
    <w:p w14:paraId="7AB4EDD4" w14:textId="796651CB" w:rsidR="00E56657" w:rsidRPr="00625218" w:rsidRDefault="00E56657" w:rsidP="00FD234A">
      <w:pPr>
        <w:pStyle w:val="SingleTxtG"/>
        <w:ind w:left="2268" w:hanging="1134"/>
        <w:rPr>
          <w:lang w:val="en-GB"/>
        </w:rPr>
      </w:pPr>
      <w:r w:rsidRPr="00625218">
        <w:rPr>
          <w:bCs/>
          <w:lang w:val="en-GB"/>
        </w:rPr>
        <w:t>4.1.6.15</w:t>
      </w:r>
      <w:r w:rsidRPr="00625218">
        <w:rPr>
          <w:bCs/>
          <w:lang w:val="en-GB"/>
        </w:rPr>
        <w:tab/>
      </w:r>
      <w:r w:rsidRPr="00625218">
        <w:rPr>
          <w:rFonts w:eastAsia="Calibri"/>
          <w:bCs/>
          <w:lang w:val="en-GB"/>
        </w:rPr>
        <w:t>In table 4.1.6.15.1,</w:t>
      </w:r>
      <w:r w:rsidR="00A328B1" w:rsidRPr="00625218">
        <w:rPr>
          <w:rFonts w:eastAsia="Calibri"/>
          <w:bCs/>
          <w:lang w:val="en-GB"/>
        </w:rPr>
        <w:t xml:space="preserve"> </w:t>
      </w:r>
      <w:r w:rsidR="00EE2DB8" w:rsidRPr="00625218">
        <w:rPr>
          <w:rFonts w:eastAsia="Calibri"/>
          <w:bCs/>
          <w:lang w:val="en-GB"/>
        </w:rPr>
        <w:t xml:space="preserve">in the first line </w:t>
      </w:r>
      <w:r w:rsidRPr="00625218">
        <w:rPr>
          <w:lang w:val="en-GB"/>
        </w:rPr>
        <w:t xml:space="preserve">for </w:t>
      </w:r>
      <w:r w:rsidR="00B212E8" w:rsidRPr="00625218">
        <w:rPr>
          <w:lang w:val="en-GB"/>
        </w:rPr>
        <w:t>“</w:t>
      </w:r>
      <w:r w:rsidRPr="00625218">
        <w:rPr>
          <w:lang w:val="en-GB"/>
        </w:rPr>
        <w:t>4.1.6.8 Valves with inherent protection</w:t>
      </w:r>
      <w:r w:rsidR="00B212E8" w:rsidRPr="00625218">
        <w:rPr>
          <w:lang w:val="en-GB"/>
        </w:rPr>
        <w:t>”</w:t>
      </w:r>
      <w:r w:rsidRPr="00625218">
        <w:rPr>
          <w:lang w:val="en-GB"/>
        </w:rPr>
        <w:t>, in the second column</w:t>
      </w:r>
      <w:r w:rsidR="002218C8" w:rsidRPr="00625218">
        <w:rPr>
          <w:lang w:val="en-GB"/>
        </w:rPr>
        <w:t>,</w:t>
      </w:r>
      <w:r w:rsidRPr="00625218">
        <w:rPr>
          <w:lang w:val="en-GB"/>
        </w:rPr>
        <w:t xml:space="preserve"> </w:t>
      </w:r>
      <w:r w:rsidR="00C93306" w:rsidRPr="00625218">
        <w:rPr>
          <w:lang w:val="en-GB"/>
        </w:rPr>
        <w:t>after</w:t>
      </w:r>
      <w:r w:rsidRPr="00625218">
        <w:rPr>
          <w:rFonts w:cs="Arial"/>
          <w:lang w:val="en-GB"/>
        </w:rPr>
        <w:t xml:space="preserve"> </w:t>
      </w:r>
      <w:r w:rsidR="00B212E8" w:rsidRPr="00625218">
        <w:rPr>
          <w:rFonts w:cs="Arial"/>
          <w:lang w:val="en-GB"/>
        </w:rPr>
        <w:t>“</w:t>
      </w:r>
      <w:r w:rsidRPr="00625218">
        <w:rPr>
          <w:rFonts w:cs="Arial"/>
          <w:lang w:val="en-GB"/>
        </w:rPr>
        <w:t>EN ISO 10297:2014 + A1:2017</w:t>
      </w:r>
      <w:r w:rsidR="00B212E8" w:rsidRPr="00625218">
        <w:rPr>
          <w:rFonts w:cs="Arial"/>
          <w:lang w:val="en-GB"/>
        </w:rPr>
        <w:t>”</w:t>
      </w:r>
      <w:r w:rsidR="00C93306" w:rsidRPr="00625218">
        <w:rPr>
          <w:rFonts w:cs="Arial"/>
          <w:lang w:val="en-GB"/>
        </w:rPr>
        <w:t xml:space="preserve"> </w:t>
      </w:r>
      <w:r w:rsidRPr="00625218">
        <w:rPr>
          <w:rFonts w:cs="Arial"/>
          <w:lang w:val="en-GB"/>
        </w:rPr>
        <w:t xml:space="preserve">add </w:t>
      </w:r>
      <w:r w:rsidR="00B212E8" w:rsidRPr="00625218">
        <w:rPr>
          <w:lang w:val="en-GB"/>
        </w:rPr>
        <w:t>“</w:t>
      </w:r>
      <w:r w:rsidRPr="00625218">
        <w:rPr>
          <w:lang w:val="en-GB"/>
        </w:rPr>
        <w:t>[or clause 5.4.2 of EN ISO 10297:[2024]]</w:t>
      </w:r>
      <w:r w:rsidR="00B212E8" w:rsidRPr="00625218">
        <w:rPr>
          <w:rFonts w:cs="Arial"/>
          <w:lang w:val="en-GB"/>
        </w:rPr>
        <w:t>”</w:t>
      </w:r>
      <w:r w:rsidRPr="00625218">
        <w:rPr>
          <w:rFonts w:cs="Arial"/>
          <w:lang w:val="en-GB"/>
        </w:rPr>
        <w:t>.</w:t>
      </w:r>
    </w:p>
    <w:p w14:paraId="5BE8EFBF" w14:textId="77777777" w:rsidR="00E56657" w:rsidRPr="00625218" w:rsidRDefault="00E56657" w:rsidP="001C6D77">
      <w:pPr>
        <w:pStyle w:val="H1G"/>
      </w:pPr>
      <w:r w:rsidRPr="00625218">
        <w:tab/>
      </w:r>
      <w:r w:rsidRPr="00625218">
        <w:tab/>
        <w:t>Chapter 4.2</w:t>
      </w:r>
    </w:p>
    <w:p w14:paraId="17501DC4" w14:textId="085BD9F6" w:rsidR="00E56657" w:rsidRPr="00625218" w:rsidRDefault="00E56657" w:rsidP="008E1C69">
      <w:pPr>
        <w:pStyle w:val="SingleTxtG"/>
        <w:rPr>
          <w:lang w:val="en-GB"/>
        </w:rPr>
      </w:pPr>
      <w:r w:rsidRPr="00625218">
        <w:rPr>
          <w:lang w:val="en-GB"/>
        </w:rPr>
        <w:t xml:space="preserve">After the heading of Chapter 4.2, in Note 2 after </w:t>
      </w:r>
      <w:r w:rsidR="00B212E8" w:rsidRPr="00625218">
        <w:rPr>
          <w:lang w:val="en-GB"/>
        </w:rPr>
        <w:t>“</w:t>
      </w:r>
      <w:r w:rsidRPr="00625218">
        <w:rPr>
          <w:lang w:val="en-GB"/>
        </w:rPr>
        <w:t xml:space="preserve">which is not </w:t>
      </w:r>
      <w:r w:rsidR="003F5025" w:rsidRPr="00625218">
        <w:rPr>
          <w:lang w:val="en-GB"/>
        </w:rPr>
        <w:t xml:space="preserve">a </w:t>
      </w:r>
      <w:r w:rsidRPr="00625218">
        <w:rPr>
          <w:lang w:val="en-GB"/>
        </w:rPr>
        <w:t>Contracting Party to ADR</w:t>
      </w:r>
      <w:r w:rsidR="00B212E8" w:rsidRPr="00625218">
        <w:rPr>
          <w:lang w:val="en-GB"/>
        </w:rPr>
        <w:t>”</w:t>
      </w:r>
      <w:r w:rsidRPr="00625218">
        <w:rPr>
          <w:lang w:val="en-GB"/>
        </w:rPr>
        <w:t>, insert</w:t>
      </w:r>
      <w:r w:rsidR="008E1C69" w:rsidRPr="00625218">
        <w:rPr>
          <w:lang w:val="en-GB"/>
        </w:rPr>
        <w:t xml:space="preserve"> </w:t>
      </w:r>
      <w:r w:rsidR="00B212E8" w:rsidRPr="00625218">
        <w:rPr>
          <w:lang w:val="en-GB"/>
        </w:rPr>
        <w:t>“</w:t>
      </w:r>
      <w:r w:rsidRPr="00625218">
        <w:rPr>
          <w:i/>
          <w:iCs/>
          <w:lang w:val="en-GB"/>
        </w:rPr>
        <w:t>or approved in accordance with Chapter 6.7 of the IMDG Code</w:t>
      </w:r>
      <w:r w:rsidR="00B212E8" w:rsidRPr="00625218">
        <w:rPr>
          <w:lang w:val="en-GB"/>
        </w:rPr>
        <w:t>”</w:t>
      </w:r>
      <w:r w:rsidRPr="00625218">
        <w:rPr>
          <w:lang w:val="en-GB"/>
        </w:rPr>
        <w:t>.</w:t>
      </w:r>
    </w:p>
    <w:p w14:paraId="63966737" w14:textId="3941A97B" w:rsidR="00E56657" w:rsidRPr="00625218" w:rsidRDefault="00E56657" w:rsidP="00E56657">
      <w:pPr>
        <w:pStyle w:val="SingleTxtG"/>
        <w:rPr>
          <w:bCs/>
          <w:lang w:val="en-GB"/>
        </w:rPr>
      </w:pPr>
      <w:r w:rsidRPr="00625218">
        <w:rPr>
          <w:bCs/>
          <w:lang w:val="en-GB"/>
        </w:rPr>
        <w:t>4.2.3.7.1</w:t>
      </w:r>
      <w:r w:rsidRPr="00625218">
        <w:rPr>
          <w:bCs/>
          <w:lang w:val="en-GB"/>
        </w:rPr>
        <w:tab/>
        <w:t>At the end, add a new paragraph to read:</w:t>
      </w:r>
    </w:p>
    <w:p w14:paraId="1C02A3B7" w14:textId="1830F020" w:rsidR="00E56657" w:rsidRPr="00625218" w:rsidRDefault="00B212E8" w:rsidP="00E56657">
      <w:pPr>
        <w:pStyle w:val="SingleTxtG"/>
        <w:rPr>
          <w:lang w:val="en-GB"/>
        </w:rPr>
      </w:pPr>
      <w:r w:rsidRPr="00625218">
        <w:rPr>
          <w:lang w:val="en-GB"/>
        </w:rPr>
        <w:t>“</w:t>
      </w:r>
      <w:r w:rsidR="00E56657" w:rsidRPr="00625218">
        <w:rPr>
          <w:lang w:val="en-GB"/>
        </w:rPr>
        <w:t>The calculation of the actual holding time may be waived when the whole journey takes place by road only, without trans-shipment onto another vehicle and without intermediate temporary storage. When the calculation of the actual holding time is waived the provisions of 4.2.3.7.2, 4.2.3.7.3 and 4.2.3.8 (e) and (f) shall not apply.</w:t>
      </w:r>
      <w:r w:rsidRPr="00625218">
        <w:rPr>
          <w:lang w:val="en-GB"/>
        </w:rPr>
        <w:t>”</w:t>
      </w:r>
    </w:p>
    <w:p w14:paraId="7DCFE3C1" w14:textId="77777777" w:rsidR="00E56657" w:rsidRPr="00625218" w:rsidRDefault="00E56657" w:rsidP="001C6D77">
      <w:pPr>
        <w:pStyle w:val="H1G"/>
      </w:pPr>
      <w:r w:rsidRPr="00625218">
        <w:tab/>
      </w:r>
      <w:r w:rsidRPr="00625218">
        <w:tab/>
        <w:t>Chapter 4.3</w:t>
      </w:r>
    </w:p>
    <w:p w14:paraId="5214ED35" w14:textId="1C7AF0E5" w:rsidR="00E56657" w:rsidRPr="00625218" w:rsidRDefault="00E56657" w:rsidP="00E56657">
      <w:pPr>
        <w:pStyle w:val="SingleTxtG"/>
        <w:ind w:left="2268" w:right="567" w:hanging="1134"/>
        <w:rPr>
          <w:bCs/>
          <w:lang w:val="en-GB" w:eastAsia="zh-CN"/>
        </w:rPr>
      </w:pPr>
      <w:r w:rsidRPr="00625218">
        <w:rPr>
          <w:bCs/>
          <w:lang w:val="en-GB"/>
        </w:rPr>
        <w:t>4.3.3.5</w:t>
      </w:r>
      <w:r w:rsidRPr="00625218">
        <w:rPr>
          <w:bCs/>
          <w:lang w:val="en-GB"/>
        </w:rPr>
        <w:tab/>
      </w:r>
      <w:r w:rsidRPr="00625218">
        <w:rPr>
          <w:bCs/>
          <w:lang w:val="en-GB"/>
        </w:rPr>
        <w:tab/>
      </w:r>
      <w:r w:rsidRPr="00625218">
        <w:rPr>
          <w:bCs/>
          <w:lang w:val="en-GB" w:eastAsia="zh-CN"/>
        </w:rPr>
        <w:t>In the right hand column, at the end, add the following paragraph:</w:t>
      </w:r>
    </w:p>
    <w:p w14:paraId="07DCE538" w14:textId="01AF15AC" w:rsidR="00E56657" w:rsidRPr="00625218" w:rsidRDefault="00B212E8" w:rsidP="00E56657">
      <w:pPr>
        <w:pStyle w:val="SingleTxtG"/>
        <w:rPr>
          <w:lang w:val="en-GB"/>
        </w:rPr>
      </w:pPr>
      <w:r w:rsidRPr="00625218">
        <w:rPr>
          <w:lang w:val="en-GB"/>
        </w:rPr>
        <w:t>“</w:t>
      </w:r>
      <w:r w:rsidR="00E56657" w:rsidRPr="00625218">
        <w:rPr>
          <w:lang w:val="en-GB"/>
        </w:rPr>
        <w:t>The calculation of the actual holding time may be waived when the whole journey takes place by road only, without trans-shipment onto another vehicle and without intermediate temporary storage. When the calculation of the actual holding time is waived the provisions of 4.3.3.6 (e), (f) and (g) shall not apply.</w:t>
      </w:r>
      <w:r w:rsidRPr="00625218">
        <w:rPr>
          <w:lang w:val="en-GB"/>
        </w:rPr>
        <w:t>”</w:t>
      </w:r>
    </w:p>
    <w:p w14:paraId="32B19014" w14:textId="77777777" w:rsidR="00E56657" w:rsidRPr="00625218" w:rsidRDefault="00E56657" w:rsidP="001C6D77">
      <w:pPr>
        <w:pStyle w:val="H1G"/>
      </w:pPr>
      <w:r w:rsidRPr="00625218">
        <w:tab/>
      </w:r>
      <w:r w:rsidRPr="00625218">
        <w:tab/>
        <w:t>Chapter 5.4</w:t>
      </w:r>
    </w:p>
    <w:p w14:paraId="772036A5" w14:textId="66F2115B" w:rsidR="00AB0A88" w:rsidRPr="00625218" w:rsidRDefault="00AB0A88" w:rsidP="00AB0A88">
      <w:pPr>
        <w:pStyle w:val="SingleTxtG"/>
        <w:rPr>
          <w:bCs/>
          <w:lang w:val="en-GB"/>
        </w:rPr>
      </w:pPr>
      <w:r w:rsidRPr="00625218">
        <w:rPr>
          <w:bCs/>
          <w:lang w:val="en-GB"/>
        </w:rPr>
        <w:t>5.4.1.1.3.1</w:t>
      </w:r>
      <w:r w:rsidRPr="00625218">
        <w:rPr>
          <w:bCs/>
          <w:lang w:val="en-GB"/>
        </w:rPr>
        <w:tab/>
        <w:t>Amend the last paragraph to read:</w:t>
      </w:r>
    </w:p>
    <w:p w14:paraId="29DD54EC" w14:textId="140D3141" w:rsidR="00AB0A88" w:rsidRPr="00625218" w:rsidRDefault="00B212E8" w:rsidP="00AB0A88">
      <w:pPr>
        <w:pStyle w:val="SingleTxtG"/>
        <w:rPr>
          <w:lang w:val="en-GB"/>
        </w:rPr>
      </w:pPr>
      <w:r w:rsidRPr="00625218">
        <w:rPr>
          <w:lang w:val="en-GB"/>
        </w:rPr>
        <w:t>“</w:t>
      </w:r>
      <w:r w:rsidR="00AB0A88" w:rsidRPr="00625218">
        <w:rPr>
          <w:lang w:val="en-GB"/>
        </w:rPr>
        <w:t>If the provision for waste as set out in 2.1.3.5.5 is applied, the technical name, as prescribed in Chapter 3.3, special provision 274, need not be added.</w:t>
      </w:r>
      <w:r w:rsidRPr="00625218">
        <w:rPr>
          <w:lang w:val="en-GB"/>
        </w:rPr>
        <w:t>”</w:t>
      </w:r>
    </w:p>
    <w:p w14:paraId="1DDCCCD4" w14:textId="3BC1D2C2" w:rsidR="00E56657" w:rsidRPr="00625218" w:rsidRDefault="00E56657" w:rsidP="00E56657">
      <w:pPr>
        <w:pStyle w:val="SingleTxtG"/>
        <w:rPr>
          <w:bCs/>
          <w:lang w:val="en-GB"/>
        </w:rPr>
      </w:pPr>
      <w:r w:rsidRPr="00625218">
        <w:rPr>
          <w:bCs/>
          <w:lang w:val="en-GB"/>
        </w:rPr>
        <w:t>5.4.1.2.2</w:t>
      </w:r>
      <w:r w:rsidRPr="00625218">
        <w:rPr>
          <w:bCs/>
          <w:lang w:val="en-GB"/>
        </w:rPr>
        <w:tab/>
        <w:t xml:space="preserve">In </w:t>
      </w:r>
      <w:r w:rsidR="00617446" w:rsidRPr="00625218">
        <w:rPr>
          <w:bCs/>
          <w:lang w:val="en-GB"/>
        </w:rPr>
        <w:t>sub-</w:t>
      </w:r>
      <w:r w:rsidRPr="00625218">
        <w:rPr>
          <w:bCs/>
          <w:lang w:val="en-GB"/>
        </w:rPr>
        <w:t>paragraph (d), at the end, add the following paragraph:</w:t>
      </w:r>
    </w:p>
    <w:p w14:paraId="3AAAAAD2" w14:textId="4000954C" w:rsidR="00E56657" w:rsidRPr="00625218" w:rsidRDefault="00B212E8" w:rsidP="00E56657">
      <w:pPr>
        <w:pStyle w:val="SingleTxtG"/>
        <w:rPr>
          <w:lang w:val="en-GB"/>
        </w:rPr>
      </w:pPr>
      <w:r w:rsidRPr="00625218">
        <w:rPr>
          <w:lang w:val="en-GB"/>
        </w:rPr>
        <w:lastRenderedPageBreak/>
        <w:t>“</w:t>
      </w:r>
      <w:r w:rsidR="00E56657" w:rsidRPr="00625218">
        <w:rPr>
          <w:lang w:val="en-GB"/>
        </w:rPr>
        <w:t>When the calculation of the actual holding time is waived in accordance with 4.2.3.7.1 or 4.3.3.5 this provision shall not apply</w:t>
      </w:r>
      <w:r w:rsidR="00617446" w:rsidRPr="00625218">
        <w:rPr>
          <w:lang w:val="en-GB"/>
        </w:rPr>
        <w:t>;</w:t>
      </w:r>
      <w:r w:rsidRPr="00625218">
        <w:rPr>
          <w:lang w:val="en-GB"/>
        </w:rPr>
        <w:t>”</w:t>
      </w:r>
    </w:p>
    <w:p w14:paraId="142991B6" w14:textId="1ED283F9" w:rsidR="000C2BBF" w:rsidRPr="00625218" w:rsidRDefault="000C2BBF" w:rsidP="000C2BBF">
      <w:pPr>
        <w:pStyle w:val="H1G"/>
      </w:pPr>
      <w:r w:rsidRPr="00625218">
        <w:tab/>
      </w:r>
      <w:r w:rsidRPr="00625218">
        <w:tab/>
        <w:t>Chapter 5.5</w:t>
      </w:r>
    </w:p>
    <w:p w14:paraId="40B12EE3" w14:textId="0ED95F4C" w:rsidR="0053680B" w:rsidRPr="00625218" w:rsidRDefault="0053680B" w:rsidP="0053680B">
      <w:pPr>
        <w:pStyle w:val="SingleTxtG"/>
        <w:tabs>
          <w:tab w:val="left" w:pos="2268"/>
        </w:tabs>
        <w:rPr>
          <w:bCs/>
          <w:lang w:val="en-GB"/>
        </w:rPr>
      </w:pPr>
      <w:r w:rsidRPr="00625218">
        <w:rPr>
          <w:bCs/>
          <w:lang w:val="en-GB"/>
        </w:rPr>
        <w:t>5.5.4</w:t>
      </w:r>
      <w:r w:rsidRPr="00625218">
        <w:rPr>
          <w:bCs/>
          <w:lang w:val="en-GB"/>
        </w:rPr>
        <w:tab/>
        <w:t>The amendment in the French version does not apply to the English text.</w:t>
      </w:r>
    </w:p>
    <w:p w14:paraId="68609E58" w14:textId="3DFDBE90" w:rsidR="0053680B" w:rsidRPr="00625218" w:rsidRDefault="0053680B" w:rsidP="0053680B">
      <w:pPr>
        <w:pStyle w:val="SingleTxtG"/>
        <w:tabs>
          <w:tab w:val="left" w:pos="2268"/>
        </w:tabs>
        <w:rPr>
          <w:bCs/>
          <w:lang w:val="en-GB"/>
        </w:rPr>
      </w:pPr>
      <w:r w:rsidRPr="00625218">
        <w:rPr>
          <w:bCs/>
          <w:lang w:val="en-GB"/>
        </w:rPr>
        <w:t>5.5.4.1</w:t>
      </w:r>
      <w:r w:rsidRPr="00625218">
        <w:rPr>
          <w:bCs/>
          <w:lang w:val="en-GB"/>
        </w:rPr>
        <w:tab/>
        <w:t>The amendment in the French version does not apply to the English text.</w:t>
      </w:r>
    </w:p>
    <w:p w14:paraId="735D6D38" w14:textId="77777777" w:rsidR="00E56657" w:rsidRPr="00625218" w:rsidRDefault="00E56657" w:rsidP="001C6D77">
      <w:pPr>
        <w:pStyle w:val="H1G"/>
      </w:pPr>
      <w:r w:rsidRPr="00625218">
        <w:tab/>
      </w:r>
      <w:r w:rsidRPr="00625218">
        <w:tab/>
        <w:t>Chapter 6.2</w:t>
      </w:r>
    </w:p>
    <w:p w14:paraId="6233EE7C" w14:textId="55551D68" w:rsidR="00E56657" w:rsidRPr="00625218" w:rsidRDefault="00E56657" w:rsidP="00B212E8">
      <w:pPr>
        <w:pStyle w:val="SingleTxtG"/>
        <w:ind w:left="2268" w:hanging="1134"/>
        <w:rPr>
          <w:lang w:val="en-GB"/>
        </w:rPr>
      </w:pPr>
      <w:r w:rsidRPr="00625218">
        <w:rPr>
          <w:lang w:val="en-GB"/>
        </w:rPr>
        <w:t>6.2.4.1</w:t>
      </w:r>
      <w:r w:rsidRPr="00625218">
        <w:rPr>
          <w:lang w:val="en-GB"/>
        </w:rPr>
        <w:tab/>
      </w:r>
      <w:r w:rsidRPr="00625218">
        <w:rPr>
          <w:lang w:val="en-GB"/>
        </w:rPr>
        <w:tab/>
        <w:t xml:space="preserve">In the table, under </w:t>
      </w:r>
      <w:r w:rsidR="00B212E8" w:rsidRPr="00625218">
        <w:rPr>
          <w:lang w:val="en-GB"/>
        </w:rPr>
        <w:t>“</w:t>
      </w:r>
      <w:r w:rsidRPr="00625218">
        <w:rPr>
          <w:i/>
          <w:iCs/>
          <w:lang w:val="en-GB"/>
        </w:rPr>
        <w:t>for design and construction of pressure receptacles or pressure receptacle shells</w:t>
      </w:r>
      <w:r w:rsidR="00B212E8" w:rsidRPr="00625218">
        <w:rPr>
          <w:lang w:val="en-GB"/>
        </w:rPr>
        <w:t>”</w:t>
      </w:r>
      <w:r w:rsidRPr="00625218">
        <w:rPr>
          <w:lang w:val="en-GB"/>
        </w:rPr>
        <w:t>, amend the following:</w:t>
      </w:r>
    </w:p>
    <w:p w14:paraId="25079784" w14:textId="489C6FEF" w:rsidR="00E56657" w:rsidRPr="00625218" w:rsidRDefault="00E56657" w:rsidP="00385C2D">
      <w:pPr>
        <w:pStyle w:val="SingleTxtG"/>
        <w:ind w:left="2268"/>
        <w:rPr>
          <w:lang w:val="en-GB"/>
        </w:rPr>
      </w:pPr>
      <w:r w:rsidRPr="00625218">
        <w:rPr>
          <w:lang w:val="en-GB"/>
        </w:rPr>
        <w:tab/>
        <w:t xml:space="preserve">In the row for EN 1964-3:2000, in column (4), replace </w:t>
      </w:r>
      <w:r w:rsidR="00B212E8" w:rsidRPr="00625218">
        <w:rPr>
          <w:lang w:val="en-GB"/>
        </w:rPr>
        <w:t>“</w:t>
      </w:r>
      <w:r w:rsidRPr="00625218">
        <w:rPr>
          <w:lang w:val="en-GB"/>
        </w:rPr>
        <w:t>Until further notice</w:t>
      </w:r>
      <w:r w:rsidR="00B212E8" w:rsidRPr="00625218">
        <w:rPr>
          <w:lang w:val="en-GB"/>
        </w:rPr>
        <w:t xml:space="preserve">” </w:t>
      </w:r>
      <w:r w:rsidRPr="00625218">
        <w:rPr>
          <w:lang w:val="en-GB"/>
        </w:rPr>
        <w:t>by</w:t>
      </w:r>
      <w:r w:rsidR="00385C2D" w:rsidRPr="00625218">
        <w:rPr>
          <w:lang w:val="en-GB"/>
        </w:rPr>
        <w:t xml:space="preserve"> </w:t>
      </w:r>
      <w:r w:rsidR="00B212E8" w:rsidRPr="00625218">
        <w:rPr>
          <w:lang w:val="en-GB"/>
        </w:rPr>
        <w:t>“</w:t>
      </w:r>
      <w:r w:rsidRPr="00625218">
        <w:rPr>
          <w:lang w:val="en-GB"/>
        </w:rPr>
        <w:t>Until 31 December 2026</w:t>
      </w:r>
      <w:r w:rsidR="00B212E8" w:rsidRPr="00625218">
        <w:rPr>
          <w:lang w:val="en-GB"/>
        </w:rPr>
        <w:t>”</w:t>
      </w:r>
      <w:r w:rsidRPr="00625218">
        <w:rPr>
          <w:lang w:val="en-GB"/>
        </w:rPr>
        <w:t>.</w:t>
      </w:r>
    </w:p>
    <w:p w14:paraId="685C79F0" w14:textId="080F8656" w:rsidR="00E56657" w:rsidRPr="00625218" w:rsidRDefault="00E56657" w:rsidP="00385C2D">
      <w:pPr>
        <w:pStyle w:val="SingleTxtG"/>
        <w:ind w:left="2268"/>
        <w:rPr>
          <w:lang w:val="en-GB"/>
        </w:rPr>
      </w:pPr>
      <w:r w:rsidRPr="00625218">
        <w:rPr>
          <w:lang w:val="en-GB"/>
        </w:rPr>
        <w:t xml:space="preserve">In the row for EN 13322-1:2003 + A1:2006, in column (4), replace </w:t>
      </w:r>
      <w:r w:rsidR="00B212E8" w:rsidRPr="00625218">
        <w:rPr>
          <w:lang w:val="en-GB"/>
        </w:rPr>
        <w:t>“</w:t>
      </w:r>
      <w:r w:rsidRPr="00625218">
        <w:rPr>
          <w:lang w:val="en-GB"/>
        </w:rPr>
        <w:t>Until further notice</w:t>
      </w:r>
      <w:r w:rsidR="00B212E8" w:rsidRPr="00625218">
        <w:rPr>
          <w:lang w:val="en-GB"/>
        </w:rPr>
        <w:t>”</w:t>
      </w:r>
      <w:r w:rsidRPr="00625218">
        <w:rPr>
          <w:lang w:val="en-GB"/>
        </w:rPr>
        <w:t xml:space="preserve"> by</w:t>
      </w:r>
      <w:r w:rsidR="00385C2D" w:rsidRPr="00625218">
        <w:rPr>
          <w:lang w:val="en-GB"/>
        </w:rPr>
        <w:t xml:space="preserve"> </w:t>
      </w:r>
      <w:r w:rsidR="00B212E8" w:rsidRPr="00625218">
        <w:rPr>
          <w:lang w:val="en-GB"/>
        </w:rPr>
        <w:t>“</w:t>
      </w:r>
      <w:r w:rsidRPr="00625218">
        <w:rPr>
          <w:lang w:val="en-GB"/>
        </w:rPr>
        <w:t>Between 1 January 2007 and 31 December 2026</w:t>
      </w:r>
      <w:r w:rsidR="00B212E8" w:rsidRPr="00625218">
        <w:rPr>
          <w:lang w:val="en-GB"/>
        </w:rPr>
        <w:t>”</w:t>
      </w:r>
      <w:r w:rsidRPr="00625218">
        <w:rPr>
          <w:lang w:val="en-GB"/>
        </w:rPr>
        <w:t>.</w:t>
      </w:r>
    </w:p>
    <w:p w14:paraId="398E9765" w14:textId="05712607" w:rsidR="00E56657" w:rsidRPr="00625218" w:rsidRDefault="00E56657" w:rsidP="00385C2D">
      <w:pPr>
        <w:pStyle w:val="SingleTxtG"/>
        <w:ind w:left="2268"/>
        <w:rPr>
          <w:lang w:val="en-GB"/>
        </w:rPr>
      </w:pPr>
      <w:r w:rsidRPr="00625218">
        <w:rPr>
          <w:lang w:val="en-GB"/>
        </w:rPr>
        <w:t>After the row for EN 13322-1:2003 + A1:2006, insert the following new row:</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E56657" w:rsidRPr="00625218" w14:paraId="5EFC7C04" w14:textId="77777777" w:rsidTr="00086B91">
        <w:trPr>
          <w:trHeight w:val="115"/>
        </w:trPr>
        <w:tc>
          <w:tcPr>
            <w:tcW w:w="1991" w:type="dxa"/>
          </w:tcPr>
          <w:p w14:paraId="39600262" w14:textId="77777777" w:rsidR="00E56657" w:rsidRPr="00625218" w:rsidRDefault="00E56657" w:rsidP="00086B91">
            <w:pPr>
              <w:widowControl w:val="0"/>
              <w:rPr>
                <w:rFonts w:cs="Arial"/>
                <w:szCs w:val="22"/>
              </w:rPr>
            </w:pPr>
            <w:r w:rsidRPr="00625218">
              <w:rPr>
                <w:rFonts w:cs="Arial"/>
                <w:szCs w:val="22"/>
              </w:rPr>
              <w:t>(1)</w:t>
            </w:r>
          </w:p>
        </w:tc>
        <w:tc>
          <w:tcPr>
            <w:tcW w:w="3261" w:type="dxa"/>
          </w:tcPr>
          <w:p w14:paraId="33483DD2" w14:textId="77777777" w:rsidR="00E56657" w:rsidRPr="00625218" w:rsidRDefault="00E56657" w:rsidP="00086B91">
            <w:pPr>
              <w:widowControl w:val="0"/>
              <w:rPr>
                <w:rFonts w:cs="Arial"/>
                <w:szCs w:val="22"/>
              </w:rPr>
            </w:pPr>
            <w:r w:rsidRPr="00625218">
              <w:rPr>
                <w:rFonts w:cs="Arial"/>
                <w:szCs w:val="22"/>
              </w:rPr>
              <w:t>(2)</w:t>
            </w:r>
          </w:p>
        </w:tc>
        <w:tc>
          <w:tcPr>
            <w:tcW w:w="1012" w:type="dxa"/>
          </w:tcPr>
          <w:p w14:paraId="7578816B" w14:textId="77777777" w:rsidR="00E56657" w:rsidRPr="00625218" w:rsidRDefault="00E56657" w:rsidP="00086B91">
            <w:pPr>
              <w:widowControl w:val="0"/>
              <w:rPr>
                <w:rFonts w:cs="Arial"/>
                <w:szCs w:val="22"/>
              </w:rPr>
            </w:pPr>
            <w:r w:rsidRPr="00625218">
              <w:rPr>
                <w:rFonts w:cs="Arial"/>
                <w:szCs w:val="22"/>
              </w:rPr>
              <w:t>(3)</w:t>
            </w:r>
          </w:p>
        </w:tc>
        <w:tc>
          <w:tcPr>
            <w:tcW w:w="956" w:type="dxa"/>
          </w:tcPr>
          <w:p w14:paraId="2B09E7CC" w14:textId="77777777" w:rsidR="00E56657" w:rsidRPr="00625218" w:rsidRDefault="00E56657" w:rsidP="00086B91">
            <w:pPr>
              <w:widowControl w:val="0"/>
              <w:rPr>
                <w:rFonts w:cs="Arial"/>
                <w:szCs w:val="22"/>
              </w:rPr>
            </w:pPr>
            <w:r w:rsidRPr="00625218">
              <w:rPr>
                <w:rFonts w:cs="Arial"/>
                <w:szCs w:val="22"/>
              </w:rPr>
              <w:t>(4)</w:t>
            </w:r>
          </w:p>
        </w:tc>
        <w:tc>
          <w:tcPr>
            <w:tcW w:w="664" w:type="dxa"/>
          </w:tcPr>
          <w:p w14:paraId="360E55C0" w14:textId="77777777" w:rsidR="00E56657" w:rsidRPr="00625218" w:rsidRDefault="00E56657" w:rsidP="00086B91">
            <w:pPr>
              <w:widowControl w:val="0"/>
              <w:rPr>
                <w:rFonts w:cs="Arial"/>
                <w:szCs w:val="22"/>
              </w:rPr>
            </w:pPr>
            <w:r w:rsidRPr="00625218">
              <w:rPr>
                <w:rFonts w:cs="Arial"/>
                <w:szCs w:val="22"/>
              </w:rPr>
              <w:t>(5)</w:t>
            </w:r>
          </w:p>
        </w:tc>
      </w:tr>
      <w:tr w:rsidR="00E56657" w:rsidRPr="00625218" w14:paraId="2B656EB0" w14:textId="77777777" w:rsidTr="00086B91">
        <w:tc>
          <w:tcPr>
            <w:tcW w:w="1991" w:type="dxa"/>
            <w:vAlign w:val="center"/>
          </w:tcPr>
          <w:p w14:paraId="172E9A6B" w14:textId="77777777" w:rsidR="00E56657" w:rsidRPr="00625218" w:rsidRDefault="00E56657" w:rsidP="00086B91">
            <w:pPr>
              <w:widowControl w:val="0"/>
              <w:rPr>
                <w:szCs w:val="22"/>
              </w:rPr>
            </w:pPr>
            <w:r w:rsidRPr="00625218">
              <w:rPr>
                <w:szCs w:val="22"/>
              </w:rPr>
              <w:t xml:space="preserve">EN </w:t>
            </w:r>
          </w:p>
          <w:p w14:paraId="71E6C319" w14:textId="77777777" w:rsidR="00E56657" w:rsidRPr="00625218" w:rsidRDefault="00E56657" w:rsidP="00086B91">
            <w:pPr>
              <w:widowControl w:val="0"/>
              <w:rPr>
                <w:rFonts w:cs="Arial"/>
                <w:szCs w:val="22"/>
              </w:rPr>
            </w:pPr>
            <w:r w:rsidRPr="00625218">
              <w:rPr>
                <w:szCs w:val="22"/>
              </w:rPr>
              <w:t>13322-1:[2024]</w:t>
            </w:r>
          </w:p>
        </w:tc>
        <w:tc>
          <w:tcPr>
            <w:tcW w:w="3261" w:type="dxa"/>
            <w:vAlign w:val="center"/>
          </w:tcPr>
          <w:p w14:paraId="3CD79A2E" w14:textId="77777777" w:rsidR="00E56657" w:rsidRPr="00625218" w:rsidRDefault="00E56657" w:rsidP="00086B91">
            <w:pPr>
              <w:widowControl w:val="0"/>
              <w:rPr>
                <w:rFonts w:cs="Arial"/>
                <w:szCs w:val="22"/>
              </w:rPr>
            </w:pPr>
            <w:r w:rsidRPr="00625218">
              <w:rPr>
                <w:rFonts w:cs="Arial"/>
                <w:szCs w:val="22"/>
              </w:rPr>
              <w:t>Transportable gas cylinders – Refillable welded steel gas cylinders – Design and construction – Part 1: Welded steel</w:t>
            </w:r>
          </w:p>
        </w:tc>
        <w:tc>
          <w:tcPr>
            <w:tcW w:w="1012" w:type="dxa"/>
            <w:vAlign w:val="center"/>
          </w:tcPr>
          <w:p w14:paraId="3642B98B" w14:textId="77777777" w:rsidR="00E56657" w:rsidRPr="00625218" w:rsidRDefault="00E56657" w:rsidP="00086B91">
            <w:pPr>
              <w:widowControl w:val="0"/>
              <w:rPr>
                <w:rFonts w:cs="Arial"/>
                <w:szCs w:val="22"/>
              </w:rPr>
            </w:pPr>
            <w:r w:rsidRPr="00625218">
              <w:rPr>
                <w:rFonts w:cs="Arial"/>
                <w:szCs w:val="22"/>
              </w:rPr>
              <w:t>6.2.3.1 and 6.2.3.4</w:t>
            </w:r>
          </w:p>
        </w:tc>
        <w:tc>
          <w:tcPr>
            <w:tcW w:w="956" w:type="dxa"/>
            <w:vAlign w:val="center"/>
          </w:tcPr>
          <w:p w14:paraId="38D4D360" w14:textId="77777777" w:rsidR="00E56657" w:rsidRPr="00625218" w:rsidRDefault="00E56657" w:rsidP="00086B91">
            <w:pPr>
              <w:widowControl w:val="0"/>
              <w:jc w:val="center"/>
              <w:rPr>
                <w:rFonts w:cs="Arial"/>
                <w:szCs w:val="22"/>
              </w:rPr>
            </w:pPr>
            <w:r w:rsidRPr="00625218">
              <w:rPr>
                <w:rFonts w:cs="Arial"/>
                <w:szCs w:val="22"/>
              </w:rPr>
              <w:t>Until further notice</w:t>
            </w:r>
          </w:p>
        </w:tc>
        <w:tc>
          <w:tcPr>
            <w:tcW w:w="664" w:type="dxa"/>
            <w:vAlign w:val="center"/>
          </w:tcPr>
          <w:p w14:paraId="57BDE776" w14:textId="77777777" w:rsidR="00E56657" w:rsidRPr="00625218" w:rsidRDefault="00E56657" w:rsidP="00086B91">
            <w:pPr>
              <w:widowControl w:val="0"/>
              <w:rPr>
                <w:rFonts w:cs="Arial"/>
                <w:szCs w:val="22"/>
              </w:rPr>
            </w:pPr>
          </w:p>
        </w:tc>
      </w:tr>
    </w:tbl>
    <w:p w14:paraId="6EC3E8B3" w14:textId="18C50014" w:rsidR="00E56657" w:rsidRPr="00625218" w:rsidRDefault="00E56657" w:rsidP="00385C2D">
      <w:pPr>
        <w:pStyle w:val="SingleTxtG"/>
        <w:spacing w:before="120"/>
        <w:ind w:left="2268"/>
        <w:rPr>
          <w:lang w:val="en-GB"/>
        </w:rPr>
      </w:pPr>
      <w:r w:rsidRPr="00625218">
        <w:rPr>
          <w:lang w:val="en-GB"/>
        </w:rPr>
        <w:t xml:space="preserve">In the table, under </w:t>
      </w:r>
      <w:r w:rsidR="00B212E8" w:rsidRPr="00625218">
        <w:rPr>
          <w:lang w:val="en-GB"/>
        </w:rPr>
        <w:t>“</w:t>
      </w:r>
      <w:r w:rsidRPr="00625218">
        <w:rPr>
          <w:i/>
          <w:lang w:val="en-GB"/>
        </w:rPr>
        <w:t>for design and construction of closures</w:t>
      </w:r>
      <w:r w:rsidR="00B212E8" w:rsidRPr="00625218">
        <w:rPr>
          <w:lang w:val="en-GB"/>
        </w:rPr>
        <w:t>”</w:t>
      </w:r>
      <w:r w:rsidRPr="00625218">
        <w:rPr>
          <w:lang w:val="en-GB"/>
        </w:rPr>
        <w:t>, amend the following:</w:t>
      </w:r>
    </w:p>
    <w:p w14:paraId="0F1050C6" w14:textId="204C2031" w:rsidR="00E56657" w:rsidRPr="00625218" w:rsidRDefault="00E56657" w:rsidP="00385C2D">
      <w:pPr>
        <w:pStyle w:val="SingleTxtG"/>
        <w:ind w:left="2268"/>
        <w:rPr>
          <w:lang w:val="en-GB"/>
        </w:rPr>
      </w:pPr>
      <w:r w:rsidRPr="00625218">
        <w:rPr>
          <w:lang w:val="en-GB"/>
        </w:rPr>
        <w:t xml:space="preserve">In the row for EN ISO 10297:2014 + A1:2017, in column (4), replace </w:t>
      </w:r>
      <w:r w:rsidR="00B212E8" w:rsidRPr="00625218">
        <w:rPr>
          <w:lang w:val="en-GB"/>
        </w:rPr>
        <w:t>“</w:t>
      </w:r>
      <w:r w:rsidRPr="00625218">
        <w:rPr>
          <w:lang w:val="en-GB"/>
        </w:rPr>
        <w:t>Until further notice</w:t>
      </w:r>
      <w:r w:rsidR="00B212E8" w:rsidRPr="00625218">
        <w:rPr>
          <w:lang w:val="en-GB"/>
        </w:rPr>
        <w:t>”</w:t>
      </w:r>
      <w:r w:rsidRPr="00625218">
        <w:rPr>
          <w:lang w:val="en-GB"/>
        </w:rPr>
        <w:t xml:space="preserve"> by</w:t>
      </w:r>
      <w:r w:rsidR="00385C2D" w:rsidRPr="00625218">
        <w:rPr>
          <w:lang w:val="en-GB"/>
        </w:rPr>
        <w:t xml:space="preserve"> </w:t>
      </w:r>
      <w:r w:rsidR="00B212E8" w:rsidRPr="00625218">
        <w:rPr>
          <w:lang w:val="en-GB"/>
        </w:rPr>
        <w:t>“</w:t>
      </w:r>
      <w:r w:rsidRPr="00625218">
        <w:rPr>
          <w:lang w:val="en-GB"/>
        </w:rPr>
        <w:t>Between 1 January 2019 and 31 December 2026</w:t>
      </w:r>
      <w:r w:rsidR="00B212E8" w:rsidRPr="00625218">
        <w:rPr>
          <w:lang w:val="en-GB"/>
        </w:rPr>
        <w:t>”</w:t>
      </w:r>
      <w:r w:rsidRPr="00625218">
        <w:rPr>
          <w:lang w:val="en-GB"/>
        </w:rPr>
        <w:t>.</w:t>
      </w:r>
    </w:p>
    <w:p w14:paraId="542EA6CB" w14:textId="5D4F12F8" w:rsidR="00E56657" w:rsidRPr="00625218" w:rsidRDefault="00E56657" w:rsidP="00385C2D">
      <w:pPr>
        <w:pStyle w:val="SingleTxtG"/>
        <w:ind w:left="2268"/>
        <w:rPr>
          <w:lang w:val="en-GB"/>
        </w:rPr>
      </w:pPr>
      <w:r w:rsidRPr="00625218">
        <w:rPr>
          <w:lang w:val="en-GB"/>
        </w:rPr>
        <w:t>After the row for EN ISO 10297:2014 +A1:2017, insert the following new row:</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E56657" w:rsidRPr="00625218" w14:paraId="6F218668" w14:textId="77777777" w:rsidTr="00086B91">
        <w:tc>
          <w:tcPr>
            <w:tcW w:w="1991" w:type="dxa"/>
          </w:tcPr>
          <w:p w14:paraId="4D190731" w14:textId="77777777" w:rsidR="00E56657" w:rsidRPr="00625218" w:rsidRDefault="00E56657" w:rsidP="00086B91">
            <w:pPr>
              <w:widowControl w:val="0"/>
              <w:rPr>
                <w:rFonts w:cs="Arial"/>
                <w:szCs w:val="22"/>
              </w:rPr>
            </w:pPr>
            <w:r w:rsidRPr="00625218">
              <w:rPr>
                <w:rFonts w:cs="Arial"/>
                <w:szCs w:val="22"/>
              </w:rPr>
              <w:t>(1)</w:t>
            </w:r>
          </w:p>
        </w:tc>
        <w:tc>
          <w:tcPr>
            <w:tcW w:w="3261" w:type="dxa"/>
          </w:tcPr>
          <w:p w14:paraId="5435CE79" w14:textId="77777777" w:rsidR="00E56657" w:rsidRPr="00625218" w:rsidRDefault="00E56657" w:rsidP="00086B91">
            <w:pPr>
              <w:widowControl w:val="0"/>
              <w:rPr>
                <w:rFonts w:cs="Arial"/>
                <w:szCs w:val="22"/>
              </w:rPr>
            </w:pPr>
            <w:r w:rsidRPr="00625218">
              <w:rPr>
                <w:rFonts w:cs="Arial"/>
                <w:szCs w:val="22"/>
              </w:rPr>
              <w:t>(2)</w:t>
            </w:r>
          </w:p>
        </w:tc>
        <w:tc>
          <w:tcPr>
            <w:tcW w:w="1012" w:type="dxa"/>
          </w:tcPr>
          <w:p w14:paraId="2F3ED279" w14:textId="77777777" w:rsidR="00E56657" w:rsidRPr="00625218" w:rsidRDefault="00E56657" w:rsidP="00086B91">
            <w:pPr>
              <w:widowControl w:val="0"/>
              <w:rPr>
                <w:rFonts w:cs="Arial"/>
                <w:szCs w:val="22"/>
              </w:rPr>
            </w:pPr>
            <w:r w:rsidRPr="00625218">
              <w:rPr>
                <w:rFonts w:cs="Arial"/>
                <w:szCs w:val="22"/>
              </w:rPr>
              <w:t>(3)</w:t>
            </w:r>
          </w:p>
        </w:tc>
        <w:tc>
          <w:tcPr>
            <w:tcW w:w="956" w:type="dxa"/>
          </w:tcPr>
          <w:p w14:paraId="181D2F9F" w14:textId="77777777" w:rsidR="00E56657" w:rsidRPr="00625218" w:rsidRDefault="00E56657" w:rsidP="00086B91">
            <w:pPr>
              <w:widowControl w:val="0"/>
              <w:rPr>
                <w:rFonts w:cs="Arial"/>
                <w:szCs w:val="22"/>
              </w:rPr>
            </w:pPr>
            <w:r w:rsidRPr="00625218">
              <w:rPr>
                <w:rFonts w:cs="Arial"/>
                <w:szCs w:val="22"/>
              </w:rPr>
              <w:t>(4)</w:t>
            </w:r>
          </w:p>
        </w:tc>
        <w:tc>
          <w:tcPr>
            <w:tcW w:w="664" w:type="dxa"/>
          </w:tcPr>
          <w:p w14:paraId="32B89B10" w14:textId="77777777" w:rsidR="00E56657" w:rsidRPr="00625218" w:rsidRDefault="00E56657" w:rsidP="00086B91">
            <w:pPr>
              <w:widowControl w:val="0"/>
              <w:rPr>
                <w:rFonts w:cs="Arial"/>
                <w:szCs w:val="22"/>
              </w:rPr>
            </w:pPr>
            <w:r w:rsidRPr="00625218">
              <w:rPr>
                <w:rFonts w:cs="Arial"/>
                <w:szCs w:val="22"/>
              </w:rPr>
              <w:t>(5)</w:t>
            </w:r>
          </w:p>
        </w:tc>
      </w:tr>
      <w:tr w:rsidR="00E56657" w:rsidRPr="00625218" w14:paraId="1B2665C5" w14:textId="77777777" w:rsidTr="00086B91">
        <w:tc>
          <w:tcPr>
            <w:tcW w:w="1991" w:type="dxa"/>
            <w:vAlign w:val="center"/>
          </w:tcPr>
          <w:p w14:paraId="742E3C90" w14:textId="77777777" w:rsidR="00E56657" w:rsidRPr="00625218" w:rsidRDefault="00E56657" w:rsidP="00086B91">
            <w:pPr>
              <w:widowControl w:val="0"/>
              <w:rPr>
                <w:rFonts w:cs="Arial"/>
                <w:szCs w:val="22"/>
              </w:rPr>
            </w:pPr>
            <w:r w:rsidRPr="00625218">
              <w:rPr>
                <w:szCs w:val="22"/>
              </w:rPr>
              <w:t>EN ISO 10297:[2024]</w:t>
            </w:r>
          </w:p>
        </w:tc>
        <w:tc>
          <w:tcPr>
            <w:tcW w:w="3261" w:type="dxa"/>
            <w:vAlign w:val="center"/>
          </w:tcPr>
          <w:p w14:paraId="2CD65906" w14:textId="77777777" w:rsidR="00E56657" w:rsidRPr="00625218" w:rsidRDefault="00E56657" w:rsidP="00086B91">
            <w:pPr>
              <w:widowControl w:val="0"/>
              <w:rPr>
                <w:rFonts w:cs="Arial"/>
                <w:bCs/>
                <w:szCs w:val="22"/>
              </w:rPr>
            </w:pPr>
            <w:bookmarkStart w:id="0" w:name="_Hlk158206034"/>
            <w:r w:rsidRPr="00625218">
              <w:rPr>
                <w:bCs/>
                <w:iCs/>
              </w:rPr>
              <w:t>Gas cylinders – Cylinder valves – Specification and type testing</w:t>
            </w:r>
            <w:bookmarkEnd w:id="0"/>
          </w:p>
        </w:tc>
        <w:tc>
          <w:tcPr>
            <w:tcW w:w="1012" w:type="dxa"/>
            <w:vAlign w:val="center"/>
          </w:tcPr>
          <w:p w14:paraId="362206A2" w14:textId="77777777" w:rsidR="00E56657" w:rsidRPr="00625218" w:rsidRDefault="00E56657" w:rsidP="00086B91">
            <w:pPr>
              <w:widowControl w:val="0"/>
              <w:rPr>
                <w:rFonts w:cs="Arial"/>
                <w:szCs w:val="22"/>
              </w:rPr>
            </w:pPr>
            <w:r w:rsidRPr="00625218">
              <w:rPr>
                <w:rFonts w:cs="Arial"/>
                <w:szCs w:val="22"/>
              </w:rPr>
              <w:t>6.2.3.1 and 6.2.3.3</w:t>
            </w:r>
          </w:p>
        </w:tc>
        <w:tc>
          <w:tcPr>
            <w:tcW w:w="956" w:type="dxa"/>
            <w:vAlign w:val="center"/>
          </w:tcPr>
          <w:p w14:paraId="52654B51" w14:textId="77777777" w:rsidR="00E56657" w:rsidRPr="00625218" w:rsidRDefault="00E56657" w:rsidP="00086B91">
            <w:pPr>
              <w:widowControl w:val="0"/>
              <w:jc w:val="center"/>
              <w:rPr>
                <w:rFonts w:cs="Arial"/>
                <w:szCs w:val="22"/>
              </w:rPr>
            </w:pPr>
            <w:r w:rsidRPr="00625218">
              <w:rPr>
                <w:rFonts w:cs="Arial"/>
                <w:szCs w:val="22"/>
              </w:rPr>
              <w:t>Until further notice</w:t>
            </w:r>
          </w:p>
        </w:tc>
        <w:tc>
          <w:tcPr>
            <w:tcW w:w="664" w:type="dxa"/>
            <w:vAlign w:val="center"/>
          </w:tcPr>
          <w:p w14:paraId="130753CC" w14:textId="77777777" w:rsidR="00E56657" w:rsidRPr="00625218" w:rsidRDefault="00E56657" w:rsidP="00086B91">
            <w:pPr>
              <w:widowControl w:val="0"/>
              <w:rPr>
                <w:rFonts w:cs="Arial"/>
                <w:szCs w:val="22"/>
              </w:rPr>
            </w:pPr>
          </w:p>
        </w:tc>
      </w:tr>
    </w:tbl>
    <w:p w14:paraId="52F6C094" w14:textId="7B213080" w:rsidR="00E56657" w:rsidRPr="00625218" w:rsidRDefault="00E56657" w:rsidP="00385C2D">
      <w:pPr>
        <w:pStyle w:val="SingleTxtG"/>
        <w:spacing w:before="120"/>
        <w:ind w:left="2268"/>
        <w:rPr>
          <w:lang w:val="en-GB"/>
        </w:rPr>
      </w:pPr>
      <w:r w:rsidRPr="00625218">
        <w:rPr>
          <w:lang w:val="en-GB"/>
        </w:rPr>
        <w:t xml:space="preserve">In the row for EN ISO 17871:2020, in column (4), replace </w:t>
      </w:r>
      <w:r w:rsidR="00B212E8" w:rsidRPr="00625218">
        <w:rPr>
          <w:lang w:val="en-GB"/>
        </w:rPr>
        <w:t>“</w:t>
      </w:r>
      <w:r w:rsidRPr="00625218">
        <w:rPr>
          <w:lang w:val="en-GB"/>
        </w:rPr>
        <w:t>Until further notice</w:t>
      </w:r>
      <w:r w:rsidR="00B212E8" w:rsidRPr="00625218">
        <w:rPr>
          <w:lang w:val="en-GB"/>
        </w:rPr>
        <w:t>”</w:t>
      </w:r>
      <w:r w:rsidRPr="00625218">
        <w:rPr>
          <w:lang w:val="en-GB"/>
        </w:rPr>
        <w:t xml:space="preserve"> by</w:t>
      </w:r>
      <w:r w:rsidR="00385C2D" w:rsidRPr="00625218">
        <w:rPr>
          <w:lang w:val="en-GB"/>
        </w:rPr>
        <w:t xml:space="preserve"> </w:t>
      </w:r>
      <w:r w:rsidR="00B212E8" w:rsidRPr="00625218">
        <w:rPr>
          <w:lang w:val="en-GB"/>
        </w:rPr>
        <w:t>“</w:t>
      </w:r>
      <w:r w:rsidRPr="00625218">
        <w:rPr>
          <w:lang w:val="en-GB"/>
        </w:rPr>
        <w:t>Between 1 January 2023 and 31 December 2026</w:t>
      </w:r>
      <w:r w:rsidR="00B212E8" w:rsidRPr="00625218">
        <w:rPr>
          <w:lang w:val="en-GB"/>
        </w:rPr>
        <w:t>”</w:t>
      </w:r>
      <w:r w:rsidRPr="00625218">
        <w:rPr>
          <w:lang w:val="en-GB"/>
        </w:rPr>
        <w:t>.</w:t>
      </w:r>
    </w:p>
    <w:p w14:paraId="3C5B34D7" w14:textId="39595AA7" w:rsidR="00E56657" w:rsidRPr="00625218" w:rsidRDefault="00E56657" w:rsidP="00385C2D">
      <w:pPr>
        <w:pStyle w:val="SingleTxtG"/>
        <w:ind w:left="2268"/>
        <w:rPr>
          <w:lang w:val="en-GB"/>
        </w:rPr>
      </w:pPr>
      <w:r w:rsidRPr="00625218">
        <w:rPr>
          <w:lang w:val="en-GB"/>
        </w:rPr>
        <w:tab/>
        <w:t>After the row for EN ISO 17871:2020, insert the following new row:</w:t>
      </w:r>
    </w:p>
    <w:tbl>
      <w:tblPr>
        <w:tblW w:w="788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1"/>
        <w:gridCol w:w="3261"/>
        <w:gridCol w:w="1012"/>
        <w:gridCol w:w="956"/>
        <w:gridCol w:w="664"/>
      </w:tblGrid>
      <w:tr w:rsidR="00E56657" w:rsidRPr="00625218" w14:paraId="5F1B87D4" w14:textId="77777777" w:rsidTr="00086B91">
        <w:tc>
          <w:tcPr>
            <w:tcW w:w="1991" w:type="dxa"/>
          </w:tcPr>
          <w:p w14:paraId="2DF3EF29" w14:textId="77777777" w:rsidR="00E56657" w:rsidRPr="00625218" w:rsidRDefault="00E56657" w:rsidP="00086B91">
            <w:pPr>
              <w:widowControl w:val="0"/>
              <w:rPr>
                <w:rFonts w:cs="Arial"/>
                <w:szCs w:val="22"/>
              </w:rPr>
            </w:pPr>
            <w:r w:rsidRPr="00625218">
              <w:rPr>
                <w:rFonts w:cs="Arial"/>
                <w:szCs w:val="22"/>
              </w:rPr>
              <w:t>(1)</w:t>
            </w:r>
          </w:p>
        </w:tc>
        <w:tc>
          <w:tcPr>
            <w:tcW w:w="3261" w:type="dxa"/>
          </w:tcPr>
          <w:p w14:paraId="022ABAA9" w14:textId="77777777" w:rsidR="00E56657" w:rsidRPr="00625218" w:rsidRDefault="00E56657" w:rsidP="00086B91">
            <w:pPr>
              <w:widowControl w:val="0"/>
              <w:rPr>
                <w:rFonts w:cs="Arial"/>
                <w:szCs w:val="22"/>
              </w:rPr>
            </w:pPr>
            <w:r w:rsidRPr="00625218">
              <w:rPr>
                <w:rFonts w:cs="Arial"/>
                <w:szCs w:val="22"/>
              </w:rPr>
              <w:t>(2)</w:t>
            </w:r>
          </w:p>
        </w:tc>
        <w:tc>
          <w:tcPr>
            <w:tcW w:w="1012" w:type="dxa"/>
          </w:tcPr>
          <w:p w14:paraId="3C4792CD" w14:textId="77777777" w:rsidR="00E56657" w:rsidRPr="00625218" w:rsidRDefault="00E56657" w:rsidP="00086B91">
            <w:pPr>
              <w:widowControl w:val="0"/>
              <w:rPr>
                <w:rFonts w:cs="Arial"/>
                <w:szCs w:val="22"/>
              </w:rPr>
            </w:pPr>
            <w:r w:rsidRPr="00625218">
              <w:rPr>
                <w:rFonts w:cs="Arial"/>
                <w:szCs w:val="22"/>
              </w:rPr>
              <w:t>(3)</w:t>
            </w:r>
          </w:p>
        </w:tc>
        <w:tc>
          <w:tcPr>
            <w:tcW w:w="956" w:type="dxa"/>
          </w:tcPr>
          <w:p w14:paraId="20D79F2A" w14:textId="77777777" w:rsidR="00E56657" w:rsidRPr="00625218" w:rsidRDefault="00E56657" w:rsidP="00086B91">
            <w:pPr>
              <w:widowControl w:val="0"/>
              <w:rPr>
                <w:rFonts w:cs="Arial"/>
                <w:szCs w:val="22"/>
              </w:rPr>
            </w:pPr>
            <w:r w:rsidRPr="00625218">
              <w:rPr>
                <w:rFonts w:cs="Arial"/>
                <w:szCs w:val="22"/>
              </w:rPr>
              <w:t>(4)</w:t>
            </w:r>
          </w:p>
        </w:tc>
        <w:tc>
          <w:tcPr>
            <w:tcW w:w="664" w:type="dxa"/>
          </w:tcPr>
          <w:p w14:paraId="0B01CCD4" w14:textId="77777777" w:rsidR="00E56657" w:rsidRPr="00625218" w:rsidRDefault="00E56657" w:rsidP="00086B91">
            <w:pPr>
              <w:widowControl w:val="0"/>
              <w:rPr>
                <w:rFonts w:cs="Arial"/>
                <w:szCs w:val="22"/>
              </w:rPr>
            </w:pPr>
            <w:r w:rsidRPr="00625218">
              <w:rPr>
                <w:rFonts w:cs="Arial"/>
                <w:szCs w:val="22"/>
              </w:rPr>
              <w:t>(5)</w:t>
            </w:r>
          </w:p>
        </w:tc>
      </w:tr>
      <w:tr w:rsidR="00E56657" w:rsidRPr="00625218" w14:paraId="2AEE0E73" w14:textId="77777777" w:rsidTr="00086B91">
        <w:tc>
          <w:tcPr>
            <w:tcW w:w="1991" w:type="dxa"/>
            <w:vAlign w:val="center"/>
          </w:tcPr>
          <w:p w14:paraId="3E36AD4D" w14:textId="77777777" w:rsidR="00E56657" w:rsidRPr="00625218" w:rsidRDefault="00E56657" w:rsidP="00086B91">
            <w:pPr>
              <w:widowControl w:val="0"/>
              <w:rPr>
                <w:rFonts w:cs="Arial"/>
                <w:szCs w:val="22"/>
              </w:rPr>
            </w:pPr>
            <w:r w:rsidRPr="00625218">
              <w:rPr>
                <w:szCs w:val="22"/>
              </w:rPr>
              <w:t>EN ISO 17871:2020 + A1:</w:t>
            </w:r>
            <w:r w:rsidRPr="00625218">
              <w:rPr>
                <w:bCs/>
                <w:szCs w:val="22"/>
              </w:rPr>
              <w:t>[2024]</w:t>
            </w:r>
          </w:p>
        </w:tc>
        <w:tc>
          <w:tcPr>
            <w:tcW w:w="3261" w:type="dxa"/>
            <w:vAlign w:val="center"/>
          </w:tcPr>
          <w:p w14:paraId="52A34248" w14:textId="77777777" w:rsidR="00E56657" w:rsidRPr="00625218" w:rsidRDefault="00E56657" w:rsidP="00086B91">
            <w:pPr>
              <w:widowControl w:val="0"/>
              <w:rPr>
                <w:rFonts w:cs="Arial"/>
                <w:bCs/>
                <w:szCs w:val="22"/>
              </w:rPr>
            </w:pPr>
            <w:r w:rsidRPr="00625218">
              <w:t>Gas cylinders – Quick-release cylinder valves – Specification and type testing</w:t>
            </w:r>
          </w:p>
        </w:tc>
        <w:tc>
          <w:tcPr>
            <w:tcW w:w="1012" w:type="dxa"/>
            <w:vAlign w:val="center"/>
          </w:tcPr>
          <w:p w14:paraId="5C329FCB" w14:textId="77777777" w:rsidR="00E56657" w:rsidRPr="00625218" w:rsidRDefault="00E56657" w:rsidP="00086B91">
            <w:pPr>
              <w:widowControl w:val="0"/>
              <w:rPr>
                <w:rFonts w:cs="Arial"/>
                <w:szCs w:val="22"/>
              </w:rPr>
            </w:pPr>
            <w:r w:rsidRPr="00625218">
              <w:rPr>
                <w:rFonts w:cs="Arial"/>
                <w:szCs w:val="22"/>
              </w:rPr>
              <w:t>6.2.3.1, 6.2.3.3 and 6.2.3.4</w:t>
            </w:r>
          </w:p>
        </w:tc>
        <w:tc>
          <w:tcPr>
            <w:tcW w:w="956" w:type="dxa"/>
            <w:vAlign w:val="center"/>
          </w:tcPr>
          <w:p w14:paraId="1D290E35" w14:textId="77777777" w:rsidR="00E56657" w:rsidRPr="00625218" w:rsidRDefault="00E56657" w:rsidP="00086B91">
            <w:pPr>
              <w:widowControl w:val="0"/>
              <w:jc w:val="center"/>
              <w:rPr>
                <w:rFonts w:cs="Arial"/>
                <w:szCs w:val="22"/>
              </w:rPr>
            </w:pPr>
            <w:r w:rsidRPr="00625218">
              <w:rPr>
                <w:rFonts w:cs="Arial"/>
                <w:szCs w:val="22"/>
              </w:rPr>
              <w:t>Until further notice</w:t>
            </w:r>
          </w:p>
        </w:tc>
        <w:tc>
          <w:tcPr>
            <w:tcW w:w="664" w:type="dxa"/>
            <w:vAlign w:val="center"/>
          </w:tcPr>
          <w:p w14:paraId="4B12CA77" w14:textId="77777777" w:rsidR="00E56657" w:rsidRPr="00625218" w:rsidRDefault="00E56657" w:rsidP="00086B91">
            <w:pPr>
              <w:widowControl w:val="0"/>
              <w:rPr>
                <w:rFonts w:cs="Arial"/>
                <w:szCs w:val="22"/>
              </w:rPr>
            </w:pPr>
          </w:p>
        </w:tc>
      </w:tr>
    </w:tbl>
    <w:p w14:paraId="2090A9DB" w14:textId="77777777" w:rsidR="00E56657" w:rsidRPr="00625218" w:rsidRDefault="00E56657" w:rsidP="001C6D77">
      <w:pPr>
        <w:pStyle w:val="H1G"/>
      </w:pPr>
      <w:r w:rsidRPr="00625218">
        <w:tab/>
      </w:r>
      <w:r w:rsidRPr="00625218">
        <w:tab/>
        <w:t>Chapter 6.8</w:t>
      </w:r>
    </w:p>
    <w:p w14:paraId="368BD4F2" w14:textId="76989A58" w:rsidR="00E56657" w:rsidRPr="00625218" w:rsidRDefault="00E56657" w:rsidP="00E74C2C">
      <w:pPr>
        <w:pStyle w:val="SingleTxtG"/>
        <w:ind w:left="2268" w:hanging="1134"/>
        <w:rPr>
          <w:lang w:val="en-GB"/>
        </w:rPr>
      </w:pPr>
      <w:r w:rsidRPr="00625218">
        <w:rPr>
          <w:bCs/>
          <w:lang w:val="en-GB"/>
        </w:rPr>
        <w:t>6.8.2.3.2</w:t>
      </w:r>
      <w:r w:rsidRPr="00625218">
        <w:rPr>
          <w:bCs/>
          <w:lang w:val="en-GB"/>
        </w:rPr>
        <w:tab/>
        <w:t xml:space="preserve">In the Note, replace </w:t>
      </w:r>
      <w:r w:rsidR="00B212E8" w:rsidRPr="00625218">
        <w:rPr>
          <w:bCs/>
          <w:lang w:val="en-GB"/>
        </w:rPr>
        <w:t>“</w:t>
      </w:r>
      <w:r w:rsidRPr="00625218">
        <w:rPr>
          <w:bCs/>
          <w:lang w:val="en-GB"/>
        </w:rPr>
        <w:t>Annex B of EN 12972:2018</w:t>
      </w:r>
      <w:r w:rsidR="00B212E8" w:rsidRPr="00625218">
        <w:rPr>
          <w:bCs/>
          <w:lang w:val="en-GB"/>
        </w:rPr>
        <w:t>”</w:t>
      </w:r>
      <w:r w:rsidRPr="00625218">
        <w:rPr>
          <w:bCs/>
          <w:lang w:val="en-GB"/>
        </w:rPr>
        <w:t xml:space="preserve"> by</w:t>
      </w:r>
      <w:r w:rsidR="00E74C2C" w:rsidRPr="00625218">
        <w:rPr>
          <w:bCs/>
          <w:lang w:val="en-GB"/>
        </w:rPr>
        <w:t xml:space="preserve"> </w:t>
      </w:r>
      <w:r w:rsidR="00B212E8" w:rsidRPr="00625218">
        <w:rPr>
          <w:lang w:val="en-GB"/>
        </w:rPr>
        <w:t>“</w:t>
      </w:r>
      <w:r w:rsidRPr="00625218">
        <w:rPr>
          <w:lang w:val="en-GB"/>
        </w:rPr>
        <w:t>Annex B of EN 12972:2018 + A1:</w:t>
      </w:r>
      <w:r w:rsidRPr="00625218">
        <w:rPr>
          <w:bCs/>
          <w:lang w:val="en-GB"/>
        </w:rPr>
        <w:t>[2024]</w:t>
      </w:r>
      <w:r w:rsidR="00B212E8" w:rsidRPr="00625218">
        <w:rPr>
          <w:bCs/>
          <w:lang w:val="en-GB"/>
        </w:rPr>
        <w:t>”</w:t>
      </w:r>
      <w:r w:rsidRPr="00625218">
        <w:rPr>
          <w:bCs/>
          <w:lang w:val="en-GB"/>
        </w:rPr>
        <w:t>.</w:t>
      </w:r>
    </w:p>
    <w:p w14:paraId="14B945D3" w14:textId="5ACF1ACC" w:rsidR="00E56657" w:rsidRPr="00625218" w:rsidRDefault="00E56657" w:rsidP="00E74C2C">
      <w:pPr>
        <w:pStyle w:val="SingleTxtG"/>
        <w:ind w:left="2268" w:hanging="1134"/>
        <w:rPr>
          <w:bCs/>
          <w:lang w:val="en-GB"/>
        </w:rPr>
      </w:pPr>
      <w:r w:rsidRPr="00625218">
        <w:rPr>
          <w:bCs/>
          <w:lang w:val="en-GB"/>
        </w:rPr>
        <w:t>6.8.2.6.1</w:t>
      </w:r>
      <w:r w:rsidRPr="00625218">
        <w:rPr>
          <w:bCs/>
          <w:lang w:val="en-GB"/>
        </w:rPr>
        <w:tab/>
        <w:t xml:space="preserve">In the table, under </w:t>
      </w:r>
      <w:r w:rsidR="00B212E8" w:rsidRPr="00625218">
        <w:rPr>
          <w:bCs/>
          <w:lang w:val="en-GB"/>
        </w:rPr>
        <w:t>“</w:t>
      </w:r>
      <w:r w:rsidRPr="00625218">
        <w:rPr>
          <w:bCs/>
          <w:lang w:val="en-GB"/>
        </w:rPr>
        <w:t>For equipment</w:t>
      </w:r>
      <w:r w:rsidR="00B212E8" w:rsidRPr="00625218">
        <w:rPr>
          <w:bCs/>
          <w:lang w:val="en-GB"/>
        </w:rPr>
        <w:t>”</w:t>
      </w:r>
      <w:r w:rsidRPr="00625218">
        <w:rPr>
          <w:bCs/>
          <w:lang w:val="en-GB"/>
        </w:rPr>
        <w:t xml:space="preserve">, for standards EN 14432:2014 and EN 14433:2014, in column (3), replace </w:t>
      </w:r>
      <w:r w:rsidR="00B212E8" w:rsidRPr="00625218">
        <w:rPr>
          <w:bCs/>
          <w:lang w:val="en-GB"/>
        </w:rPr>
        <w:t>“</w:t>
      </w:r>
      <w:r w:rsidRPr="00625218">
        <w:rPr>
          <w:bCs/>
          <w:lang w:val="en-GB"/>
        </w:rPr>
        <w:t>6.8.2.3.2</w:t>
      </w:r>
      <w:r w:rsidR="00B212E8" w:rsidRPr="00625218">
        <w:rPr>
          <w:bCs/>
          <w:lang w:val="en-GB"/>
        </w:rPr>
        <w:t>”</w:t>
      </w:r>
      <w:r w:rsidRPr="00625218">
        <w:rPr>
          <w:bCs/>
          <w:lang w:val="en-GB"/>
        </w:rPr>
        <w:t xml:space="preserve"> by</w:t>
      </w:r>
      <w:r w:rsidR="00E74C2C" w:rsidRPr="00625218">
        <w:rPr>
          <w:bCs/>
          <w:lang w:val="en-GB"/>
        </w:rPr>
        <w:t xml:space="preserve"> </w:t>
      </w:r>
      <w:r w:rsidR="00B212E8" w:rsidRPr="00625218">
        <w:rPr>
          <w:bCs/>
          <w:lang w:val="en-GB"/>
        </w:rPr>
        <w:t>“</w:t>
      </w:r>
      <w:r w:rsidRPr="00625218">
        <w:rPr>
          <w:bCs/>
          <w:lang w:val="en-GB"/>
        </w:rPr>
        <w:t>6.8.2.3.1</w:t>
      </w:r>
      <w:r w:rsidR="00B212E8" w:rsidRPr="00625218">
        <w:rPr>
          <w:bCs/>
          <w:lang w:val="en-GB"/>
        </w:rPr>
        <w:t>”</w:t>
      </w:r>
      <w:r w:rsidRPr="00625218">
        <w:rPr>
          <w:bCs/>
          <w:lang w:val="en-GB"/>
        </w:rPr>
        <w:t>.</w:t>
      </w:r>
    </w:p>
    <w:p w14:paraId="17273602" w14:textId="77777777" w:rsidR="00E56657" w:rsidRPr="00625218" w:rsidRDefault="00E56657" w:rsidP="00E74C2C">
      <w:pPr>
        <w:pStyle w:val="SingleTxtG"/>
        <w:ind w:left="2268" w:hanging="1134"/>
        <w:rPr>
          <w:bCs/>
          <w:lang w:val="en-GB"/>
        </w:rPr>
      </w:pPr>
      <w:r w:rsidRPr="00625218">
        <w:rPr>
          <w:bCs/>
          <w:lang w:val="en-GB"/>
        </w:rPr>
        <w:t>6.8.2.6.2</w:t>
      </w:r>
      <w:r w:rsidRPr="00625218">
        <w:rPr>
          <w:bCs/>
          <w:lang w:val="en-GB"/>
        </w:rPr>
        <w:tab/>
        <w:t>In the table, amend the following:</w:t>
      </w:r>
    </w:p>
    <w:p w14:paraId="48273A8B" w14:textId="049B0578" w:rsidR="00E56657" w:rsidRPr="00625218" w:rsidRDefault="00E74C2C" w:rsidP="00E74C2C">
      <w:pPr>
        <w:pStyle w:val="SingleTxtG"/>
        <w:ind w:left="2268" w:hanging="1134"/>
        <w:rPr>
          <w:bCs/>
          <w:lang w:val="en-GB"/>
        </w:rPr>
      </w:pPr>
      <w:r w:rsidRPr="00625218">
        <w:rPr>
          <w:bCs/>
          <w:lang w:val="en-GB"/>
        </w:rPr>
        <w:tab/>
      </w:r>
      <w:r w:rsidR="00E56657" w:rsidRPr="00625218">
        <w:rPr>
          <w:bCs/>
          <w:lang w:val="en-GB"/>
        </w:rPr>
        <w:tab/>
        <w:t xml:space="preserve">In the row for EN 12972:2018, in column (4), replace </w:t>
      </w:r>
      <w:r w:rsidR="00B212E8" w:rsidRPr="00625218">
        <w:rPr>
          <w:bCs/>
          <w:lang w:val="en-GB"/>
        </w:rPr>
        <w:t>“</w:t>
      </w:r>
      <w:r w:rsidR="00E56657" w:rsidRPr="00625218">
        <w:rPr>
          <w:bCs/>
          <w:lang w:val="en-GB"/>
        </w:rPr>
        <w:t>Until further notice</w:t>
      </w:r>
      <w:r w:rsidR="00B212E8" w:rsidRPr="00625218">
        <w:rPr>
          <w:bCs/>
          <w:lang w:val="en-GB"/>
        </w:rPr>
        <w:t>”</w:t>
      </w:r>
      <w:r w:rsidR="00E56657" w:rsidRPr="00625218">
        <w:rPr>
          <w:bCs/>
          <w:lang w:val="en-GB"/>
        </w:rPr>
        <w:t xml:space="preserve"> by</w:t>
      </w:r>
      <w:r w:rsidRPr="00625218">
        <w:rPr>
          <w:bCs/>
          <w:lang w:val="en-GB"/>
        </w:rPr>
        <w:t xml:space="preserve"> </w:t>
      </w:r>
      <w:r w:rsidR="00B212E8" w:rsidRPr="00625218">
        <w:rPr>
          <w:bCs/>
          <w:lang w:val="en-GB"/>
        </w:rPr>
        <w:t>“</w:t>
      </w:r>
      <w:r w:rsidR="00E56657" w:rsidRPr="00625218">
        <w:rPr>
          <w:bCs/>
          <w:lang w:val="en-GB"/>
        </w:rPr>
        <w:t>Until 31 December 2026</w:t>
      </w:r>
      <w:r w:rsidR="00B212E8" w:rsidRPr="00625218">
        <w:rPr>
          <w:bCs/>
          <w:lang w:val="en-GB"/>
        </w:rPr>
        <w:t>”</w:t>
      </w:r>
      <w:r w:rsidR="00E56657" w:rsidRPr="00625218">
        <w:rPr>
          <w:bCs/>
          <w:lang w:val="en-GB"/>
        </w:rPr>
        <w:t>.</w:t>
      </w:r>
    </w:p>
    <w:p w14:paraId="5AAB5F30" w14:textId="50FE2889" w:rsidR="00E56657" w:rsidRPr="00625218" w:rsidRDefault="00E56657" w:rsidP="00E74C2C">
      <w:pPr>
        <w:pStyle w:val="SingleTxtG"/>
        <w:ind w:left="2268" w:hanging="1134"/>
        <w:rPr>
          <w:bCs/>
          <w:lang w:val="en-GB"/>
        </w:rPr>
      </w:pPr>
      <w:r w:rsidRPr="00625218">
        <w:rPr>
          <w:bCs/>
          <w:lang w:val="en-GB"/>
        </w:rPr>
        <w:lastRenderedPageBreak/>
        <w:tab/>
        <w:t>After the row for EN 12972:2018, insert the following new row:</w:t>
      </w:r>
    </w:p>
    <w:tbl>
      <w:tblPr>
        <w:tblW w:w="794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3119"/>
        <w:gridCol w:w="1276"/>
        <w:gridCol w:w="992"/>
        <w:gridCol w:w="709"/>
      </w:tblGrid>
      <w:tr w:rsidR="00E56657" w:rsidRPr="00625218" w14:paraId="57DB61D1" w14:textId="77777777" w:rsidTr="00086B91">
        <w:tc>
          <w:tcPr>
            <w:tcW w:w="1849" w:type="dxa"/>
          </w:tcPr>
          <w:p w14:paraId="015BCF59" w14:textId="77777777" w:rsidR="00E56657" w:rsidRPr="00625218" w:rsidRDefault="00E56657" w:rsidP="00086B91">
            <w:pPr>
              <w:widowControl w:val="0"/>
              <w:rPr>
                <w:rFonts w:cs="Arial"/>
                <w:sz w:val="18"/>
                <w:szCs w:val="18"/>
              </w:rPr>
            </w:pPr>
            <w:r w:rsidRPr="00625218">
              <w:rPr>
                <w:rFonts w:cs="Arial"/>
                <w:sz w:val="18"/>
                <w:szCs w:val="18"/>
              </w:rPr>
              <w:t>(1)</w:t>
            </w:r>
          </w:p>
        </w:tc>
        <w:tc>
          <w:tcPr>
            <w:tcW w:w="3119" w:type="dxa"/>
          </w:tcPr>
          <w:p w14:paraId="3A2E44E7" w14:textId="77777777" w:rsidR="00E56657" w:rsidRPr="00625218" w:rsidRDefault="00E56657" w:rsidP="00086B91">
            <w:pPr>
              <w:widowControl w:val="0"/>
              <w:rPr>
                <w:rFonts w:cs="Arial"/>
                <w:sz w:val="18"/>
                <w:szCs w:val="18"/>
              </w:rPr>
            </w:pPr>
            <w:r w:rsidRPr="00625218">
              <w:rPr>
                <w:rFonts w:cs="Arial"/>
                <w:sz w:val="18"/>
                <w:szCs w:val="18"/>
              </w:rPr>
              <w:t>(2)</w:t>
            </w:r>
          </w:p>
        </w:tc>
        <w:tc>
          <w:tcPr>
            <w:tcW w:w="1276" w:type="dxa"/>
          </w:tcPr>
          <w:p w14:paraId="1C1614E8" w14:textId="77777777" w:rsidR="00E56657" w:rsidRPr="00625218" w:rsidRDefault="00E56657" w:rsidP="00086B91">
            <w:pPr>
              <w:widowControl w:val="0"/>
              <w:rPr>
                <w:rFonts w:cs="Arial"/>
                <w:sz w:val="18"/>
                <w:szCs w:val="18"/>
              </w:rPr>
            </w:pPr>
            <w:r w:rsidRPr="00625218">
              <w:rPr>
                <w:rFonts w:cs="Arial"/>
                <w:sz w:val="18"/>
                <w:szCs w:val="18"/>
              </w:rPr>
              <w:t>(3)</w:t>
            </w:r>
          </w:p>
        </w:tc>
        <w:tc>
          <w:tcPr>
            <w:tcW w:w="992" w:type="dxa"/>
          </w:tcPr>
          <w:p w14:paraId="162CD60F" w14:textId="77777777" w:rsidR="00E56657" w:rsidRPr="00625218" w:rsidRDefault="00E56657" w:rsidP="00086B91">
            <w:pPr>
              <w:widowControl w:val="0"/>
              <w:rPr>
                <w:rFonts w:cs="Arial"/>
                <w:sz w:val="18"/>
                <w:szCs w:val="18"/>
              </w:rPr>
            </w:pPr>
            <w:r w:rsidRPr="00625218">
              <w:rPr>
                <w:rFonts w:cs="Arial"/>
                <w:sz w:val="18"/>
                <w:szCs w:val="18"/>
              </w:rPr>
              <w:t>(4)</w:t>
            </w:r>
          </w:p>
        </w:tc>
        <w:tc>
          <w:tcPr>
            <w:tcW w:w="709" w:type="dxa"/>
          </w:tcPr>
          <w:p w14:paraId="511CC5C1" w14:textId="77777777" w:rsidR="00E56657" w:rsidRPr="00625218" w:rsidRDefault="00E56657" w:rsidP="00086B91">
            <w:pPr>
              <w:widowControl w:val="0"/>
              <w:rPr>
                <w:rFonts w:cs="Arial"/>
                <w:sz w:val="18"/>
                <w:szCs w:val="18"/>
              </w:rPr>
            </w:pPr>
            <w:r w:rsidRPr="00625218">
              <w:rPr>
                <w:rFonts w:cs="Arial"/>
                <w:sz w:val="18"/>
                <w:szCs w:val="18"/>
              </w:rPr>
              <w:t>(5)</w:t>
            </w:r>
          </w:p>
        </w:tc>
      </w:tr>
      <w:tr w:rsidR="00E56657" w:rsidRPr="00625218" w14:paraId="4A699C78" w14:textId="77777777" w:rsidTr="00086B91">
        <w:tc>
          <w:tcPr>
            <w:tcW w:w="1849" w:type="dxa"/>
            <w:vAlign w:val="center"/>
          </w:tcPr>
          <w:p w14:paraId="16446D90" w14:textId="77777777" w:rsidR="00E56657" w:rsidRPr="00625218" w:rsidRDefault="00E56657" w:rsidP="00086B91">
            <w:pPr>
              <w:widowControl w:val="0"/>
              <w:rPr>
                <w:rFonts w:cs="Arial"/>
                <w:szCs w:val="22"/>
              </w:rPr>
            </w:pPr>
            <w:r w:rsidRPr="00625218">
              <w:rPr>
                <w:bCs/>
                <w:iCs/>
              </w:rPr>
              <w:t>EN 12972:2018 + A1:</w:t>
            </w:r>
            <w:r w:rsidRPr="00625218">
              <w:rPr>
                <w:iCs/>
              </w:rPr>
              <w:t>[2024]</w:t>
            </w:r>
          </w:p>
        </w:tc>
        <w:tc>
          <w:tcPr>
            <w:tcW w:w="3119" w:type="dxa"/>
            <w:vAlign w:val="center"/>
          </w:tcPr>
          <w:p w14:paraId="5A2BF099" w14:textId="77777777" w:rsidR="00E56657" w:rsidRPr="00625218" w:rsidRDefault="00E56657" w:rsidP="00086B91">
            <w:pPr>
              <w:autoSpaceDE w:val="0"/>
              <w:autoSpaceDN w:val="0"/>
              <w:adjustRightInd w:val="0"/>
              <w:rPr>
                <w:rFonts w:cs="Arial"/>
                <w:bCs/>
                <w:szCs w:val="22"/>
              </w:rPr>
            </w:pPr>
            <w:r w:rsidRPr="00625218">
              <w:rPr>
                <w:rFonts w:cs="Arial"/>
                <w:bCs/>
                <w:szCs w:val="22"/>
              </w:rPr>
              <w:t>Tanks for transport of dangerous goods – Testing, inspection and marking of metallic tanks</w:t>
            </w:r>
          </w:p>
        </w:tc>
        <w:tc>
          <w:tcPr>
            <w:tcW w:w="1276" w:type="dxa"/>
            <w:vAlign w:val="center"/>
          </w:tcPr>
          <w:p w14:paraId="62B9FBC4" w14:textId="77777777" w:rsidR="00E56657" w:rsidRPr="00625218" w:rsidRDefault="00E56657" w:rsidP="00086B91">
            <w:pPr>
              <w:widowControl w:val="0"/>
              <w:rPr>
                <w:rFonts w:cs="Arial"/>
                <w:szCs w:val="22"/>
              </w:rPr>
            </w:pPr>
            <w:r w:rsidRPr="00625218">
              <w:t>6.8.2.1.23, 6.8.2.4 and 6.8.3.4</w:t>
            </w:r>
          </w:p>
        </w:tc>
        <w:tc>
          <w:tcPr>
            <w:tcW w:w="992" w:type="dxa"/>
            <w:vAlign w:val="center"/>
          </w:tcPr>
          <w:p w14:paraId="13FC7469" w14:textId="77777777" w:rsidR="00E56657" w:rsidRPr="00625218" w:rsidRDefault="00E56657" w:rsidP="00086B91">
            <w:pPr>
              <w:widowControl w:val="0"/>
              <w:jc w:val="center"/>
              <w:rPr>
                <w:rFonts w:cs="Arial"/>
                <w:szCs w:val="22"/>
              </w:rPr>
            </w:pPr>
            <w:r w:rsidRPr="00625218">
              <w:rPr>
                <w:rFonts w:cs="Arial"/>
                <w:szCs w:val="22"/>
              </w:rPr>
              <w:t>Until further notice</w:t>
            </w:r>
          </w:p>
        </w:tc>
        <w:tc>
          <w:tcPr>
            <w:tcW w:w="709" w:type="dxa"/>
            <w:vAlign w:val="center"/>
          </w:tcPr>
          <w:p w14:paraId="570A8A54" w14:textId="77777777" w:rsidR="00E56657" w:rsidRPr="00625218" w:rsidRDefault="00E56657" w:rsidP="00086B91">
            <w:pPr>
              <w:widowControl w:val="0"/>
              <w:rPr>
                <w:rFonts w:cs="Arial"/>
                <w:szCs w:val="22"/>
              </w:rPr>
            </w:pPr>
          </w:p>
        </w:tc>
      </w:tr>
    </w:tbl>
    <w:p w14:paraId="66D37AC0" w14:textId="77777777" w:rsidR="00E56657" w:rsidRPr="00625218" w:rsidRDefault="00E56657" w:rsidP="00E74C2C">
      <w:pPr>
        <w:pStyle w:val="SingleTxtG"/>
        <w:spacing w:before="120"/>
        <w:ind w:left="2268" w:hanging="1134"/>
        <w:rPr>
          <w:bCs/>
          <w:lang w:val="en-GB"/>
        </w:rPr>
      </w:pPr>
      <w:r w:rsidRPr="00625218">
        <w:rPr>
          <w:bCs/>
          <w:lang w:val="en-GB"/>
        </w:rPr>
        <w:t>6.8.3.2.9.4</w:t>
      </w:r>
      <w:r w:rsidRPr="00625218">
        <w:rPr>
          <w:bCs/>
          <w:lang w:val="en-GB"/>
        </w:rPr>
        <w:tab/>
        <w:t>Amend the first sentence to read:</w:t>
      </w:r>
    </w:p>
    <w:p w14:paraId="5A18FACE" w14:textId="4EA24204" w:rsidR="00E56657" w:rsidRPr="00625218" w:rsidRDefault="00E74C2C" w:rsidP="00E74C2C">
      <w:pPr>
        <w:pStyle w:val="SingleTxtG"/>
        <w:rPr>
          <w:bCs/>
          <w:lang w:val="en-GB"/>
        </w:rPr>
      </w:pPr>
      <w:r w:rsidRPr="00625218">
        <w:rPr>
          <w:bCs/>
          <w:lang w:val="en-GB"/>
        </w:rPr>
        <w:tab/>
      </w:r>
      <w:bookmarkStart w:id="1" w:name="_Hlk159919567"/>
      <w:r w:rsidR="00B212E8" w:rsidRPr="00625218">
        <w:rPr>
          <w:bCs/>
          <w:lang w:val="en-GB"/>
        </w:rPr>
        <w:t>“</w:t>
      </w:r>
      <w:r w:rsidR="00E56657" w:rsidRPr="00625218">
        <w:rPr>
          <w:bCs/>
          <w:lang w:val="en-GB"/>
        </w:rPr>
        <w:t>Each safety valve inlet shall be situated on top of the shell as close as practicable to the top generating line.</w:t>
      </w:r>
      <w:r w:rsidR="00B212E8" w:rsidRPr="00625218">
        <w:rPr>
          <w:bCs/>
          <w:lang w:val="en-GB"/>
        </w:rPr>
        <w:t>”</w:t>
      </w:r>
    </w:p>
    <w:bookmarkEnd w:id="1"/>
    <w:p w14:paraId="5E87747D" w14:textId="4589E3F5" w:rsidR="00E56657" w:rsidRPr="00625218" w:rsidRDefault="00E56657" w:rsidP="003376C8">
      <w:pPr>
        <w:pStyle w:val="SingleTxtG"/>
        <w:ind w:left="2268" w:hanging="1134"/>
        <w:rPr>
          <w:bCs/>
          <w:lang w:val="en-GB"/>
        </w:rPr>
      </w:pPr>
      <w:r w:rsidRPr="00625218">
        <w:rPr>
          <w:bCs/>
          <w:lang w:val="en-GB"/>
        </w:rPr>
        <w:t>6.8.4</w:t>
      </w:r>
      <w:r w:rsidR="003376C8" w:rsidRPr="00625218">
        <w:rPr>
          <w:bCs/>
          <w:lang w:val="en-GB"/>
        </w:rPr>
        <w:t xml:space="preserve"> (d)</w:t>
      </w:r>
      <w:r w:rsidR="00DB2048" w:rsidRPr="00625218">
        <w:rPr>
          <w:bCs/>
          <w:lang w:val="en-GB"/>
        </w:rPr>
        <w:tab/>
        <w:t xml:space="preserve">In </w:t>
      </w:r>
      <w:r w:rsidRPr="00625218">
        <w:rPr>
          <w:bCs/>
          <w:lang w:val="en-GB"/>
        </w:rPr>
        <w:t>TT8</w:t>
      </w:r>
      <w:r w:rsidR="003376C8" w:rsidRPr="00625218">
        <w:rPr>
          <w:bCs/>
          <w:lang w:val="en-GB"/>
        </w:rPr>
        <w:tab/>
      </w:r>
      <w:r w:rsidR="00DB2048" w:rsidRPr="00625218">
        <w:rPr>
          <w:bCs/>
          <w:lang w:val="en-GB"/>
        </w:rPr>
        <w:t>, a</w:t>
      </w:r>
      <w:r w:rsidRPr="00625218">
        <w:rPr>
          <w:bCs/>
          <w:lang w:val="en-GB"/>
        </w:rPr>
        <w:t>mend the last paragraph to read:</w:t>
      </w:r>
    </w:p>
    <w:p w14:paraId="0D8CC65D" w14:textId="69D119C0" w:rsidR="00E56657" w:rsidRPr="00625218" w:rsidRDefault="00B212E8" w:rsidP="007333EB">
      <w:pPr>
        <w:pStyle w:val="SingleTxtG"/>
        <w:rPr>
          <w:bCs/>
          <w:lang w:val="en-GB"/>
        </w:rPr>
      </w:pPr>
      <w:r w:rsidRPr="00625218">
        <w:rPr>
          <w:bCs/>
          <w:lang w:val="en-GB"/>
        </w:rPr>
        <w:t>“</w:t>
      </w:r>
      <w:r w:rsidR="00E56657" w:rsidRPr="00625218">
        <w:rPr>
          <w:bCs/>
          <w:lang w:val="en-GB"/>
        </w:rPr>
        <w:t>Such magnetic particle inspections shall be performed in accordance with EN 12972:2018 + A1:[2024].”</w:t>
      </w:r>
    </w:p>
    <w:p w14:paraId="7B91AD55" w14:textId="75BF7656" w:rsidR="00E56657" w:rsidRPr="00625218" w:rsidRDefault="00DB2048" w:rsidP="00E74C2C">
      <w:pPr>
        <w:pStyle w:val="SingleTxtG"/>
        <w:ind w:left="2268" w:hanging="1134"/>
        <w:rPr>
          <w:bCs/>
          <w:lang w:val="en-GB"/>
        </w:rPr>
      </w:pPr>
      <w:r w:rsidRPr="00625218">
        <w:rPr>
          <w:bCs/>
          <w:lang w:val="en-GB"/>
        </w:rPr>
        <w:tab/>
        <w:t xml:space="preserve">In </w:t>
      </w:r>
      <w:r w:rsidR="00E56657" w:rsidRPr="00625218">
        <w:rPr>
          <w:bCs/>
          <w:lang w:val="en-GB"/>
        </w:rPr>
        <w:t>TT11</w:t>
      </w:r>
      <w:r w:rsidRPr="00625218">
        <w:rPr>
          <w:bCs/>
          <w:lang w:val="en-GB"/>
        </w:rPr>
        <w:t>, a</w:t>
      </w:r>
      <w:r w:rsidR="00E56657" w:rsidRPr="00625218">
        <w:rPr>
          <w:bCs/>
          <w:lang w:val="en-GB"/>
        </w:rPr>
        <w:t>mend the reference to standard EN ISO 17638:2016 to read:</w:t>
      </w:r>
    </w:p>
    <w:p w14:paraId="1EB38586" w14:textId="2C0A3FAA" w:rsidR="00E56657" w:rsidRPr="00625218" w:rsidRDefault="00B212E8" w:rsidP="00CF609A">
      <w:pPr>
        <w:pStyle w:val="SingleTxtG"/>
        <w:ind w:left="1560" w:hanging="426"/>
        <w:rPr>
          <w:bCs/>
          <w:lang w:val="en-GB"/>
        </w:rPr>
      </w:pPr>
      <w:r w:rsidRPr="00625218">
        <w:rPr>
          <w:bCs/>
          <w:lang w:val="en-GB"/>
        </w:rPr>
        <w:t>“</w:t>
      </w:r>
      <w:r w:rsidR="00E56657" w:rsidRPr="00625218">
        <w:rPr>
          <w:bCs/>
          <w:lang w:val="en-GB"/>
        </w:rPr>
        <w:t>−</w:t>
      </w:r>
      <w:r w:rsidR="00E56657" w:rsidRPr="00625218">
        <w:rPr>
          <w:bCs/>
          <w:lang w:val="en-GB"/>
        </w:rPr>
        <w:tab/>
        <w:t>EN ISO 17638:2016 − non-destructive testing of welds – Magnetic particle testing, with acceptance of indications in accordance with level 2X of EN ISO 23278:2015 – Non-destructive testing of welds - Magnetic particle testing - Acceptance levels;</w:t>
      </w:r>
      <w:r w:rsidRPr="00625218">
        <w:rPr>
          <w:bCs/>
          <w:lang w:val="en-GB"/>
        </w:rPr>
        <w:t>”</w:t>
      </w:r>
    </w:p>
    <w:p w14:paraId="368A3A45" w14:textId="5843FE77" w:rsidR="00E56657" w:rsidRPr="00625218" w:rsidRDefault="003D1697" w:rsidP="00E74C2C">
      <w:pPr>
        <w:pStyle w:val="SingleTxtG"/>
        <w:ind w:left="2268" w:hanging="1134"/>
        <w:rPr>
          <w:bCs/>
          <w:lang w:val="en-GB"/>
        </w:rPr>
      </w:pPr>
      <w:r w:rsidRPr="00625218">
        <w:rPr>
          <w:bCs/>
          <w:lang w:val="en-GB"/>
        </w:rPr>
        <w:tab/>
      </w:r>
      <w:r w:rsidR="00E56657" w:rsidRPr="00625218">
        <w:rPr>
          <w:bCs/>
          <w:lang w:val="en-GB"/>
        </w:rPr>
        <w:t>Amend the paragraph after the fourth indent, including the indent of this paragraph to read:</w:t>
      </w:r>
    </w:p>
    <w:p w14:paraId="6FEA28FA" w14:textId="43EFCBDF" w:rsidR="00E56657" w:rsidRPr="00625218" w:rsidRDefault="00B212E8" w:rsidP="0029162A">
      <w:pPr>
        <w:pStyle w:val="SingleTxtG"/>
        <w:rPr>
          <w:bCs/>
          <w:lang w:val="en-GB"/>
        </w:rPr>
      </w:pPr>
      <w:r w:rsidRPr="00625218">
        <w:rPr>
          <w:bCs/>
          <w:lang w:val="en-GB"/>
        </w:rPr>
        <w:t>“</w:t>
      </w:r>
      <w:r w:rsidR="00E56657" w:rsidRPr="00625218">
        <w:rPr>
          <w:bCs/>
          <w:lang w:val="en-GB"/>
        </w:rPr>
        <w:t>Non-destructive checks shall be performed by personnel in accordance with EN 12972:2018 + A1:[2024] or EN 14334:2014.</w:t>
      </w:r>
      <w:r w:rsidRPr="00625218">
        <w:rPr>
          <w:bCs/>
          <w:lang w:val="en-GB"/>
        </w:rPr>
        <w:t>”</w:t>
      </w:r>
    </w:p>
    <w:p w14:paraId="10153EDD" w14:textId="77777777" w:rsidR="00E56657" w:rsidRPr="00625218" w:rsidRDefault="00E56657" w:rsidP="001C6D77">
      <w:pPr>
        <w:pStyle w:val="H1G"/>
      </w:pPr>
      <w:r w:rsidRPr="00625218">
        <w:tab/>
      </w:r>
      <w:r w:rsidRPr="00625218">
        <w:tab/>
        <w:t>Chapter 6.11</w:t>
      </w:r>
    </w:p>
    <w:p w14:paraId="637E2AC8" w14:textId="0DCD4BD4" w:rsidR="00243EAE" w:rsidRPr="00625218" w:rsidRDefault="00243EAE" w:rsidP="00243EAE">
      <w:pPr>
        <w:pStyle w:val="SingleTxtG"/>
        <w:rPr>
          <w:bCs/>
          <w:lang w:val="en-GB"/>
        </w:rPr>
      </w:pPr>
      <w:r w:rsidRPr="00625218">
        <w:rPr>
          <w:bCs/>
          <w:lang w:val="en-GB"/>
        </w:rPr>
        <w:t>6.11.1.4</w:t>
      </w:r>
      <w:r w:rsidRPr="00625218">
        <w:rPr>
          <w:bCs/>
          <w:lang w:val="en-GB"/>
        </w:rPr>
        <w:tab/>
        <w:t xml:space="preserve">The </w:t>
      </w:r>
      <w:r w:rsidR="00F27BA8" w:rsidRPr="00625218">
        <w:rPr>
          <w:bCs/>
          <w:lang w:val="en-GB"/>
        </w:rPr>
        <w:t xml:space="preserve">first </w:t>
      </w:r>
      <w:r w:rsidRPr="00625218">
        <w:rPr>
          <w:bCs/>
          <w:lang w:val="en-GB"/>
        </w:rPr>
        <w:t>amendment in the French version does not apply to the English text.</w:t>
      </w:r>
    </w:p>
    <w:p w14:paraId="5B1D306E" w14:textId="0126778A" w:rsidR="00E56657" w:rsidRPr="00625218" w:rsidRDefault="00E56657" w:rsidP="00F27BA8">
      <w:pPr>
        <w:pStyle w:val="SingleTxtG"/>
        <w:ind w:left="2268"/>
        <w:rPr>
          <w:rFonts w:cs="Arial"/>
          <w:bCs/>
          <w:szCs w:val="22"/>
          <w:lang w:val="en-GB"/>
        </w:rPr>
      </w:pPr>
      <w:r w:rsidRPr="00625218">
        <w:rPr>
          <w:bCs/>
          <w:lang w:val="en-GB"/>
        </w:rPr>
        <w:tab/>
        <w:t>Amend footnote 2 to read:</w:t>
      </w:r>
    </w:p>
    <w:p w14:paraId="09D7D829" w14:textId="3111DDAC" w:rsidR="00E56657" w:rsidRPr="00625218" w:rsidRDefault="00B212E8" w:rsidP="00E56657">
      <w:pPr>
        <w:pStyle w:val="SingleTxtG"/>
        <w:rPr>
          <w:rFonts w:cs="Arial"/>
          <w:szCs w:val="22"/>
          <w:lang w:val="en-GB"/>
        </w:rPr>
      </w:pPr>
      <w:r w:rsidRPr="00625218">
        <w:rPr>
          <w:lang w:val="en-GB"/>
        </w:rPr>
        <w:t>“</w:t>
      </w:r>
      <w:r w:rsidR="00E56657" w:rsidRPr="00625218">
        <w:rPr>
          <w:vertAlign w:val="superscript"/>
          <w:lang w:val="en-GB"/>
        </w:rPr>
        <w:t>2</w:t>
      </w:r>
      <w:r w:rsidR="00E56657" w:rsidRPr="00625218">
        <w:rPr>
          <w:lang w:val="en-GB"/>
        </w:rPr>
        <w:tab/>
      </w:r>
      <w:r w:rsidR="00E56657" w:rsidRPr="00625218">
        <w:rPr>
          <w:i/>
          <w:iCs/>
          <w:lang w:val="en-GB"/>
        </w:rPr>
        <w:t>Third edition of IRS (International Railway Solution) applicable as from 1 December 2023.</w:t>
      </w:r>
      <w:r w:rsidRPr="00625218">
        <w:rPr>
          <w:lang w:val="en-GB"/>
        </w:rPr>
        <w:t>”</w:t>
      </w:r>
    </w:p>
    <w:p w14:paraId="7B9D8B0A" w14:textId="77777777" w:rsidR="00E56657" w:rsidRPr="00625218" w:rsidRDefault="00E56657" w:rsidP="001C6D77">
      <w:pPr>
        <w:pStyle w:val="H1G"/>
      </w:pPr>
      <w:r w:rsidRPr="00625218">
        <w:tab/>
      </w:r>
      <w:r w:rsidRPr="00625218">
        <w:tab/>
        <w:t>Chapter 7.1</w:t>
      </w:r>
    </w:p>
    <w:p w14:paraId="2A20638B" w14:textId="77777777" w:rsidR="00E56657" w:rsidRPr="00625218" w:rsidRDefault="00E56657" w:rsidP="00E56657">
      <w:pPr>
        <w:pStyle w:val="SingleTxtG"/>
        <w:rPr>
          <w:rFonts w:cs="Arial"/>
          <w:bCs/>
          <w:szCs w:val="22"/>
          <w:lang w:val="en-GB"/>
        </w:rPr>
      </w:pPr>
      <w:r w:rsidRPr="00625218">
        <w:rPr>
          <w:bCs/>
          <w:lang w:val="en-GB"/>
        </w:rPr>
        <w:t>7.1.3</w:t>
      </w:r>
      <w:r w:rsidRPr="00625218">
        <w:rPr>
          <w:bCs/>
          <w:lang w:val="en-GB"/>
        </w:rPr>
        <w:tab/>
      </w:r>
      <w:r w:rsidRPr="00625218">
        <w:rPr>
          <w:bCs/>
          <w:lang w:val="en-GB"/>
        </w:rPr>
        <w:tab/>
        <w:t>Amend footnote 2 to read:</w:t>
      </w:r>
    </w:p>
    <w:p w14:paraId="379787BD" w14:textId="017D62B9" w:rsidR="00E56657" w:rsidRPr="00625218" w:rsidRDefault="00B212E8" w:rsidP="00E56657">
      <w:pPr>
        <w:pStyle w:val="SingleTxtG"/>
        <w:rPr>
          <w:rFonts w:cs="Arial"/>
          <w:i/>
          <w:iCs/>
          <w:szCs w:val="22"/>
          <w:lang w:val="en-GB"/>
        </w:rPr>
      </w:pPr>
      <w:r w:rsidRPr="00625218">
        <w:rPr>
          <w:lang w:val="en-GB"/>
        </w:rPr>
        <w:t>“</w:t>
      </w:r>
      <w:r w:rsidR="00E56657" w:rsidRPr="00625218">
        <w:rPr>
          <w:vertAlign w:val="superscript"/>
          <w:lang w:val="en-GB"/>
        </w:rPr>
        <w:t>2</w:t>
      </w:r>
      <w:r w:rsidR="00E56657" w:rsidRPr="00625218">
        <w:rPr>
          <w:lang w:val="en-GB"/>
        </w:rPr>
        <w:tab/>
      </w:r>
      <w:r w:rsidR="00E56657" w:rsidRPr="00625218">
        <w:rPr>
          <w:i/>
          <w:iCs/>
          <w:lang w:val="en-GB"/>
        </w:rPr>
        <w:t>Third edition of IRS (International Railway Solution) applicable as from 1 December 2023.</w:t>
      </w:r>
      <w:r w:rsidRPr="00625218">
        <w:rPr>
          <w:lang w:val="en-GB"/>
        </w:rPr>
        <w:t>”</w:t>
      </w:r>
    </w:p>
    <w:p w14:paraId="0DEAAA7E" w14:textId="2EDCA312" w:rsidR="006E3623" w:rsidRPr="00625218" w:rsidRDefault="006E3623" w:rsidP="006E3623">
      <w:pPr>
        <w:pStyle w:val="H1G"/>
      </w:pPr>
      <w:r w:rsidRPr="00625218">
        <w:tab/>
      </w:r>
      <w:r w:rsidRPr="00625218">
        <w:tab/>
        <w:t>Chapter 7.3</w:t>
      </w:r>
    </w:p>
    <w:p w14:paraId="3388F6CC" w14:textId="4E4995AB" w:rsidR="00D652B8" w:rsidRPr="00625218" w:rsidRDefault="00D652B8" w:rsidP="00D652B8">
      <w:pPr>
        <w:pStyle w:val="SingleTxtG"/>
        <w:ind w:left="2268" w:hanging="1134"/>
        <w:rPr>
          <w:bCs/>
          <w:lang w:val="en-GB"/>
        </w:rPr>
      </w:pPr>
      <w:r w:rsidRPr="00625218">
        <w:rPr>
          <w:bCs/>
          <w:lang w:val="en-GB"/>
        </w:rPr>
        <w:t>7.3.3.2.6</w:t>
      </w:r>
      <w:r w:rsidRPr="00625218">
        <w:rPr>
          <w:bCs/>
          <w:lang w:val="en-GB"/>
        </w:rPr>
        <w:tab/>
        <w:t>The amendment</w:t>
      </w:r>
      <w:r w:rsidR="00F000A4" w:rsidRPr="00625218">
        <w:rPr>
          <w:bCs/>
          <w:lang w:val="en-GB"/>
        </w:rPr>
        <w:t>s</w:t>
      </w:r>
      <w:r w:rsidRPr="00625218">
        <w:rPr>
          <w:bCs/>
          <w:lang w:val="en-GB"/>
        </w:rPr>
        <w:t xml:space="preserve"> in the French version do not apply to the English text.</w:t>
      </w:r>
    </w:p>
    <w:p w14:paraId="6470F1F3" w14:textId="70082CDF" w:rsidR="00E758CA" w:rsidRPr="00625218" w:rsidRDefault="00E758CA" w:rsidP="00E758CA">
      <w:pPr>
        <w:pStyle w:val="HChG"/>
        <w:rPr>
          <w:lang w:val="en-GB"/>
        </w:rPr>
      </w:pPr>
      <w:r w:rsidRPr="00625218">
        <w:rPr>
          <w:b w:val="0"/>
          <w:lang w:val="en-GB"/>
        </w:rPr>
        <w:tab/>
      </w:r>
      <w:r w:rsidRPr="00625218">
        <w:rPr>
          <w:bCs/>
          <w:lang w:val="en-GB"/>
        </w:rPr>
        <w:t>B.</w:t>
      </w:r>
      <w:r w:rsidRPr="00625218">
        <w:rPr>
          <w:bCs/>
          <w:lang w:val="en-GB"/>
        </w:rPr>
        <w:tab/>
      </w:r>
      <w:r w:rsidRPr="00625218">
        <w:rPr>
          <w:lang w:val="en-GB"/>
        </w:rPr>
        <w:t xml:space="preserve">Corrections to </w:t>
      </w:r>
      <w:r w:rsidR="004F66ED" w:rsidRPr="00625218">
        <w:rPr>
          <w:lang w:val="en-GB"/>
        </w:rPr>
        <w:t>ECE/TRANS/WP.15/265</w:t>
      </w:r>
    </w:p>
    <w:p w14:paraId="13704896" w14:textId="12BC8FF3" w:rsidR="00A6249C" w:rsidRPr="00625218" w:rsidRDefault="00A6249C" w:rsidP="00A6249C">
      <w:pPr>
        <w:pStyle w:val="H23G"/>
      </w:pPr>
      <w:r w:rsidRPr="00625218">
        <w:tab/>
        <w:t xml:space="preserve"> </w:t>
      </w:r>
      <w:r w:rsidRPr="00625218">
        <w:tab/>
        <w:t xml:space="preserve">Chapter 2.1, amendment to </w:t>
      </w:r>
      <w:r w:rsidRPr="00625218">
        <w:rPr>
          <w:rFonts w:eastAsia="SimSun"/>
        </w:rPr>
        <w:t>2.1.5.2</w:t>
      </w:r>
    </w:p>
    <w:p w14:paraId="559D59DD" w14:textId="77777777" w:rsidR="00A6249C" w:rsidRPr="00625218" w:rsidRDefault="00A6249C" w:rsidP="00A6249C">
      <w:pPr>
        <w:pStyle w:val="SingleTxtG"/>
        <w:rPr>
          <w:lang w:val="en-GB"/>
        </w:rPr>
      </w:pPr>
      <w:r w:rsidRPr="00625218">
        <w:rPr>
          <w:lang w:val="en-GB"/>
        </w:rPr>
        <w:t xml:space="preserve">For the existing text, </w:t>
      </w:r>
      <w:r w:rsidRPr="00625218">
        <w:rPr>
          <w:i/>
          <w:iCs/>
          <w:lang w:val="en-GB"/>
        </w:rPr>
        <w:t>substitute</w:t>
      </w:r>
    </w:p>
    <w:p w14:paraId="7C7F3D2B" w14:textId="7B42BDC5" w:rsidR="003B3F6F" w:rsidRPr="00625218" w:rsidRDefault="003B3F6F" w:rsidP="00A6249C">
      <w:pPr>
        <w:pStyle w:val="SingleTxtG"/>
        <w:tabs>
          <w:tab w:val="left" w:pos="2268"/>
        </w:tabs>
        <w:rPr>
          <w:bCs/>
          <w:lang w:val="en-GB"/>
        </w:rPr>
      </w:pPr>
      <w:r w:rsidRPr="00625218">
        <w:rPr>
          <w:bCs/>
          <w:lang w:val="en-GB"/>
        </w:rPr>
        <w:t>2.1.5.2</w:t>
      </w:r>
      <w:r w:rsidRPr="00625218">
        <w:rPr>
          <w:bCs/>
          <w:lang w:val="en-GB"/>
        </w:rPr>
        <w:tab/>
        <w:t>Amend to read as follows:</w:t>
      </w:r>
    </w:p>
    <w:p w14:paraId="385A882B" w14:textId="4E7183C2" w:rsidR="003B3F6F" w:rsidRPr="00625218" w:rsidRDefault="00B212E8" w:rsidP="0074355E">
      <w:pPr>
        <w:pStyle w:val="SingleTxtG"/>
        <w:ind w:left="2268" w:hanging="1134"/>
        <w:rPr>
          <w:bCs/>
          <w:lang w:val="en-GB"/>
        </w:rPr>
      </w:pPr>
      <w:r w:rsidRPr="00625218">
        <w:rPr>
          <w:rFonts w:eastAsia="SimSun"/>
          <w:bCs/>
          <w:lang w:val="en-GB" w:eastAsia="zh-CN"/>
        </w:rPr>
        <w:t>“</w:t>
      </w:r>
      <w:r w:rsidR="003B3F6F" w:rsidRPr="00625218">
        <w:rPr>
          <w:rFonts w:eastAsia="SimSun"/>
          <w:bCs/>
          <w:lang w:val="en-GB" w:eastAsia="zh-CN"/>
        </w:rPr>
        <w:t>2.1.5.2</w:t>
      </w:r>
      <w:r w:rsidR="003B3F6F" w:rsidRPr="00625218">
        <w:rPr>
          <w:rFonts w:eastAsia="SimSun"/>
          <w:bCs/>
          <w:lang w:val="en-GB" w:eastAsia="zh-CN"/>
        </w:rPr>
        <w:tab/>
        <w:t xml:space="preserve">Such articles may in addition contain cells or batteries. Lithium metal, lithium ion and sodium ion cells and batteries that are integral to the article shall be of a type proven to meet the testing requirements of the Manual of Tests and Criteria, Part III, sub-section 38.3. For articles containing pre-production prototype lithium metal, lithium ion or sodium ion cells or batteries carried for testing, or for articles containing lithium metal, lithium ion or sodium ion cells </w:t>
      </w:r>
      <w:r w:rsidR="003B3F6F" w:rsidRPr="00625218">
        <w:rPr>
          <w:rFonts w:eastAsia="SimSun"/>
          <w:bCs/>
          <w:lang w:val="en-GB" w:eastAsia="zh-CN"/>
        </w:rPr>
        <w:lastRenderedPageBreak/>
        <w:t>or batteries manufactured in production runs of not more than 100 cells or batteries, the requirements of special provision 310 of Chapter 3.3 shall apply.</w:t>
      </w:r>
      <w:r w:rsidRPr="00625218">
        <w:rPr>
          <w:rFonts w:eastAsia="SimSun"/>
          <w:bCs/>
          <w:lang w:val="en-GB" w:eastAsia="zh-CN"/>
        </w:rPr>
        <w:t>”</w:t>
      </w:r>
    </w:p>
    <w:p w14:paraId="7B3AD2A6" w14:textId="2A785083" w:rsidR="00684079" w:rsidRPr="00625218" w:rsidRDefault="00684079" w:rsidP="00684079">
      <w:pPr>
        <w:pStyle w:val="H23G"/>
      </w:pPr>
      <w:r w:rsidRPr="00625218">
        <w:tab/>
        <w:t xml:space="preserve"> </w:t>
      </w:r>
      <w:r w:rsidRPr="00625218">
        <w:tab/>
        <w:t xml:space="preserve">Chapter 3.3, amendment to </w:t>
      </w:r>
      <w:r w:rsidRPr="00625218">
        <w:rPr>
          <w:rFonts w:eastAsia="SimSun"/>
        </w:rPr>
        <w:t>SP 188</w:t>
      </w:r>
      <w:r w:rsidR="009A2427" w:rsidRPr="00625218">
        <w:rPr>
          <w:rFonts w:eastAsia="SimSun"/>
        </w:rPr>
        <w:t xml:space="preserve"> (f)</w:t>
      </w:r>
    </w:p>
    <w:p w14:paraId="62EB2CF4" w14:textId="77777777" w:rsidR="009A2427" w:rsidRPr="00625218" w:rsidRDefault="009A2427" w:rsidP="009A2427">
      <w:pPr>
        <w:pStyle w:val="SingleTxtG"/>
        <w:rPr>
          <w:lang w:val="en-GB"/>
        </w:rPr>
      </w:pPr>
      <w:r w:rsidRPr="00625218">
        <w:rPr>
          <w:lang w:val="en-GB"/>
        </w:rPr>
        <w:t xml:space="preserve">For the existing text, </w:t>
      </w:r>
      <w:r w:rsidRPr="00625218">
        <w:rPr>
          <w:i/>
          <w:iCs/>
          <w:lang w:val="en-GB"/>
        </w:rPr>
        <w:t>substitute</w:t>
      </w:r>
    </w:p>
    <w:p w14:paraId="42D555C8" w14:textId="457D7D77" w:rsidR="000638C3" w:rsidRPr="00625218" w:rsidRDefault="000638C3" w:rsidP="000638C3">
      <w:pPr>
        <w:pStyle w:val="SingleTxtG"/>
        <w:rPr>
          <w:lang w:val="en-GB"/>
        </w:rPr>
      </w:pPr>
      <w:r w:rsidRPr="00625218">
        <w:rPr>
          <w:lang w:val="en-GB"/>
        </w:rPr>
        <w:t>In (f):</w:t>
      </w:r>
    </w:p>
    <w:p w14:paraId="0D48C39C" w14:textId="2AFA947A" w:rsidR="000638C3" w:rsidRPr="00625218" w:rsidRDefault="000638C3" w:rsidP="000638C3">
      <w:pPr>
        <w:pStyle w:val="SingleTxtG"/>
        <w:rPr>
          <w:lang w:val="en-GB"/>
        </w:rPr>
      </w:pPr>
      <w:r w:rsidRPr="00625218">
        <w:rPr>
          <w:lang w:val="en-GB"/>
        </w:rPr>
        <w:t>–</w:t>
      </w:r>
      <w:r w:rsidRPr="00625218">
        <w:rPr>
          <w:lang w:val="en-GB"/>
        </w:rPr>
        <w:tab/>
        <w:t xml:space="preserve">In the first sentence, replace </w:t>
      </w:r>
      <w:r w:rsidR="00B212E8" w:rsidRPr="00625218">
        <w:rPr>
          <w:lang w:val="en-GB"/>
        </w:rPr>
        <w:t>“</w:t>
      </w:r>
      <w:r w:rsidRPr="00625218">
        <w:rPr>
          <w:lang w:val="en-GB"/>
        </w:rPr>
        <w:t>lithium battery mark</w:t>
      </w:r>
      <w:r w:rsidR="00B212E8" w:rsidRPr="00625218">
        <w:rPr>
          <w:lang w:val="en-GB"/>
        </w:rPr>
        <w:t>”</w:t>
      </w:r>
      <w:r w:rsidRPr="00625218">
        <w:rPr>
          <w:lang w:val="en-GB"/>
        </w:rPr>
        <w:t xml:space="preserve"> by </w:t>
      </w:r>
      <w:r w:rsidR="00B212E8" w:rsidRPr="00625218">
        <w:rPr>
          <w:lang w:val="en-GB"/>
        </w:rPr>
        <w:t>“</w:t>
      </w:r>
      <w:r w:rsidRPr="00625218">
        <w:rPr>
          <w:lang w:val="en-GB"/>
        </w:rPr>
        <w:t>battery mark</w:t>
      </w:r>
      <w:r w:rsidR="00B212E8" w:rsidRPr="00625218">
        <w:rPr>
          <w:lang w:val="en-GB"/>
        </w:rPr>
        <w:t>”</w:t>
      </w:r>
      <w:r w:rsidRPr="00625218">
        <w:rPr>
          <w:lang w:val="en-GB"/>
        </w:rPr>
        <w:t>;</w:t>
      </w:r>
    </w:p>
    <w:p w14:paraId="3B84E501" w14:textId="49A6086E" w:rsidR="000638C3" w:rsidRPr="00625218" w:rsidRDefault="000638C3" w:rsidP="000638C3">
      <w:pPr>
        <w:pStyle w:val="SingleTxtG"/>
        <w:rPr>
          <w:lang w:val="en-GB"/>
        </w:rPr>
      </w:pPr>
      <w:r w:rsidRPr="00625218">
        <w:rPr>
          <w:lang w:val="en-GB"/>
        </w:rPr>
        <w:t>–</w:t>
      </w:r>
      <w:r w:rsidRPr="00625218">
        <w:rPr>
          <w:lang w:val="en-GB"/>
        </w:rPr>
        <w:tab/>
        <w:t xml:space="preserve">In the last paragraph, first sentence, replace </w:t>
      </w:r>
      <w:r w:rsidR="00B212E8" w:rsidRPr="00625218">
        <w:rPr>
          <w:lang w:val="en-GB"/>
        </w:rPr>
        <w:t>“</w:t>
      </w:r>
      <w:r w:rsidRPr="00625218">
        <w:rPr>
          <w:lang w:val="en-GB"/>
        </w:rPr>
        <w:t>lithium battery mark</w:t>
      </w:r>
      <w:r w:rsidR="00B212E8" w:rsidRPr="00625218">
        <w:rPr>
          <w:lang w:val="en-GB"/>
        </w:rPr>
        <w:t>”</w:t>
      </w:r>
      <w:r w:rsidRPr="00625218">
        <w:rPr>
          <w:lang w:val="en-GB"/>
        </w:rPr>
        <w:t xml:space="preserve"> by </w:t>
      </w:r>
      <w:r w:rsidR="00B212E8" w:rsidRPr="00625218">
        <w:rPr>
          <w:lang w:val="en-GB"/>
        </w:rPr>
        <w:t>“</w:t>
      </w:r>
      <w:r w:rsidRPr="00625218">
        <w:rPr>
          <w:lang w:val="en-GB"/>
        </w:rPr>
        <w:t>battery mark</w:t>
      </w:r>
      <w:r w:rsidR="00B212E8" w:rsidRPr="00625218">
        <w:rPr>
          <w:lang w:val="en-GB"/>
        </w:rPr>
        <w:t>”</w:t>
      </w:r>
      <w:r w:rsidRPr="00625218">
        <w:rPr>
          <w:lang w:val="en-GB"/>
        </w:rPr>
        <w:t>;</w:t>
      </w:r>
    </w:p>
    <w:p w14:paraId="74522D14" w14:textId="2F6417AD" w:rsidR="000638C3" w:rsidRPr="00625218" w:rsidRDefault="000638C3" w:rsidP="000638C3">
      <w:pPr>
        <w:pStyle w:val="SingleTxtG"/>
        <w:rPr>
          <w:lang w:val="en-GB"/>
        </w:rPr>
      </w:pPr>
      <w:r w:rsidRPr="00625218">
        <w:rPr>
          <w:lang w:val="en-GB"/>
        </w:rPr>
        <w:t>–</w:t>
      </w:r>
      <w:r w:rsidRPr="00625218">
        <w:rPr>
          <w:lang w:val="en-GB"/>
        </w:rPr>
        <w:tab/>
        <w:t xml:space="preserve">In the Note, replace </w:t>
      </w:r>
      <w:r w:rsidR="00B212E8" w:rsidRPr="00625218">
        <w:rPr>
          <w:lang w:val="en-GB"/>
        </w:rPr>
        <w:t>“</w:t>
      </w:r>
      <w:r w:rsidRPr="00625218">
        <w:rPr>
          <w:lang w:val="en-GB"/>
        </w:rPr>
        <w:t>(lithium battery mark)</w:t>
      </w:r>
      <w:r w:rsidR="00B212E8" w:rsidRPr="00625218">
        <w:rPr>
          <w:lang w:val="en-GB"/>
        </w:rPr>
        <w:t>”</w:t>
      </w:r>
      <w:r w:rsidRPr="00625218">
        <w:rPr>
          <w:lang w:val="en-GB"/>
        </w:rPr>
        <w:t xml:space="preserve"> by </w:t>
      </w:r>
      <w:r w:rsidR="00B212E8" w:rsidRPr="00625218">
        <w:rPr>
          <w:lang w:val="en-GB"/>
        </w:rPr>
        <w:t>“</w:t>
      </w:r>
      <w:r w:rsidRPr="00625218">
        <w:rPr>
          <w:lang w:val="en-GB"/>
        </w:rPr>
        <w:t>(battery mark)</w:t>
      </w:r>
      <w:r w:rsidR="00B212E8" w:rsidRPr="00625218">
        <w:rPr>
          <w:lang w:val="en-GB"/>
        </w:rPr>
        <w:t>”</w:t>
      </w:r>
      <w:r w:rsidRPr="00625218">
        <w:rPr>
          <w:lang w:val="en-GB"/>
        </w:rPr>
        <w:t>.</w:t>
      </w:r>
    </w:p>
    <w:p w14:paraId="0E2A9EC2" w14:textId="2CC5D936" w:rsidR="00A216FB" w:rsidRPr="00625218" w:rsidRDefault="00A216FB" w:rsidP="00A216FB">
      <w:pPr>
        <w:pStyle w:val="H23G"/>
      </w:pPr>
      <w:r w:rsidRPr="00625218">
        <w:tab/>
        <w:t xml:space="preserve"> </w:t>
      </w:r>
      <w:r w:rsidRPr="00625218">
        <w:tab/>
        <w:t>Chapter 4.1, 4.1.4.1, P006</w:t>
      </w:r>
      <w:r w:rsidR="001D5298" w:rsidRPr="00625218">
        <w:t>, in new (5), in the introductory sentence</w:t>
      </w:r>
      <w:r w:rsidR="009D2F1B" w:rsidRPr="00625218">
        <w:t xml:space="preserve"> (twice)</w:t>
      </w:r>
    </w:p>
    <w:p w14:paraId="595EA86D" w14:textId="2FD272F2" w:rsidR="00114C8F" w:rsidRPr="00625218" w:rsidRDefault="00D2293D" w:rsidP="00114C8F">
      <w:pPr>
        <w:pStyle w:val="SingleTxtG"/>
        <w:rPr>
          <w:bCs/>
          <w:lang w:val="en-GB"/>
        </w:rPr>
      </w:pPr>
      <w:r w:rsidRPr="00625218">
        <w:rPr>
          <w:i/>
          <w:iCs/>
          <w:lang w:val="en-GB"/>
        </w:rPr>
        <w:t>For</w:t>
      </w:r>
      <w:r w:rsidR="00114C8F" w:rsidRPr="00625218">
        <w:rPr>
          <w:lang w:val="en-GB"/>
        </w:rPr>
        <w:t xml:space="preserve"> lithium cells or batteries </w:t>
      </w:r>
      <w:r w:rsidRPr="00625218">
        <w:rPr>
          <w:i/>
          <w:iCs/>
          <w:lang w:val="en-GB"/>
        </w:rPr>
        <w:t>read</w:t>
      </w:r>
      <w:r w:rsidR="00114C8F" w:rsidRPr="00625218">
        <w:rPr>
          <w:lang w:val="en-GB"/>
        </w:rPr>
        <w:t xml:space="preserve"> </w:t>
      </w:r>
      <w:r w:rsidRPr="00625218">
        <w:rPr>
          <w:lang w:val="en-GB"/>
        </w:rPr>
        <w:t xml:space="preserve">lithium cells or batteries </w:t>
      </w:r>
      <w:r w:rsidR="00114C8F" w:rsidRPr="00625218">
        <w:rPr>
          <w:bCs/>
          <w:lang w:val="en-GB"/>
        </w:rPr>
        <w:t>or sodium ion cells or batteries</w:t>
      </w:r>
    </w:p>
    <w:p w14:paraId="724D22F7" w14:textId="74DD1211" w:rsidR="005A7D00" w:rsidRPr="00625218" w:rsidRDefault="005A7D00" w:rsidP="005A7D00">
      <w:pPr>
        <w:pStyle w:val="H23G"/>
      </w:pPr>
      <w:r w:rsidRPr="00625218">
        <w:tab/>
        <w:t xml:space="preserve"> </w:t>
      </w:r>
      <w:r w:rsidRPr="00625218">
        <w:tab/>
        <w:t>Chapter 4.1, 4.1.4.3, LP0</w:t>
      </w:r>
      <w:r w:rsidR="00885937" w:rsidRPr="00625218">
        <w:t>3</w:t>
      </w:r>
      <w:r w:rsidRPr="00625218">
        <w:t>, in new (</w:t>
      </w:r>
      <w:r w:rsidR="00CD559D" w:rsidRPr="00625218">
        <w:t>4</w:t>
      </w:r>
      <w:r w:rsidRPr="00625218">
        <w:t>), in the introductory sentence (twice)</w:t>
      </w:r>
    </w:p>
    <w:p w14:paraId="14435F82" w14:textId="77777777" w:rsidR="005A7D00" w:rsidRPr="00625218" w:rsidRDefault="005A7D00" w:rsidP="005A7D00">
      <w:pPr>
        <w:pStyle w:val="SingleTxtG"/>
        <w:rPr>
          <w:bCs/>
          <w:lang w:val="en-GB"/>
        </w:rPr>
      </w:pPr>
      <w:r w:rsidRPr="00625218">
        <w:rPr>
          <w:i/>
          <w:iCs/>
          <w:lang w:val="en-GB"/>
        </w:rPr>
        <w:t>For</w:t>
      </w:r>
      <w:r w:rsidRPr="00625218">
        <w:rPr>
          <w:lang w:val="en-GB"/>
        </w:rPr>
        <w:t xml:space="preserve"> lithium cells or batteries </w:t>
      </w:r>
      <w:r w:rsidRPr="00625218">
        <w:rPr>
          <w:i/>
          <w:iCs/>
          <w:lang w:val="en-GB"/>
        </w:rPr>
        <w:t>read</w:t>
      </w:r>
      <w:r w:rsidRPr="00625218">
        <w:rPr>
          <w:lang w:val="en-GB"/>
        </w:rPr>
        <w:t xml:space="preserve"> lithium cells or batteries </w:t>
      </w:r>
      <w:r w:rsidRPr="00625218">
        <w:rPr>
          <w:bCs/>
          <w:lang w:val="en-GB"/>
        </w:rPr>
        <w:t>or sodium ion cells or batteries</w:t>
      </w:r>
    </w:p>
    <w:p w14:paraId="67A93577" w14:textId="0C139B10" w:rsidR="00E2635E" w:rsidRPr="00625218" w:rsidRDefault="00E2635E" w:rsidP="00E2635E">
      <w:pPr>
        <w:pStyle w:val="H23G"/>
      </w:pPr>
      <w:r w:rsidRPr="00625218">
        <w:tab/>
        <w:t xml:space="preserve"> </w:t>
      </w:r>
      <w:r w:rsidRPr="00625218">
        <w:tab/>
        <w:t xml:space="preserve">Chapter 5.2, amendment to </w:t>
      </w:r>
      <w:r w:rsidRPr="00625218">
        <w:rPr>
          <w:rFonts w:eastAsia="SimSun"/>
        </w:rPr>
        <w:t>5.2.1.9</w:t>
      </w:r>
    </w:p>
    <w:p w14:paraId="62F26F97" w14:textId="77777777" w:rsidR="00C37FD2" w:rsidRPr="00625218" w:rsidRDefault="00E2635E" w:rsidP="00C37FD2">
      <w:pPr>
        <w:pStyle w:val="SingleTxtG"/>
        <w:rPr>
          <w:lang w:val="en-GB"/>
        </w:rPr>
      </w:pPr>
      <w:r w:rsidRPr="00625218">
        <w:rPr>
          <w:lang w:val="en-GB"/>
        </w:rPr>
        <w:t xml:space="preserve">For the existing text, </w:t>
      </w:r>
      <w:r w:rsidRPr="00625218">
        <w:rPr>
          <w:i/>
          <w:iCs/>
          <w:lang w:val="en-GB"/>
        </w:rPr>
        <w:t>substitute</w:t>
      </w:r>
    </w:p>
    <w:p w14:paraId="1267DEE3" w14:textId="49B398D5" w:rsidR="00C37FD2" w:rsidRPr="00625218" w:rsidRDefault="00C37FD2" w:rsidP="00C37FD2">
      <w:pPr>
        <w:pStyle w:val="SingleTxtG"/>
        <w:tabs>
          <w:tab w:val="left" w:pos="2268"/>
        </w:tabs>
        <w:rPr>
          <w:lang w:val="en-GB"/>
        </w:rPr>
      </w:pPr>
      <w:r w:rsidRPr="00625218">
        <w:rPr>
          <w:lang w:val="en-GB"/>
        </w:rPr>
        <w:t>5.2.1.9</w:t>
      </w:r>
      <w:r w:rsidRPr="00625218">
        <w:rPr>
          <w:lang w:val="en-GB"/>
        </w:rPr>
        <w:tab/>
        <w:t xml:space="preserve">Amend the heading to read </w:t>
      </w:r>
      <w:r w:rsidR="00B212E8" w:rsidRPr="00625218">
        <w:rPr>
          <w:lang w:val="en-GB"/>
        </w:rPr>
        <w:t>“</w:t>
      </w:r>
      <w:r w:rsidR="00F444EF" w:rsidRPr="00625218">
        <w:rPr>
          <w:b/>
          <w:bCs/>
          <w:lang w:val="en-GB"/>
        </w:rPr>
        <w:t>5.2.1.9</w:t>
      </w:r>
      <w:r w:rsidR="00F444EF" w:rsidRPr="00625218">
        <w:rPr>
          <w:lang w:val="en-GB"/>
        </w:rPr>
        <w:t xml:space="preserve"> </w:t>
      </w:r>
      <w:r w:rsidRPr="00625218">
        <w:rPr>
          <w:b/>
          <w:bCs/>
          <w:i/>
          <w:iCs/>
          <w:lang w:val="en-GB"/>
        </w:rPr>
        <w:t>Battery mark</w:t>
      </w:r>
      <w:r w:rsidR="00B212E8" w:rsidRPr="00625218">
        <w:rPr>
          <w:lang w:val="en-GB"/>
        </w:rPr>
        <w:t>”</w:t>
      </w:r>
      <w:r w:rsidRPr="00625218">
        <w:rPr>
          <w:lang w:val="en-GB"/>
        </w:rPr>
        <w:t>.</w:t>
      </w:r>
    </w:p>
    <w:p w14:paraId="48905D21" w14:textId="44A1CA08" w:rsidR="00273E76" w:rsidRPr="00625218" w:rsidRDefault="00273E76" w:rsidP="00273E76">
      <w:pPr>
        <w:pStyle w:val="H23G"/>
      </w:pPr>
      <w:r w:rsidRPr="00625218">
        <w:tab/>
        <w:t xml:space="preserve"> </w:t>
      </w:r>
      <w:r w:rsidRPr="00625218">
        <w:tab/>
        <w:t xml:space="preserve">Chapter 5.2, 5.2.1.9.2, second amendment </w:t>
      </w:r>
    </w:p>
    <w:p w14:paraId="6517E1C3" w14:textId="77777777" w:rsidR="00273E76" w:rsidRPr="00625218" w:rsidRDefault="00273E76" w:rsidP="00273E76">
      <w:pPr>
        <w:pStyle w:val="SingleTxtG"/>
        <w:rPr>
          <w:lang w:val="en-GB"/>
        </w:rPr>
      </w:pPr>
      <w:r w:rsidRPr="00625218">
        <w:rPr>
          <w:lang w:val="en-GB"/>
        </w:rPr>
        <w:t xml:space="preserve">For the existing text, </w:t>
      </w:r>
      <w:r w:rsidRPr="00625218">
        <w:rPr>
          <w:i/>
          <w:iCs/>
          <w:lang w:val="en-GB"/>
        </w:rPr>
        <w:t>substitute</w:t>
      </w:r>
    </w:p>
    <w:p w14:paraId="3E68F83D" w14:textId="796A0DF4" w:rsidR="00CA6BED" w:rsidRPr="00625218" w:rsidRDefault="00CA6BED" w:rsidP="00CA6BED">
      <w:pPr>
        <w:pStyle w:val="SingleTxtG"/>
        <w:rPr>
          <w:lang w:val="en-GB"/>
        </w:rPr>
      </w:pPr>
      <w:r w:rsidRPr="00625218">
        <w:rPr>
          <w:rFonts w:eastAsia="SimSun"/>
          <w:lang w:val="en-GB" w:eastAsia="zh-CN"/>
        </w:rPr>
        <w:t xml:space="preserve">Amend the heading of figure 5.2.1.9.2 to read </w:t>
      </w:r>
      <w:r w:rsidR="00B212E8" w:rsidRPr="00625218">
        <w:rPr>
          <w:rFonts w:eastAsia="SimSun"/>
          <w:lang w:val="en-GB" w:eastAsia="zh-CN"/>
        </w:rPr>
        <w:t>“</w:t>
      </w:r>
      <w:r w:rsidRPr="00625218">
        <w:rPr>
          <w:rFonts w:eastAsia="SimSun"/>
          <w:b/>
          <w:bCs/>
          <w:lang w:val="en-GB" w:eastAsia="zh-CN"/>
        </w:rPr>
        <w:t>Battery mark</w:t>
      </w:r>
      <w:r w:rsidR="00B212E8" w:rsidRPr="00625218">
        <w:rPr>
          <w:rFonts w:eastAsia="SimSun"/>
          <w:lang w:val="en-GB" w:eastAsia="zh-CN"/>
        </w:rPr>
        <w:t>”</w:t>
      </w:r>
      <w:r w:rsidRPr="00625218">
        <w:rPr>
          <w:rFonts w:eastAsia="SimSun"/>
          <w:lang w:val="en-GB" w:eastAsia="zh-CN"/>
        </w:rPr>
        <w:t>.</w:t>
      </w:r>
    </w:p>
    <w:p w14:paraId="6C818060" w14:textId="723D88D0" w:rsidR="00CA6BED" w:rsidRPr="00625218" w:rsidRDefault="00CA6BED" w:rsidP="00CA6BED">
      <w:pPr>
        <w:pStyle w:val="H23G"/>
      </w:pPr>
      <w:r w:rsidRPr="00625218">
        <w:tab/>
        <w:t xml:space="preserve"> </w:t>
      </w:r>
      <w:r w:rsidRPr="00625218">
        <w:tab/>
        <w:t xml:space="preserve">Chapter 5.2, amendment </w:t>
      </w:r>
      <w:r w:rsidR="004779B8" w:rsidRPr="00625218">
        <w:t>to 5.2.2.1.12.1</w:t>
      </w:r>
    </w:p>
    <w:p w14:paraId="1312B5B9" w14:textId="77777777" w:rsidR="004B1F35" w:rsidRPr="00625218" w:rsidRDefault="004B1F35" w:rsidP="004B1F35">
      <w:pPr>
        <w:pStyle w:val="SingleTxtG"/>
        <w:rPr>
          <w:lang w:val="en-GB"/>
        </w:rPr>
      </w:pPr>
      <w:r w:rsidRPr="00625218">
        <w:rPr>
          <w:lang w:val="en-GB"/>
        </w:rPr>
        <w:t xml:space="preserve">For the existing text, </w:t>
      </w:r>
      <w:r w:rsidRPr="00625218">
        <w:rPr>
          <w:i/>
          <w:iCs/>
          <w:lang w:val="en-GB"/>
        </w:rPr>
        <w:t>substitute</w:t>
      </w:r>
    </w:p>
    <w:p w14:paraId="5D46A3B4" w14:textId="6C0F10D3" w:rsidR="00905C76" w:rsidRPr="00625218" w:rsidRDefault="00905C76" w:rsidP="00905C76">
      <w:pPr>
        <w:pStyle w:val="SingleTxtG"/>
        <w:tabs>
          <w:tab w:val="left" w:pos="2268"/>
        </w:tabs>
        <w:ind w:left="2268" w:hanging="1134"/>
        <w:rPr>
          <w:lang w:val="en-GB"/>
        </w:rPr>
      </w:pPr>
      <w:r w:rsidRPr="00625218">
        <w:rPr>
          <w:lang w:val="en-GB"/>
        </w:rPr>
        <w:t>5.2.2.1.12.1</w:t>
      </w:r>
      <w:r w:rsidRPr="00625218">
        <w:rPr>
          <w:lang w:val="en-GB"/>
        </w:rPr>
        <w:tab/>
        <w:t xml:space="preserve">Replace </w:t>
      </w:r>
      <w:r w:rsidR="00AA21FC" w:rsidRPr="00625218">
        <w:rPr>
          <w:lang w:val="en-GB"/>
        </w:rPr>
        <w:t>“</w:t>
      </w:r>
      <w:r w:rsidRPr="00625218">
        <w:rPr>
          <w:lang w:val="en-GB"/>
        </w:rPr>
        <w:t>lithium batteries</w:t>
      </w:r>
      <w:r w:rsidR="00AA21FC" w:rsidRPr="00625218">
        <w:rPr>
          <w:lang w:val="en-GB"/>
        </w:rPr>
        <w:t>”</w:t>
      </w:r>
      <w:r w:rsidRPr="00625218">
        <w:rPr>
          <w:lang w:val="en-GB"/>
        </w:rPr>
        <w:t xml:space="preserve"> by </w:t>
      </w:r>
      <w:r w:rsidR="00AA21FC" w:rsidRPr="00625218">
        <w:rPr>
          <w:lang w:val="en-GB"/>
        </w:rPr>
        <w:t>“</w:t>
      </w:r>
      <w:r w:rsidRPr="00625218">
        <w:rPr>
          <w:lang w:val="en-GB"/>
        </w:rPr>
        <w:t>lithium batteries or sodium ion batteries</w:t>
      </w:r>
      <w:r w:rsidR="00AA21FC" w:rsidRPr="00625218">
        <w:rPr>
          <w:lang w:val="en-GB"/>
        </w:rPr>
        <w:t>”</w:t>
      </w:r>
      <w:r w:rsidRPr="00625218">
        <w:rPr>
          <w:lang w:val="en-GB"/>
        </w:rPr>
        <w:t xml:space="preserve">, and </w:t>
      </w:r>
      <w:r w:rsidR="00AA21FC" w:rsidRPr="00625218">
        <w:rPr>
          <w:lang w:val="en-GB"/>
        </w:rPr>
        <w:t>“</w:t>
      </w:r>
      <w:r w:rsidRPr="00625218">
        <w:rPr>
          <w:lang w:val="en-GB"/>
        </w:rPr>
        <w:t>lithium battery mark</w:t>
      </w:r>
      <w:r w:rsidR="00AA21FC" w:rsidRPr="00625218">
        <w:rPr>
          <w:lang w:val="en-GB"/>
        </w:rPr>
        <w:t>”</w:t>
      </w:r>
      <w:r w:rsidRPr="00625218">
        <w:rPr>
          <w:lang w:val="en-GB"/>
        </w:rPr>
        <w:t xml:space="preserve"> by </w:t>
      </w:r>
      <w:r w:rsidR="00AA21FC" w:rsidRPr="00625218">
        <w:rPr>
          <w:lang w:val="en-GB"/>
        </w:rPr>
        <w:t>“</w:t>
      </w:r>
      <w:r w:rsidRPr="00625218">
        <w:rPr>
          <w:lang w:val="en-GB"/>
        </w:rPr>
        <w:t>battery mark</w:t>
      </w:r>
      <w:r w:rsidR="00AA21FC" w:rsidRPr="00625218">
        <w:rPr>
          <w:lang w:val="en-GB"/>
        </w:rPr>
        <w:t>”</w:t>
      </w:r>
      <w:r w:rsidRPr="00625218">
        <w:rPr>
          <w:lang w:val="en-GB"/>
        </w:rPr>
        <w:t>.</w:t>
      </w:r>
    </w:p>
    <w:p w14:paraId="7D20380D" w14:textId="7A05F1E4" w:rsidR="000035C2" w:rsidRPr="00625218" w:rsidRDefault="000035C2" w:rsidP="000035C2">
      <w:pPr>
        <w:pStyle w:val="H23G"/>
      </w:pPr>
      <w:r w:rsidRPr="00625218">
        <w:tab/>
        <w:t xml:space="preserve"> </w:t>
      </w:r>
      <w:r w:rsidRPr="00625218">
        <w:tab/>
        <w:t>Chapter 7.3, 7.3.3.2.7, new AP12</w:t>
      </w:r>
      <w:r w:rsidR="00960DB6" w:rsidRPr="00625218">
        <w:t>, third paragraph</w:t>
      </w:r>
    </w:p>
    <w:p w14:paraId="37156C8F" w14:textId="2FE3363B" w:rsidR="00147969" w:rsidRPr="00625218" w:rsidRDefault="00147969" w:rsidP="00147969">
      <w:pPr>
        <w:pStyle w:val="SingleTxtG"/>
        <w:rPr>
          <w:lang w:val="en-GB"/>
        </w:rPr>
      </w:pPr>
      <w:r w:rsidRPr="00625218">
        <w:rPr>
          <w:i/>
          <w:iCs/>
          <w:lang w:val="en-GB"/>
        </w:rPr>
        <w:t>For</w:t>
      </w:r>
      <w:r w:rsidRPr="00625218">
        <w:rPr>
          <w:lang w:val="en-GB"/>
        </w:rPr>
        <w:t xml:space="preserve"> two liners </w:t>
      </w:r>
      <w:r w:rsidRPr="00625218">
        <w:rPr>
          <w:i/>
          <w:iCs/>
          <w:lang w:val="en-GB"/>
        </w:rPr>
        <w:t>read</w:t>
      </w:r>
      <w:r w:rsidRPr="00625218">
        <w:rPr>
          <w:lang w:val="en-GB"/>
        </w:rPr>
        <w:t xml:space="preserve"> two components</w:t>
      </w:r>
    </w:p>
    <w:p w14:paraId="76B92B67" w14:textId="78557D67" w:rsidR="00147969" w:rsidRPr="00625218" w:rsidRDefault="00147969" w:rsidP="00147969">
      <w:pPr>
        <w:pStyle w:val="H23G"/>
      </w:pPr>
      <w:r w:rsidRPr="00625218">
        <w:tab/>
        <w:t xml:space="preserve"> </w:t>
      </w:r>
      <w:r w:rsidRPr="00625218">
        <w:tab/>
        <w:t>Chapter 7.3, 7.3.3.2.7, new AP12, fourth paragraph</w:t>
      </w:r>
      <w:r w:rsidR="001A7BFC" w:rsidRPr="00625218">
        <w:t>, first sentence</w:t>
      </w:r>
    </w:p>
    <w:p w14:paraId="38C302DB" w14:textId="23F6D289" w:rsidR="00147969" w:rsidRPr="00625218" w:rsidRDefault="00147969" w:rsidP="00147969">
      <w:pPr>
        <w:pStyle w:val="SingleTxtG"/>
        <w:rPr>
          <w:lang w:val="en-GB"/>
        </w:rPr>
      </w:pPr>
      <w:r w:rsidRPr="00625218">
        <w:rPr>
          <w:i/>
          <w:iCs/>
          <w:lang w:val="en-GB"/>
        </w:rPr>
        <w:t>For</w:t>
      </w:r>
      <w:r w:rsidRPr="00625218">
        <w:rPr>
          <w:lang w:val="en-GB"/>
        </w:rPr>
        <w:t xml:space="preserve"> </w:t>
      </w:r>
      <w:r w:rsidR="00BD32CE" w:rsidRPr="00625218">
        <w:rPr>
          <w:lang w:val="en-GB"/>
        </w:rPr>
        <w:t>The inner lining</w:t>
      </w:r>
      <w:r w:rsidRPr="00625218">
        <w:rPr>
          <w:lang w:val="en-GB"/>
        </w:rPr>
        <w:t xml:space="preserve"> </w:t>
      </w:r>
      <w:r w:rsidRPr="00625218">
        <w:rPr>
          <w:i/>
          <w:iCs/>
          <w:lang w:val="en-GB"/>
        </w:rPr>
        <w:t>read</w:t>
      </w:r>
      <w:r w:rsidRPr="00625218">
        <w:rPr>
          <w:lang w:val="en-GB"/>
        </w:rPr>
        <w:t xml:space="preserve"> </w:t>
      </w:r>
      <w:r w:rsidR="003158BB" w:rsidRPr="00625218">
        <w:rPr>
          <w:lang w:val="en-GB"/>
        </w:rPr>
        <w:t>The inner component</w:t>
      </w:r>
    </w:p>
    <w:p w14:paraId="373159C1" w14:textId="47D6EBE9" w:rsidR="001A7BFC" w:rsidRPr="00625218" w:rsidRDefault="001A7BFC" w:rsidP="001A7BFC">
      <w:pPr>
        <w:pStyle w:val="H23G"/>
      </w:pPr>
      <w:r w:rsidRPr="00625218">
        <w:tab/>
        <w:t xml:space="preserve"> </w:t>
      </w:r>
      <w:r w:rsidRPr="00625218">
        <w:tab/>
        <w:t>Chapter 7.3, 7.3.3.2.7, new AP12, fourth paragraph, second sentence</w:t>
      </w:r>
    </w:p>
    <w:p w14:paraId="7B4CFF3A" w14:textId="77777777" w:rsidR="001A7BFC" w:rsidRPr="00625218" w:rsidRDefault="001A7BFC" w:rsidP="001A7BFC">
      <w:pPr>
        <w:pStyle w:val="SingleTxtG"/>
        <w:rPr>
          <w:lang w:val="en-GB"/>
        </w:rPr>
      </w:pPr>
      <w:r w:rsidRPr="00625218">
        <w:rPr>
          <w:i/>
          <w:iCs/>
          <w:lang w:val="en-GB"/>
        </w:rPr>
        <w:t>For</w:t>
      </w:r>
      <w:r w:rsidRPr="00625218">
        <w:rPr>
          <w:lang w:val="en-GB"/>
        </w:rPr>
        <w:t xml:space="preserve"> The inner lining </w:t>
      </w:r>
      <w:r w:rsidRPr="00625218">
        <w:rPr>
          <w:i/>
          <w:iCs/>
          <w:lang w:val="en-GB"/>
        </w:rPr>
        <w:t>read</w:t>
      </w:r>
      <w:r w:rsidRPr="00625218">
        <w:rPr>
          <w:lang w:val="en-GB"/>
        </w:rPr>
        <w:t xml:space="preserve"> The inner component</w:t>
      </w:r>
    </w:p>
    <w:p w14:paraId="0CF51504" w14:textId="5B628B6B" w:rsidR="003158BB" w:rsidRPr="00625218" w:rsidRDefault="003158BB" w:rsidP="003158BB">
      <w:pPr>
        <w:pStyle w:val="H23G"/>
      </w:pPr>
      <w:r w:rsidRPr="00625218">
        <w:tab/>
        <w:t xml:space="preserve"> </w:t>
      </w:r>
      <w:r w:rsidRPr="00625218">
        <w:tab/>
        <w:t>Chapter 7.3, 7.3.3.2.7, new AP12, fifth paragraph, first sentence</w:t>
      </w:r>
    </w:p>
    <w:p w14:paraId="3133EDDB" w14:textId="7569D2DB" w:rsidR="003158BB" w:rsidRPr="00625218" w:rsidRDefault="003158BB" w:rsidP="003158BB">
      <w:pPr>
        <w:pStyle w:val="SingleTxtG"/>
        <w:rPr>
          <w:lang w:val="en-GB"/>
        </w:rPr>
      </w:pPr>
      <w:r w:rsidRPr="00625218">
        <w:rPr>
          <w:i/>
          <w:iCs/>
          <w:lang w:val="en-GB"/>
        </w:rPr>
        <w:t>For</w:t>
      </w:r>
      <w:r w:rsidRPr="00625218">
        <w:rPr>
          <w:lang w:val="en-GB"/>
        </w:rPr>
        <w:t xml:space="preserve"> </w:t>
      </w:r>
      <w:r w:rsidR="00F71B03" w:rsidRPr="00625218">
        <w:rPr>
          <w:lang w:val="en-GB"/>
        </w:rPr>
        <w:t>The outer lining</w:t>
      </w:r>
      <w:r w:rsidR="00F71B03" w:rsidRPr="00625218">
        <w:rPr>
          <w:i/>
          <w:iCs/>
          <w:lang w:val="en-GB"/>
        </w:rPr>
        <w:t xml:space="preserve"> </w:t>
      </w:r>
      <w:r w:rsidRPr="00625218">
        <w:rPr>
          <w:i/>
          <w:iCs/>
          <w:lang w:val="en-GB"/>
        </w:rPr>
        <w:t>read</w:t>
      </w:r>
      <w:r w:rsidRPr="00625218">
        <w:rPr>
          <w:lang w:val="en-GB"/>
        </w:rPr>
        <w:t xml:space="preserve"> </w:t>
      </w:r>
      <w:r w:rsidR="000C0AFF" w:rsidRPr="00625218">
        <w:rPr>
          <w:lang w:val="en-GB"/>
        </w:rPr>
        <w:t>The outer component</w:t>
      </w:r>
    </w:p>
    <w:p w14:paraId="52D9E0ED" w14:textId="22EC0CD7" w:rsidR="000702C9" w:rsidRPr="00625218" w:rsidRDefault="000702C9" w:rsidP="000702C9">
      <w:pPr>
        <w:pStyle w:val="H23G"/>
      </w:pPr>
      <w:r w:rsidRPr="00625218">
        <w:tab/>
        <w:t xml:space="preserve"> </w:t>
      </w:r>
      <w:r w:rsidRPr="00625218">
        <w:tab/>
        <w:t>Chapter 7.3, 7.3.3.2.7, new AP12, fifth paragraph, second sentence</w:t>
      </w:r>
    </w:p>
    <w:p w14:paraId="243751C7" w14:textId="77777777" w:rsidR="00001C38" w:rsidRPr="00625218" w:rsidRDefault="00001C38" w:rsidP="00001C38">
      <w:pPr>
        <w:spacing w:after="120"/>
        <w:ind w:left="1134" w:right="1134"/>
        <w:jc w:val="both"/>
      </w:pPr>
      <w:r w:rsidRPr="00625218">
        <w:t>Not applicable to English.</w:t>
      </w:r>
    </w:p>
    <w:p w14:paraId="065B6191" w14:textId="0C4CEC79" w:rsidR="0025151F" w:rsidRPr="00625218" w:rsidRDefault="0025151F" w:rsidP="0025151F">
      <w:pPr>
        <w:pStyle w:val="H23G"/>
      </w:pPr>
      <w:r w:rsidRPr="00625218">
        <w:tab/>
        <w:t xml:space="preserve"> </w:t>
      </w:r>
      <w:r w:rsidRPr="00625218">
        <w:tab/>
        <w:t>Chapter 7.5, 7.5.11, new CV3</w:t>
      </w:r>
      <w:r w:rsidR="000702C9" w:rsidRPr="00625218">
        <w:t>8</w:t>
      </w:r>
      <w:r w:rsidR="00F741F5" w:rsidRPr="00625218">
        <w:t>, second paragraph, second sentence</w:t>
      </w:r>
    </w:p>
    <w:p w14:paraId="7ABA9B1D" w14:textId="77777777" w:rsidR="0025151F" w:rsidRPr="00625218" w:rsidRDefault="0025151F" w:rsidP="0025151F">
      <w:pPr>
        <w:pStyle w:val="SingleTxtG"/>
        <w:rPr>
          <w:lang w:val="en-GB"/>
        </w:rPr>
      </w:pPr>
      <w:r w:rsidRPr="00625218">
        <w:rPr>
          <w:i/>
          <w:iCs/>
          <w:lang w:val="en-GB"/>
        </w:rPr>
        <w:t>For</w:t>
      </w:r>
      <w:r w:rsidRPr="00625218">
        <w:rPr>
          <w:lang w:val="en-GB"/>
        </w:rPr>
        <w:t xml:space="preserve"> The outer lining</w:t>
      </w:r>
      <w:r w:rsidRPr="00625218">
        <w:rPr>
          <w:i/>
          <w:iCs/>
          <w:lang w:val="en-GB"/>
        </w:rPr>
        <w:t xml:space="preserve"> read</w:t>
      </w:r>
      <w:r w:rsidRPr="00625218">
        <w:rPr>
          <w:lang w:val="en-GB"/>
        </w:rPr>
        <w:t xml:space="preserve"> The outer component</w:t>
      </w:r>
    </w:p>
    <w:p w14:paraId="4B1A92BC" w14:textId="3C8C70D5" w:rsidR="00052054" w:rsidRPr="00625218" w:rsidRDefault="00052054" w:rsidP="00052054">
      <w:pPr>
        <w:pStyle w:val="ListParagraph"/>
        <w:spacing w:after="0" w:line="240" w:lineRule="auto"/>
        <w:ind w:left="1134"/>
        <w:jc w:val="center"/>
        <w:rPr>
          <w:rFonts w:ascii="Times New Roman" w:hAnsi="Times New Roman" w:cs="Times New Roman"/>
          <w:sz w:val="20"/>
          <w:szCs w:val="22"/>
          <w:lang w:val="en-GB"/>
        </w:rPr>
      </w:pPr>
      <w:r w:rsidRPr="00625218">
        <w:rPr>
          <w:rFonts w:ascii="Times New Roman" w:hAnsi="Times New Roman" w:cs="Times New Roman"/>
          <w:sz w:val="20"/>
          <w:szCs w:val="22"/>
          <w:lang w:val="en-GB"/>
        </w:rPr>
        <w:t>________________</w:t>
      </w:r>
    </w:p>
    <w:sectPr w:rsidR="00052054" w:rsidRPr="00625218" w:rsidSect="006770F0">
      <w:headerReference w:type="even" r:id="rId11"/>
      <w:headerReference w:type="default" r:id="rId12"/>
      <w:footerReference w:type="even" r:id="rId13"/>
      <w:footerReference w:type="default" r:id="rId14"/>
      <w:headerReference w:type="first" r:id="rId15"/>
      <w:endnotePr>
        <w:numFmt w:val="decimal"/>
      </w:endnotePr>
      <w:pgSz w:w="11907" w:h="16840" w:code="9"/>
      <w:pgMar w:top="1276"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C89F" w14:textId="77777777" w:rsidR="00B42EC0" w:rsidRDefault="00B42EC0"/>
  </w:endnote>
  <w:endnote w:type="continuationSeparator" w:id="0">
    <w:p w14:paraId="1EC43A9C" w14:textId="77777777" w:rsidR="00B42EC0" w:rsidRDefault="00B42EC0"/>
  </w:endnote>
  <w:endnote w:type="continuationNotice" w:id="1">
    <w:p w14:paraId="20064619" w14:textId="77777777" w:rsidR="00B42EC0" w:rsidRDefault="00B42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A2DCA" w14:textId="60A6511C" w:rsidR="0092434D" w:rsidRPr="00982036" w:rsidRDefault="0092434D" w:rsidP="00982036">
    <w:pPr>
      <w:pStyle w:val="Footer"/>
      <w:tabs>
        <w:tab w:val="right" w:pos="9638"/>
      </w:tabs>
      <w:rPr>
        <w:sz w:val="18"/>
      </w:rPr>
    </w:pPr>
    <w:r w:rsidRPr="00982036">
      <w:rPr>
        <w:b/>
        <w:sz w:val="18"/>
      </w:rPr>
      <w:fldChar w:fldCharType="begin"/>
    </w:r>
    <w:r w:rsidRPr="00982036">
      <w:rPr>
        <w:b/>
        <w:sz w:val="18"/>
      </w:rPr>
      <w:instrText xml:space="preserve"> PAGE  \* MERGEFORMAT </w:instrText>
    </w:r>
    <w:r w:rsidRPr="00982036">
      <w:rPr>
        <w:b/>
        <w:sz w:val="18"/>
      </w:rPr>
      <w:fldChar w:fldCharType="separate"/>
    </w:r>
    <w:r w:rsidR="00024C02">
      <w:rPr>
        <w:b/>
        <w:noProof/>
        <w:sz w:val="18"/>
      </w:rPr>
      <w:t>2</w:t>
    </w:r>
    <w:r w:rsidRPr="0098203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863" w14:textId="77777777" w:rsidR="0092434D" w:rsidRPr="00982036" w:rsidRDefault="0092434D" w:rsidP="00982036">
    <w:pPr>
      <w:pStyle w:val="Footer"/>
      <w:tabs>
        <w:tab w:val="right" w:pos="9638"/>
      </w:tabs>
      <w:rPr>
        <w:b/>
        <w:sz w:val="18"/>
      </w:rPr>
    </w:pPr>
    <w:r>
      <w:tab/>
    </w:r>
    <w:r w:rsidRPr="00982036">
      <w:rPr>
        <w:b/>
        <w:sz w:val="18"/>
      </w:rPr>
      <w:fldChar w:fldCharType="begin"/>
    </w:r>
    <w:r w:rsidRPr="00982036">
      <w:rPr>
        <w:b/>
        <w:sz w:val="18"/>
      </w:rPr>
      <w:instrText xml:space="preserve"> PAGE  \* MERGEFORMAT </w:instrText>
    </w:r>
    <w:r w:rsidRPr="00982036">
      <w:rPr>
        <w:b/>
        <w:sz w:val="18"/>
      </w:rPr>
      <w:fldChar w:fldCharType="separate"/>
    </w:r>
    <w:r w:rsidR="00B170C8">
      <w:rPr>
        <w:b/>
        <w:noProof/>
        <w:sz w:val="18"/>
      </w:rPr>
      <w:t>3</w:t>
    </w:r>
    <w:r w:rsidRPr="0098203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B1C7E" w14:textId="77777777" w:rsidR="00B42EC0" w:rsidRPr="000B175B" w:rsidRDefault="00B42EC0" w:rsidP="000B175B">
      <w:pPr>
        <w:tabs>
          <w:tab w:val="right" w:pos="2155"/>
        </w:tabs>
        <w:spacing w:after="80"/>
        <w:ind w:left="680"/>
        <w:rPr>
          <w:u w:val="single"/>
        </w:rPr>
      </w:pPr>
      <w:r>
        <w:rPr>
          <w:u w:val="single"/>
        </w:rPr>
        <w:tab/>
      </w:r>
    </w:p>
  </w:footnote>
  <w:footnote w:type="continuationSeparator" w:id="0">
    <w:p w14:paraId="577A989A" w14:textId="77777777" w:rsidR="00B42EC0" w:rsidRPr="00FC68B7" w:rsidRDefault="00B42EC0" w:rsidP="00FC68B7">
      <w:pPr>
        <w:tabs>
          <w:tab w:val="left" w:pos="2155"/>
        </w:tabs>
        <w:spacing w:after="80"/>
        <w:ind w:left="680"/>
        <w:rPr>
          <w:u w:val="single"/>
        </w:rPr>
      </w:pPr>
      <w:r>
        <w:rPr>
          <w:u w:val="single"/>
        </w:rPr>
        <w:tab/>
      </w:r>
    </w:p>
  </w:footnote>
  <w:footnote w:type="continuationNotice" w:id="1">
    <w:p w14:paraId="656F46BC" w14:textId="77777777" w:rsidR="00B42EC0" w:rsidRDefault="00B42E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F9D3" w14:textId="3F24A1A5" w:rsidR="0092434D" w:rsidRPr="00617E96" w:rsidRDefault="0092434D" w:rsidP="005D338A">
    <w:pPr>
      <w:pStyle w:val="Header"/>
      <w:tabs>
        <w:tab w:val="left" w:pos="885"/>
      </w:tabs>
      <w:rPr>
        <w:lang w:val="fr-CH"/>
      </w:rPr>
    </w:pPr>
    <w:r>
      <w:rPr>
        <w:lang w:val="fr-CH"/>
      </w:rPr>
      <w:t>INF.</w:t>
    </w:r>
    <w:r w:rsidR="002E0F3F">
      <w:rPr>
        <w:lang w:val="fr-CH"/>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4BE0" w14:textId="4287736F" w:rsidR="0092434D" w:rsidRPr="00F71BEF" w:rsidRDefault="0092434D" w:rsidP="00982036">
    <w:pPr>
      <w:pStyle w:val="Header"/>
      <w:jc w:val="right"/>
      <w:rPr>
        <w:lang w:val="fr-CH"/>
      </w:rPr>
    </w:pPr>
    <w:r w:rsidRPr="00F71BEF">
      <w:rPr>
        <w:lang w:val="fr-CH"/>
      </w:rPr>
      <w:t>INF.</w:t>
    </w:r>
    <w:r w:rsidR="002E0F3F">
      <w:rPr>
        <w:lang w:val="fr-CH"/>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06694" w14:textId="1A42FEE8" w:rsidR="0092434D" w:rsidRPr="00617E96" w:rsidRDefault="00B170C8" w:rsidP="00617E96">
    <w:pPr>
      <w:pStyle w:val="Header"/>
      <w:jc w:val="right"/>
      <w:rPr>
        <w:sz w:val="28"/>
        <w:szCs w:val="28"/>
        <w:lang w:val="fr-CH"/>
      </w:rPr>
    </w:pPr>
    <w:r>
      <w:rPr>
        <w:sz w:val="28"/>
        <w:szCs w:val="28"/>
        <w:lang w:val="fr-CH"/>
      </w:rPr>
      <w:t>INF.</w:t>
    </w:r>
    <w:r w:rsidR="002E0F3F">
      <w:rPr>
        <w:sz w:val="28"/>
        <w:szCs w:val="28"/>
        <w:lang w:val="fr-CH"/>
      </w:rPr>
      <w:t>12</w:t>
    </w:r>
    <w:r w:rsidR="007F1766">
      <w:rPr>
        <w:sz w:val="28"/>
        <w:szCs w:val="28"/>
        <w:lang w:val="fr-CH"/>
      </w:rPr>
      <w:t xml:space="preserve"> English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0635D9"/>
    <w:multiLevelType w:val="hybridMultilevel"/>
    <w:tmpl w:val="8B7A4D08"/>
    <w:lvl w:ilvl="0" w:tplc="05C82FB4">
      <w:start w:val="1"/>
      <w:numFmt w:val="upperLetter"/>
      <w:lvlText w:val="%1."/>
      <w:lvlJc w:val="left"/>
      <w:pPr>
        <w:ind w:left="1215" w:hanging="85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12DB0981"/>
    <w:multiLevelType w:val="multilevel"/>
    <w:tmpl w:val="57524FD4"/>
    <w:styleLink w:val="Listformatnumreradlista"/>
    <w:lvl w:ilvl="0">
      <w:start w:val="1"/>
      <w:numFmt w:val="none"/>
      <w:suff w:val="nothing"/>
      <w:lvlText w:val="%1"/>
      <w:lvlJc w:val="left"/>
      <w:pPr>
        <w:ind w:left="360" w:hanging="360"/>
      </w:pPr>
      <w:rPr>
        <w:rFonts w:hint="default"/>
      </w:rPr>
    </w:lvl>
    <w:lvl w:ilvl="1">
      <w:start w:val="1"/>
      <w:numFmt w:val="decimal"/>
      <w:lvlText w:val="%2."/>
      <w:lvlJc w:val="left"/>
      <w:pPr>
        <w:ind w:left="720" w:hanging="363"/>
      </w:pPr>
      <w:rPr>
        <w:rFonts w:hint="default"/>
      </w:rPr>
    </w:lvl>
    <w:lvl w:ilvl="2">
      <w:start w:val="1"/>
      <w:numFmt w:val="decimal"/>
      <w:lvlText w:val="%2.%3."/>
      <w:lvlJc w:val="left"/>
      <w:pPr>
        <w:ind w:left="1213" w:hanging="493"/>
      </w:pPr>
      <w:rPr>
        <w:rFonts w:hint="default"/>
      </w:rPr>
    </w:lvl>
    <w:lvl w:ilvl="3">
      <w:start w:val="1"/>
      <w:numFmt w:val="decimal"/>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14A945C1"/>
    <w:multiLevelType w:val="hybridMultilevel"/>
    <w:tmpl w:val="F094F39E"/>
    <w:lvl w:ilvl="0" w:tplc="7174FA32">
      <w:start w:val="1"/>
      <w:numFmt w:val="upp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9E4FDC"/>
    <w:multiLevelType w:val="multilevel"/>
    <w:tmpl w:val="60181320"/>
    <w:styleLink w:val="Listformatpunktlista"/>
    <w:lvl w:ilvl="0">
      <w:start w:val="1"/>
      <w:numFmt w:val="none"/>
      <w:suff w:val="nothing"/>
      <w:lvlText w:val=""/>
      <w:lvlJc w:val="left"/>
      <w:pPr>
        <w:ind w:left="360" w:hanging="360"/>
      </w:pPr>
      <w:rPr>
        <w:rFonts w:hint="default"/>
        <w:color w:val="auto"/>
      </w:rPr>
    </w:lvl>
    <w:lvl w:ilvl="1">
      <w:start w:val="1"/>
      <w:numFmt w:val="bullet"/>
      <w:lvlText w:val=""/>
      <w:lvlJc w:val="left"/>
      <w:pPr>
        <w:ind w:left="720" w:hanging="363"/>
      </w:pPr>
      <w:rPr>
        <w:rFonts w:ascii="Symbol" w:hAnsi="Symbol" w:hint="default"/>
        <w:color w:val="auto"/>
      </w:rPr>
    </w:lvl>
    <w:lvl w:ilvl="2">
      <w:start w:val="1"/>
      <w:numFmt w:val="bullet"/>
      <w:lvlRestart w:val="1"/>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02C40CA"/>
    <w:multiLevelType w:val="hybridMultilevel"/>
    <w:tmpl w:val="9004702E"/>
    <w:lvl w:ilvl="0" w:tplc="041D000F">
      <w:start w:val="1"/>
      <w:numFmt w:val="decimal"/>
      <w:lvlText w:val="%1."/>
      <w:lvlJc w:val="left"/>
      <w:pPr>
        <w:ind w:left="786" w:hanging="360"/>
      </w:p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8" w15:restartNumberingAfterBreak="0">
    <w:nsid w:val="5880669A"/>
    <w:multiLevelType w:val="hybridMultilevel"/>
    <w:tmpl w:val="92CAE8F0"/>
    <w:lvl w:ilvl="0" w:tplc="83EA0992">
      <w:start w:val="1"/>
      <w:numFmt w:val="upperLetter"/>
      <w:lvlText w:val="%1."/>
      <w:lvlJc w:val="left"/>
      <w:pPr>
        <w:ind w:left="1500" w:hanging="360"/>
      </w:pPr>
      <w:rPr>
        <w:rFonts w:hint="default"/>
      </w:rPr>
    </w:lvl>
    <w:lvl w:ilvl="1" w:tplc="100C0019" w:tentative="1">
      <w:start w:val="1"/>
      <w:numFmt w:val="lowerLetter"/>
      <w:lvlText w:val="%2."/>
      <w:lvlJc w:val="left"/>
      <w:pPr>
        <w:ind w:left="2220" w:hanging="360"/>
      </w:pPr>
    </w:lvl>
    <w:lvl w:ilvl="2" w:tplc="100C001B" w:tentative="1">
      <w:start w:val="1"/>
      <w:numFmt w:val="lowerRoman"/>
      <w:lvlText w:val="%3."/>
      <w:lvlJc w:val="right"/>
      <w:pPr>
        <w:ind w:left="2940" w:hanging="180"/>
      </w:pPr>
    </w:lvl>
    <w:lvl w:ilvl="3" w:tplc="100C000F" w:tentative="1">
      <w:start w:val="1"/>
      <w:numFmt w:val="decimal"/>
      <w:lvlText w:val="%4."/>
      <w:lvlJc w:val="left"/>
      <w:pPr>
        <w:ind w:left="3660" w:hanging="360"/>
      </w:pPr>
    </w:lvl>
    <w:lvl w:ilvl="4" w:tplc="100C0019" w:tentative="1">
      <w:start w:val="1"/>
      <w:numFmt w:val="lowerLetter"/>
      <w:lvlText w:val="%5."/>
      <w:lvlJc w:val="left"/>
      <w:pPr>
        <w:ind w:left="4380" w:hanging="360"/>
      </w:pPr>
    </w:lvl>
    <w:lvl w:ilvl="5" w:tplc="100C001B" w:tentative="1">
      <w:start w:val="1"/>
      <w:numFmt w:val="lowerRoman"/>
      <w:lvlText w:val="%6."/>
      <w:lvlJc w:val="right"/>
      <w:pPr>
        <w:ind w:left="5100" w:hanging="180"/>
      </w:pPr>
    </w:lvl>
    <w:lvl w:ilvl="6" w:tplc="100C000F" w:tentative="1">
      <w:start w:val="1"/>
      <w:numFmt w:val="decimal"/>
      <w:lvlText w:val="%7."/>
      <w:lvlJc w:val="left"/>
      <w:pPr>
        <w:ind w:left="5820" w:hanging="360"/>
      </w:pPr>
    </w:lvl>
    <w:lvl w:ilvl="7" w:tplc="100C0019" w:tentative="1">
      <w:start w:val="1"/>
      <w:numFmt w:val="lowerLetter"/>
      <w:lvlText w:val="%8."/>
      <w:lvlJc w:val="left"/>
      <w:pPr>
        <w:ind w:left="6540" w:hanging="360"/>
      </w:pPr>
    </w:lvl>
    <w:lvl w:ilvl="8" w:tplc="100C001B" w:tentative="1">
      <w:start w:val="1"/>
      <w:numFmt w:val="lowerRoman"/>
      <w:lvlText w:val="%9."/>
      <w:lvlJc w:val="right"/>
      <w:pPr>
        <w:ind w:left="7260" w:hanging="180"/>
      </w:p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6F28DE"/>
    <w:multiLevelType w:val="hybridMultilevel"/>
    <w:tmpl w:val="C728DE3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10574"/>
    <w:multiLevelType w:val="hybridMultilevel"/>
    <w:tmpl w:val="E6DABA16"/>
    <w:lvl w:ilvl="0" w:tplc="2C066F50">
      <w:start w:val="1"/>
      <w:numFmt w:val="decimal"/>
      <w:lvlText w:val="%1."/>
      <w:lvlJc w:val="left"/>
      <w:pPr>
        <w:ind w:left="1704" w:hanging="57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16cid:durableId="689985576">
    <w:abstractNumId w:val="1"/>
  </w:num>
  <w:num w:numId="2" w16cid:durableId="335693586">
    <w:abstractNumId w:val="0"/>
  </w:num>
  <w:num w:numId="3" w16cid:durableId="426466880">
    <w:abstractNumId w:val="2"/>
  </w:num>
  <w:num w:numId="4" w16cid:durableId="635571715">
    <w:abstractNumId w:val="3"/>
  </w:num>
  <w:num w:numId="5" w16cid:durableId="1289622696">
    <w:abstractNumId w:val="8"/>
  </w:num>
  <w:num w:numId="6" w16cid:durableId="1311010415">
    <w:abstractNumId w:val="9"/>
  </w:num>
  <w:num w:numId="7" w16cid:durableId="1756978003">
    <w:abstractNumId w:val="7"/>
  </w:num>
  <w:num w:numId="8" w16cid:durableId="258023659">
    <w:abstractNumId w:val="6"/>
  </w:num>
  <w:num w:numId="9" w16cid:durableId="1740249784">
    <w:abstractNumId w:val="5"/>
  </w:num>
  <w:num w:numId="10" w16cid:durableId="1077174037">
    <w:abstractNumId w:val="4"/>
  </w:num>
  <w:num w:numId="11" w16cid:durableId="1093086806">
    <w:abstractNumId w:val="19"/>
  </w:num>
  <w:num w:numId="12" w16cid:durableId="1809085064">
    <w:abstractNumId w:val="15"/>
  </w:num>
  <w:num w:numId="13" w16cid:durableId="1112627386">
    <w:abstractNumId w:val="11"/>
  </w:num>
  <w:num w:numId="14" w16cid:durableId="1066341114">
    <w:abstractNumId w:val="20"/>
  </w:num>
  <w:num w:numId="15" w16cid:durableId="1388526538">
    <w:abstractNumId w:val="22"/>
  </w:num>
  <w:num w:numId="16" w16cid:durableId="1964341363">
    <w:abstractNumId w:val="16"/>
  </w:num>
  <w:num w:numId="17" w16cid:durableId="1920869730">
    <w:abstractNumId w:val="13"/>
  </w:num>
  <w:num w:numId="18" w16cid:durableId="1738623694">
    <w:abstractNumId w:val="23"/>
  </w:num>
  <w:num w:numId="19" w16cid:durableId="695037578">
    <w:abstractNumId w:val="21"/>
  </w:num>
  <w:num w:numId="20" w16cid:durableId="1831867121">
    <w:abstractNumId w:val="17"/>
  </w:num>
  <w:num w:numId="21" w16cid:durableId="872232134">
    <w:abstractNumId w:val="10"/>
  </w:num>
  <w:num w:numId="22" w16cid:durableId="769856747">
    <w:abstractNumId w:val="14"/>
  </w:num>
  <w:num w:numId="23" w16cid:durableId="1593397865">
    <w:abstractNumId w:val="18"/>
  </w:num>
  <w:num w:numId="24" w16cid:durableId="85708280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es-ES" w:vendorID="64" w:dllVersion="0" w:nlCheck="1" w:checkStyle="0"/>
  <w:activeWritingStyle w:appName="MSWord" w:lang="ru-RU"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01C38"/>
    <w:rsid w:val="000035C2"/>
    <w:rsid w:val="000042C4"/>
    <w:rsid w:val="00005CBF"/>
    <w:rsid w:val="00007358"/>
    <w:rsid w:val="00011932"/>
    <w:rsid w:val="00015838"/>
    <w:rsid w:val="000162D9"/>
    <w:rsid w:val="000229D3"/>
    <w:rsid w:val="000241F2"/>
    <w:rsid w:val="00024C02"/>
    <w:rsid w:val="00026D9C"/>
    <w:rsid w:val="000353DA"/>
    <w:rsid w:val="0003772E"/>
    <w:rsid w:val="000404E5"/>
    <w:rsid w:val="00042739"/>
    <w:rsid w:val="000457B4"/>
    <w:rsid w:val="00046B1F"/>
    <w:rsid w:val="00047596"/>
    <w:rsid w:val="00050F6B"/>
    <w:rsid w:val="00052054"/>
    <w:rsid w:val="00052E85"/>
    <w:rsid w:val="000575AC"/>
    <w:rsid w:val="0005792E"/>
    <w:rsid w:val="00057E97"/>
    <w:rsid w:val="000638C3"/>
    <w:rsid w:val="000646F4"/>
    <w:rsid w:val="0006491B"/>
    <w:rsid w:val="00065AD1"/>
    <w:rsid w:val="00065C6D"/>
    <w:rsid w:val="000702C9"/>
    <w:rsid w:val="00071B62"/>
    <w:rsid w:val="00071E36"/>
    <w:rsid w:val="00072C8C"/>
    <w:rsid w:val="000733B5"/>
    <w:rsid w:val="00081815"/>
    <w:rsid w:val="00084795"/>
    <w:rsid w:val="0008497C"/>
    <w:rsid w:val="00085285"/>
    <w:rsid w:val="000931C0"/>
    <w:rsid w:val="00096C84"/>
    <w:rsid w:val="000A17BA"/>
    <w:rsid w:val="000A213A"/>
    <w:rsid w:val="000A2E7E"/>
    <w:rsid w:val="000A309E"/>
    <w:rsid w:val="000A78F4"/>
    <w:rsid w:val="000A7999"/>
    <w:rsid w:val="000B0595"/>
    <w:rsid w:val="000B175B"/>
    <w:rsid w:val="000B3A0F"/>
    <w:rsid w:val="000B491C"/>
    <w:rsid w:val="000B4EF7"/>
    <w:rsid w:val="000C0AFF"/>
    <w:rsid w:val="000C1C47"/>
    <w:rsid w:val="000C2BBF"/>
    <w:rsid w:val="000C2C03"/>
    <w:rsid w:val="000C2D2E"/>
    <w:rsid w:val="000C497A"/>
    <w:rsid w:val="000D08B9"/>
    <w:rsid w:val="000D2452"/>
    <w:rsid w:val="000D3E3E"/>
    <w:rsid w:val="000D4266"/>
    <w:rsid w:val="000E0415"/>
    <w:rsid w:val="000E0492"/>
    <w:rsid w:val="000E0637"/>
    <w:rsid w:val="000E1362"/>
    <w:rsid w:val="000E3B67"/>
    <w:rsid w:val="000F2981"/>
    <w:rsid w:val="00103323"/>
    <w:rsid w:val="00104094"/>
    <w:rsid w:val="00110035"/>
    <w:rsid w:val="001103AA"/>
    <w:rsid w:val="00110611"/>
    <w:rsid w:val="00111A5C"/>
    <w:rsid w:val="00114C8F"/>
    <w:rsid w:val="0011666B"/>
    <w:rsid w:val="00121D95"/>
    <w:rsid w:val="00127CAE"/>
    <w:rsid w:val="00130A16"/>
    <w:rsid w:val="001315EB"/>
    <w:rsid w:val="0013299E"/>
    <w:rsid w:val="00145971"/>
    <w:rsid w:val="00147062"/>
    <w:rsid w:val="00147969"/>
    <w:rsid w:val="00153C2C"/>
    <w:rsid w:val="00164FF7"/>
    <w:rsid w:val="00165F3A"/>
    <w:rsid w:val="0016663C"/>
    <w:rsid w:val="001723AA"/>
    <w:rsid w:val="0017318C"/>
    <w:rsid w:val="00173696"/>
    <w:rsid w:val="001742BA"/>
    <w:rsid w:val="001746C1"/>
    <w:rsid w:val="00175C8D"/>
    <w:rsid w:val="00175E6F"/>
    <w:rsid w:val="00177C0F"/>
    <w:rsid w:val="001817D6"/>
    <w:rsid w:val="00181D88"/>
    <w:rsid w:val="00186EEA"/>
    <w:rsid w:val="00193460"/>
    <w:rsid w:val="001A1394"/>
    <w:rsid w:val="001A1D4B"/>
    <w:rsid w:val="001A2105"/>
    <w:rsid w:val="001A6E11"/>
    <w:rsid w:val="001A6F83"/>
    <w:rsid w:val="001A7BFC"/>
    <w:rsid w:val="001B128F"/>
    <w:rsid w:val="001B4B04"/>
    <w:rsid w:val="001C346C"/>
    <w:rsid w:val="001C6663"/>
    <w:rsid w:val="001C6D77"/>
    <w:rsid w:val="001C7895"/>
    <w:rsid w:val="001D0C8C"/>
    <w:rsid w:val="001D1419"/>
    <w:rsid w:val="001D1CC3"/>
    <w:rsid w:val="001D26DF"/>
    <w:rsid w:val="001D2EDC"/>
    <w:rsid w:val="001D3A03"/>
    <w:rsid w:val="001D4954"/>
    <w:rsid w:val="001D4AEC"/>
    <w:rsid w:val="001D5298"/>
    <w:rsid w:val="001D7750"/>
    <w:rsid w:val="001E1C97"/>
    <w:rsid w:val="001E2989"/>
    <w:rsid w:val="001E3EEF"/>
    <w:rsid w:val="001E4C81"/>
    <w:rsid w:val="001E68FC"/>
    <w:rsid w:val="001E7B67"/>
    <w:rsid w:val="001F239D"/>
    <w:rsid w:val="001F715D"/>
    <w:rsid w:val="002017D8"/>
    <w:rsid w:val="00202DA8"/>
    <w:rsid w:val="00207AC3"/>
    <w:rsid w:val="00210872"/>
    <w:rsid w:val="00210C59"/>
    <w:rsid w:val="00211E0B"/>
    <w:rsid w:val="002218C8"/>
    <w:rsid w:val="00222DF8"/>
    <w:rsid w:val="00223A66"/>
    <w:rsid w:val="00224D92"/>
    <w:rsid w:val="0022549B"/>
    <w:rsid w:val="00234DF2"/>
    <w:rsid w:val="00237818"/>
    <w:rsid w:val="00237BB0"/>
    <w:rsid w:val="00237E67"/>
    <w:rsid w:val="00243EAE"/>
    <w:rsid w:val="0024772E"/>
    <w:rsid w:val="00250271"/>
    <w:rsid w:val="002514D4"/>
    <w:rsid w:val="0025151F"/>
    <w:rsid w:val="00261ACC"/>
    <w:rsid w:val="002646A4"/>
    <w:rsid w:val="00267B69"/>
    <w:rsid w:val="00267F5F"/>
    <w:rsid w:val="002709B0"/>
    <w:rsid w:val="00271AEC"/>
    <w:rsid w:val="00273E76"/>
    <w:rsid w:val="0027517D"/>
    <w:rsid w:val="00275325"/>
    <w:rsid w:val="0027769C"/>
    <w:rsid w:val="00282751"/>
    <w:rsid w:val="00282E77"/>
    <w:rsid w:val="00284318"/>
    <w:rsid w:val="002864E1"/>
    <w:rsid w:val="00286B4D"/>
    <w:rsid w:val="00290943"/>
    <w:rsid w:val="0029162A"/>
    <w:rsid w:val="0029372B"/>
    <w:rsid w:val="002A2DDB"/>
    <w:rsid w:val="002A4C9A"/>
    <w:rsid w:val="002B5655"/>
    <w:rsid w:val="002C03AE"/>
    <w:rsid w:val="002C1C5D"/>
    <w:rsid w:val="002C2BC2"/>
    <w:rsid w:val="002C6212"/>
    <w:rsid w:val="002C6AC2"/>
    <w:rsid w:val="002D0CA9"/>
    <w:rsid w:val="002D4643"/>
    <w:rsid w:val="002E0F3F"/>
    <w:rsid w:val="002E107E"/>
    <w:rsid w:val="002E4DE5"/>
    <w:rsid w:val="002F175C"/>
    <w:rsid w:val="002F5EA4"/>
    <w:rsid w:val="00302E18"/>
    <w:rsid w:val="003158BB"/>
    <w:rsid w:val="0032120D"/>
    <w:rsid w:val="003229D8"/>
    <w:rsid w:val="00325ACC"/>
    <w:rsid w:val="003336F3"/>
    <w:rsid w:val="00336DB6"/>
    <w:rsid w:val="003376C8"/>
    <w:rsid w:val="00352709"/>
    <w:rsid w:val="00353B6A"/>
    <w:rsid w:val="003563FB"/>
    <w:rsid w:val="003619B5"/>
    <w:rsid w:val="00362309"/>
    <w:rsid w:val="00365763"/>
    <w:rsid w:val="00371178"/>
    <w:rsid w:val="003711BC"/>
    <w:rsid w:val="00371590"/>
    <w:rsid w:val="00377020"/>
    <w:rsid w:val="003776D0"/>
    <w:rsid w:val="00385C2D"/>
    <w:rsid w:val="00387101"/>
    <w:rsid w:val="00392E47"/>
    <w:rsid w:val="00394CC5"/>
    <w:rsid w:val="003A213A"/>
    <w:rsid w:val="003A2CB7"/>
    <w:rsid w:val="003A6810"/>
    <w:rsid w:val="003B173B"/>
    <w:rsid w:val="003B2A95"/>
    <w:rsid w:val="003B3F6F"/>
    <w:rsid w:val="003B4873"/>
    <w:rsid w:val="003C0075"/>
    <w:rsid w:val="003C2CC4"/>
    <w:rsid w:val="003C2D4E"/>
    <w:rsid w:val="003C34D6"/>
    <w:rsid w:val="003C6529"/>
    <w:rsid w:val="003C7018"/>
    <w:rsid w:val="003D1697"/>
    <w:rsid w:val="003D1847"/>
    <w:rsid w:val="003D4B23"/>
    <w:rsid w:val="003D5C99"/>
    <w:rsid w:val="003D6BDB"/>
    <w:rsid w:val="003D6CB1"/>
    <w:rsid w:val="003E130E"/>
    <w:rsid w:val="003E3D63"/>
    <w:rsid w:val="003E4A1C"/>
    <w:rsid w:val="003E7397"/>
    <w:rsid w:val="003E77BB"/>
    <w:rsid w:val="003F5025"/>
    <w:rsid w:val="003F596A"/>
    <w:rsid w:val="004021CB"/>
    <w:rsid w:val="004066A5"/>
    <w:rsid w:val="00410C89"/>
    <w:rsid w:val="004114BC"/>
    <w:rsid w:val="00421FE8"/>
    <w:rsid w:val="00422E03"/>
    <w:rsid w:val="0042319F"/>
    <w:rsid w:val="004236BE"/>
    <w:rsid w:val="004240EB"/>
    <w:rsid w:val="0042588A"/>
    <w:rsid w:val="00426B9B"/>
    <w:rsid w:val="0043251A"/>
    <w:rsid w:val="004325CB"/>
    <w:rsid w:val="0043615A"/>
    <w:rsid w:val="004369D3"/>
    <w:rsid w:val="00442A83"/>
    <w:rsid w:val="00443285"/>
    <w:rsid w:val="00444F09"/>
    <w:rsid w:val="0045495B"/>
    <w:rsid w:val="004561E5"/>
    <w:rsid w:val="004565C6"/>
    <w:rsid w:val="004570B1"/>
    <w:rsid w:val="00463723"/>
    <w:rsid w:val="004711F4"/>
    <w:rsid w:val="0047262C"/>
    <w:rsid w:val="004732BE"/>
    <w:rsid w:val="0047379F"/>
    <w:rsid w:val="004779B8"/>
    <w:rsid w:val="0048132D"/>
    <w:rsid w:val="00483811"/>
    <w:rsid w:val="0048397A"/>
    <w:rsid w:val="00485CBB"/>
    <w:rsid w:val="004866B7"/>
    <w:rsid w:val="00490D93"/>
    <w:rsid w:val="004A27BC"/>
    <w:rsid w:val="004A2BD3"/>
    <w:rsid w:val="004A30C9"/>
    <w:rsid w:val="004A5098"/>
    <w:rsid w:val="004A6F63"/>
    <w:rsid w:val="004B1837"/>
    <w:rsid w:val="004B1F35"/>
    <w:rsid w:val="004B2EAF"/>
    <w:rsid w:val="004B7F33"/>
    <w:rsid w:val="004C2461"/>
    <w:rsid w:val="004C2EC8"/>
    <w:rsid w:val="004C7462"/>
    <w:rsid w:val="004D0588"/>
    <w:rsid w:val="004D0E76"/>
    <w:rsid w:val="004D1404"/>
    <w:rsid w:val="004D33EE"/>
    <w:rsid w:val="004D6D47"/>
    <w:rsid w:val="004E6838"/>
    <w:rsid w:val="004E6FFC"/>
    <w:rsid w:val="004E77B2"/>
    <w:rsid w:val="004F66ED"/>
    <w:rsid w:val="004F6969"/>
    <w:rsid w:val="0050113C"/>
    <w:rsid w:val="005026DB"/>
    <w:rsid w:val="00503089"/>
    <w:rsid w:val="00504B2D"/>
    <w:rsid w:val="00504DBD"/>
    <w:rsid w:val="0050780D"/>
    <w:rsid w:val="005142F0"/>
    <w:rsid w:val="0052136D"/>
    <w:rsid w:val="00522680"/>
    <w:rsid w:val="00525CA7"/>
    <w:rsid w:val="00527225"/>
    <w:rsid w:val="005273D7"/>
    <w:rsid w:val="0052775E"/>
    <w:rsid w:val="00534A4D"/>
    <w:rsid w:val="005357F4"/>
    <w:rsid w:val="0053680B"/>
    <w:rsid w:val="0053784E"/>
    <w:rsid w:val="0054034C"/>
    <w:rsid w:val="005409D0"/>
    <w:rsid w:val="005420F2"/>
    <w:rsid w:val="00544504"/>
    <w:rsid w:val="00547B54"/>
    <w:rsid w:val="0055167B"/>
    <w:rsid w:val="00552CEB"/>
    <w:rsid w:val="0056027C"/>
    <w:rsid w:val="0056099E"/>
    <w:rsid w:val="00561B06"/>
    <w:rsid w:val="005628B6"/>
    <w:rsid w:val="0056374F"/>
    <w:rsid w:val="00564105"/>
    <w:rsid w:val="00575310"/>
    <w:rsid w:val="00575B3B"/>
    <w:rsid w:val="00575C6F"/>
    <w:rsid w:val="00576B01"/>
    <w:rsid w:val="0057735C"/>
    <w:rsid w:val="005778AE"/>
    <w:rsid w:val="005813C3"/>
    <w:rsid w:val="005816C6"/>
    <w:rsid w:val="00591D4E"/>
    <w:rsid w:val="005933F6"/>
    <w:rsid w:val="005941EC"/>
    <w:rsid w:val="005958A0"/>
    <w:rsid w:val="00596156"/>
    <w:rsid w:val="0059724D"/>
    <w:rsid w:val="005A1A08"/>
    <w:rsid w:val="005A2E0F"/>
    <w:rsid w:val="005A3960"/>
    <w:rsid w:val="005A619C"/>
    <w:rsid w:val="005A7D00"/>
    <w:rsid w:val="005A7D56"/>
    <w:rsid w:val="005B2B63"/>
    <w:rsid w:val="005B3DB3"/>
    <w:rsid w:val="005B4E13"/>
    <w:rsid w:val="005B7E57"/>
    <w:rsid w:val="005C342F"/>
    <w:rsid w:val="005C551E"/>
    <w:rsid w:val="005D0D8E"/>
    <w:rsid w:val="005D338A"/>
    <w:rsid w:val="005D36CF"/>
    <w:rsid w:val="005D4078"/>
    <w:rsid w:val="005D4D80"/>
    <w:rsid w:val="005D7CAC"/>
    <w:rsid w:val="005E526F"/>
    <w:rsid w:val="005E5BC9"/>
    <w:rsid w:val="005F497E"/>
    <w:rsid w:val="005F5489"/>
    <w:rsid w:val="005F7B75"/>
    <w:rsid w:val="006001EE"/>
    <w:rsid w:val="006005F7"/>
    <w:rsid w:val="006033AF"/>
    <w:rsid w:val="006039E1"/>
    <w:rsid w:val="00605042"/>
    <w:rsid w:val="0060603F"/>
    <w:rsid w:val="00607401"/>
    <w:rsid w:val="00607B17"/>
    <w:rsid w:val="00611FC4"/>
    <w:rsid w:val="006156A8"/>
    <w:rsid w:val="006157E0"/>
    <w:rsid w:val="006159FF"/>
    <w:rsid w:val="006163CB"/>
    <w:rsid w:val="00617446"/>
    <w:rsid w:val="006176FB"/>
    <w:rsid w:val="00617E96"/>
    <w:rsid w:val="00625218"/>
    <w:rsid w:val="0063012C"/>
    <w:rsid w:val="00636884"/>
    <w:rsid w:val="00636B88"/>
    <w:rsid w:val="00636F0C"/>
    <w:rsid w:val="006404E9"/>
    <w:rsid w:val="00640B26"/>
    <w:rsid w:val="00650AEA"/>
    <w:rsid w:val="0065178B"/>
    <w:rsid w:val="00652D0A"/>
    <w:rsid w:val="00654A94"/>
    <w:rsid w:val="00660126"/>
    <w:rsid w:val="00662BB6"/>
    <w:rsid w:val="00662CFB"/>
    <w:rsid w:val="006642B6"/>
    <w:rsid w:val="0066501A"/>
    <w:rsid w:val="0066792F"/>
    <w:rsid w:val="00672FDA"/>
    <w:rsid w:val="00673A86"/>
    <w:rsid w:val="00675849"/>
    <w:rsid w:val="00676606"/>
    <w:rsid w:val="006770F0"/>
    <w:rsid w:val="00684079"/>
    <w:rsid w:val="00684C21"/>
    <w:rsid w:val="006904BE"/>
    <w:rsid w:val="006924F6"/>
    <w:rsid w:val="00695084"/>
    <w:rsid w:val="006A1DA6"/>
    <w:rsid w:val="006A2530"/>
    <w:rsid w:val="006A32FE"/>
    <w:rsid w:val="006A411A"/>
    <w:rsid w:val="006A681C"/>
    <w:rsid w:val="006B12C6"/>
    <w:rsid w:val="006B7A89"/>
    <w:rsid w:val="006C1AF1"/>
    <w:rsid w:val="006C2420"/>
    <w:rsid w:val="006C3589"/>
    <w:rsid w:val="006C4AFF"/>
    <w:rsid w:val="006C74F5"/>
    <w:rsid w:val="006D08C7"/>
    <w:rsid w:val="006D289F"/>
    <w:rsid w:val="006D37AF"/>
    <w:rsid w:val="006D4A39"/>
    <w:rsid w:val="006D51D0"/>
    <w:rsid w:val="006D5FB9"/>
    <w:rsid w:val="006E0AEF"/>
    <w:rsid w:val="006E1D88"/>
    <w:rsid w:val="006E3623"/>
    <w:rsid w:val="006E564B"/>
    <w:rsid w:val="006E5927"/>
    <w:rsid w:val="006E5EDB"/>
    <w:rsid w:val="006E7191"/>
    <w:rsid w:val="00700E41"/>
    <w:rsid w:val="007011A3"/>
    <w:rsid w:val="00703577"/>
    <w:rsid w:val="00703768"/>
    <w:rsid w:val="00703A53"/>
    <w:rsid w:val="007047A9"/>
    <w:rsid w:val="00705894"/>
    <w:rsid w:val="007145FF"/>
    <w:rsid w:val="0071704F"/>
    <w:rsid w:val="00721D6D"/>
    <w:rsid w:val="00724C17"/>
    <w:rsid w:val="0072632A"/>
    <w:rsid w:val="007278F0"/>
    <w:rsid w:val="007327D5"/>
    <w:rsid w:val="00732A83"/>
    <w:rsid w:val="007333EB"/>
    <w:rsid w:val="0073593C"/>
    <w:rsid w:val="00735E74"/>
    <w:rsid w:val="007363A7"/>
    <w:rsid w:val="00737E7A"/>
    <w:rsid w:val="0074355E"/>
    <w:rsid w:val="007508B7"/>
    <w:rsid w:val="00752B30"/>
    <w:rsid w:val="007609DA"/>
    <w:rsid w:val="007629C8"/>
    <w:rsid w:val="00763EA8"/>
    <w:rsid w:val="0076621E"/>
    <w:rsid w:val="0076669C"/>
    <w:rsid w:val="0077047D"/>
    <w:rsid w:val="007708A5"/>
    <w:rsid w:val="00773A18"/>
    <w:rsid w:val="0078147C"/>
    <w:rsid w:val="00784044"/>
    <w:rsid w:val="007851CB"/>
    <w:rsid w:val="00787B89"/>
    <w:rsid w:val="007931F7"/>
    <w:rsid w:val="00796040"/>
    <w:rsid w:val="007971C8"/>
    <w:rsid w:val="007A0D0E"/>
    <w:rsid w:val="007A225A"/>
    <w:rsid w:val="007A2F1B"/>
    <w:rsid w:val="007A63B6"/>
    <w:rsid w:val="007B2176"/>
    <w:rsid w:val="007B249A"/>
    <w:rsid w:val="007B5332"/>
    <w:rsid w:val="007B6BA5"/>
    <w:rsid w:val="007C26D2"/>
    <w:rsid w:val="007C3390"/>
    <w:rsid w:val="007C38EF"/>
    <w:rsid w:val="007C4CB5"/>
    <w:rsid w:val="007C4F4B"/>
    <w:rsid w:val="007C554F"/>
    <w:rsid w:val="007D1858"/>
    <w:rsid w:val="007D3162"/>
    <w:rsid w:val="007D4DD5"/>
    <w:rsid w:val="007D784A"/>
    <w:rsid w:val="007E01E9"/>
    <w:rsid w:val="007E1827"/>
    <w:rsid w:val="007E63F3"/>
    <w:rsid w:val="007F1766"/>
    <w:rsid w:val="007F32E1"/>
    <w:rsid w:val="007F6611"/>
    <w:rsid w:val="00802DBF"/>
    <w:rsid w:val="00805B7D"/>
    <w:rsid w:val="0081086B"/>
    <w:rsid w:val="00811920"/>
    <w:rsid w:val="00812BD8"/>
    <w:rsid w:val="00815AD0"/>
    <w:rsid w:val="00816F53"/>
    <w:rsid w:val="00821907"/>
    <w:rsid w:val="00823F0E"/>
    <w:rsid w:val="008242D7"/>
    <w:rsid w:val="008254E9"/>
    <w:rsid w:val="008254F7"/>
    <w:rsid w:val="008257B1"/>
    <w:rsid w:val="00826FDE"/>
    <w:rsid w:val="0082782C"/>
    <w:rsid w:val="00832334"/>
    <w:rsid w:val="00843767"/>
    <w:rsid w:val="008600BB"/>
    <w:rsid w:val="00863F32"/>
    <w:rsid w:val="008679D9"/>
    <w:rsid w:val="008731E4"/>
    <w:rsid w:val="00875766"/>
    <w:rsid w:val="00885937"/>
    <w:rsid w:val="008878DE"/>
    <w:rsid w:val="0089025B"/>
    <w:rsid w:val="008921A9"/>
    <w:rsid w:val="00893000"/>
    <w:rsid w:val="0089303C"/>
    <w:rsid w:val="00894669"/>
    <w:rsid w:val="00895BAB"/>
    <w:rsid w:val="008979B1"/>
    <w:rsid w:val="008A50EE"/>
    <w:rsid w:val="008A6B25"/>
    <w:rsid w:val="008A6C4F"/>
    <w:rsid w:val="008B1334"/>
    <w:rsid w:val="008B2335"/>
    <w:rsid w:val="008B6BA3"/>
    <w:rsid w:val="008C04E2"/>
    <w:rsid w:val="008C271F"/>
    <w:rsid w:val="008C4B88"/>
    <w:rsid w:val="008D2094"/>
    <w:rsid w:val="008D2334"/>
    <w:rsid w:val="008D244D"/>
    <w:rsid w:val="008E0678"/>
    <w:rsid w:val="008E1C69"/>
    <w:rsid w:val="008E2D75"/>
    <w:rsid w:val="008E329B"/>
    <w:rsid w:val="008E5914"/>
    <w:rsid w:val="008E6D2E"/>
    <w:rsid w:val="008E7508"/>
    <w:rsid w:val="008E79BD"/>
    <w:rsid w:val="008E7E09"/>
    <w:rsid w:val="008F31D2"/>
    <w:rsid w:val="008F52F4"/>
    <w:rsid w:val="008F6553"/>
    <w:rsid w:val="0090002A"/>
    <w:rsid w:val="009049EC"/>
    <w:rsid w:val="00904B8F"/>
    <w:rsid w:val="00905C76"/>
    <w:rsid w:val="00913370"/>
    <w:rsid w:val="00914B7C"/>
    <w:rsid w:val="009166EB"/>
    <w:rsid w:val="00917FDE"/>
    <w:rsid w:val="00920CA3"/>
    <w:rsid w:val="009215C9"/>
    <w:rsid w:val="009223CA"/>
    <w:rsid w:val="00922C88"/>
    <w:rsid w:val="00922F9C"/>
    <w:rsid w:val="0092434D"/>
    <w:rsid w:val="00931EB3"/>
    <w:rsid w:val="00933D40"/>
    <w:rsid w:val="0093661A"/>
    <w:rsid w:val="00936E4A"/>
    <w:rsid w:val="009374B4"/>
    <w:rsid w:val="00940F93"/>
    <w:rsid w:val="00943187"/>
    <w:rsid w:val="00944682"/>
    <w:rsid w:val="00950197"/>
    <w:rsid w:val="00951173"/>
    <w:rsid w:val="00957638"/>
    <w:rsid w:val="00957EB6"/>
    <w:rsid w:val="00960DB6"/>
    <w:rsid w:val="00961785"/>
    <w:rsid w:val="00964FCA"/>
    <w:rsid w:val="00965DD5"/>
    <w:rsid w:val="00966E54"/>
    <w:rsid w:val="0096751C"/>
    <w:rsid w:val="00973BBC"/>
    <w:rsid w:val="00973C44"/>
    <w:rsid w:val="009760F3"/>
    <w:rsid w:val="0097696C"/>
    <w:rsid w:val="00976CFB"/>
    <w:rsid w:val="009812D6"/>
    <w:rsid w:val="00982036"/>
    <w:rsid w:val="0098501C"/>
    <w:rsid w:val="0099006D"/>
    <w:rsid w:val="009941AF"/>
    <w:rsid w:val="009956B6"/>
    <w:rsid w:val="0099747B"/>
    <w:rsid w:val="009A0830"/>
    <w:rsid w:val="009A0E8D"/>
    <w:rsid w:val="009A2427"/>
    <w:rsid w:val="009A5C6E"/>
    <w:rsid w:val="009A6244"/>
    <w:rsid w:val="009A6497"/>
    <w:rsid w:val="009A776B"/>
    <w:rsid w:val="009A7D9E"/>
    <w:rsid w:val="009B26E7"/>
    <w:rsid w:val="009B536C"/>
    <w:rsid w:val="009B5CF9"/>
    <w:rsid w:val="009C0B8E"/>
    <w:rsid w:val="009C2D0E"/>
    <w:rsid w:val="009C306B"/>
    <w:rsid w:val="009D2F1B"/>
    <w:rsid w:val="009D6B04"/>
    <w:rsid w:val="009E076B"/>
    <w:rsid w:val="009E5596"/>
    <w:rsid w:val="009E7286"/>
    <w:rsid w:val="009F11B1"/>
    <w:rsid w:val="009F2712"/>
    <w:rsid w:val="009F5A70"/>
    <w:rsid w:val="009F72C1"/>
    <w:rsid w:val="00A00697"/>
    <w:rsid w:val="00A00A3F"/>
    <w:rsid w:val="00A01489"/>
    <w:rsid w:val="00A03381"/>
    <w:rsid w:val="00A04646"/>
    <w:rsid w:val="00A046A3"/>
    <w:rsid w:val="00A144E6"/>
    <w:rsid w:val="00A216FB"/>
    <w:rsid w:val="00A278F2"/>
    <w:rsid w:val="00A3026E"/>
    <w:rsid w:val="00A328B1"/>
    <w:rsid w:val="00A3297F"/>
    <w:rsid w:val="00A32DEF"/>
    <w:rsid w:val="00A338F1"/>
    <w:rsid w:val="00A35BE0"/>
    <w:rsid w:val="00A4373C"/>
    <w:rsid w:val="00A45485"/>
    <w:rsid w:val="00A54C24"/>
    <w:rsid w:val="00A568EC"/>
    <w:rsid w:val="00A60A8B"/>
    <w:rsid w:val="00A6129C"/>
    <w:rsid w:val="00A6249C"/>
    <w:rsid w:val="00A62DE2"/>
    <w:rsid w:val="00A65994"/>
    <w:rsid w:val="00A72178"/>
    <w:rsid w:val="00A72F22"/>
    <w:rsid w:val="00A7360F"/>
    <w:rsid w:val="00A748A6"/>
    <w:rsid w:val="00A7585D"/>
    <w:rsid w:val="00A769F4"/>
    <w:rsid w:val="00A76D88"/>
    <w:rsid w:val="00A776B4"/>
    <w:rsid w:val="00A77EA9"/>
    <w:rsid w:val="00A820AF"/>
    <w:rsid w:val="00A86C48"/>
    <w:rsid w:val="00A9066D"/>
    <w:rsid w:val="00A925FC"/>
    <w:rsid w:val="00A94361"/>
    <w:rsid w:val="00A95C69"/>
    <w:rsid w:val="00A96E56"/>
    <w:rsid w:val="00AA0CD7"/>
    <w:rsid w:val="00AA21FC"/>
    <w:rsid w:val="00AA293C"/>
    <w:rsid w:val="00AA5E3A"/>
    <w:rsid w:val="00AA626D"/>
    <w:rsid w:val="00AA6B02"/>
    <w:rsid w:val="00AB0A88"/>
    <w:rsid w:val="00AB3532"/>
    <w:rsid w:val="00AB5C99"/>
    <w:rsid w:val="00AC3F1A"/>
    <w:rsid w:val="00AC4D43"/>
    <w:rsid w:val="00AD08A9"/>
    <w:rsid w:val="00AE08F1"/>
    <w:rsid w:val="00AE18E6"/>
    <w:rsid w:val="00AE2E12"/>
    <w:rsid w:val="00AE40BD"/>
    <w:rsid w:val="00AE5824"/>
    <w:rsid w:val="00AF0EA9"/>
    <w:rsid w:val="00AF434F"/>
    <w:rsid w:val="00AF4570"/>
    <w:rsid w:val="00B002D3"/>
    <w:rsid w:val="00B0107C"/>
    <w:rsid w:val="00B02C99"/>
    <w:rsid w:val="00B15F1E"/>
    <w:rsid w:val="00B170C8"/>
    <w:rsid w:val="00B212E8"/>
    <w:rsid w:val="00B30179"/>
    <w:rsid w:val="00B33B8F"/>
    <w:rsid w:val="00B3446B"/>
    <w:rsid w:val="00B35CD5"/>
    <w:rsid w:val="00B40092"/>
    <w:rsid w:val="00B41740"/>
    <w:rsid w:val="00B421C1"/>
    <w:rsid w:val="00B42EC0"/>
    <w:rsid w:val="00B53483"/>
    <w:rsid w:val="00B55C71"/>
    <w:rsid w:val="00B567A2"/>
    <w:rsid w:val="00B56E4A"/>
    <w:rsid w:val="00B56E9C"/>
    <w:rsid w:val="00B64B1F"/>
    <w:rsid w:val="00B654F3"/>
    <w:rsid w:val="00B6553F"/>
    <w:rsid w:val="00B7025D"/>
    <w:rsid w:val="00B72BE1"/>
    <w:rsid w:val="00B73B96"/>
    <w:rsid w:val="00B74C28"/>
    <w:rsid w:val="00B777AE"/>
    <w:rsid w:val="00B77D05"/>
    <w:rsid w:val="00B81206"/>
    <w:rsid w:val="00B81E12"/>
    <w:rsid w:val="00B876F7"/>
    <w:rsid w:val="00B903D2"/>
    <w:rsid w:val="00B946EE"/>
    <w:rsid w:val="00B96BDE"/>
    <w:rsid w:val="00B97C94"/>
    <w:rsid w:val="00B97CA2"/>
    <w:rsid w:val="00BB3F2F"/>
    <w:rsid w:val="00BC3FA0"/>
    <w:rsid w:val="00BC5010"/>
    <w:rsid w:val="00BC74E9"/>
    <w:rsid w:val="00BC764F"/>
    <w:rsid w:val="00BD144B"/>
    <w:rsid w:val="00BD32CE"/>
    <w:rsid w:val="00BD43A5"/>
    <w:rsid w:val="00BD5B58"/>
    <w:rsid w:val="00BE3161"/>
    <w:rsid w:val="00BE7AAC"/>
    <w:rsid w:val="00BF0CF2"/>
    <w:rsid w:val="00BF2EF3"/>
    <w:rsid w:val="00BF48D9"/>
    <w:rsid w:val="00BF5486"/>
    <w:rsid w:val="00BF67DE"/>
    <w:rsid w:val="00BF68A8"/>
    <w:rsid w:val="00BF71AB"/>
    <w:rsid w:val="00BF76F9"/>
    <w:rsid w:val="00C06FD0"/>
    <w:rsid w:val="00C11661"/>
    <w:rsid w:val="00C11A03"/>
    <w:rsid w:val="00C14EC4"/>
    <w:rsid w:val="00C17B9D"/>
    <w:rsid w:val="00C22881"/>
    <w:rsid w:val="00C22C0C"/>
    <w:rsid w:val="00C25CAF"/>
    <w:rsid w:val="00C27179"/>
    <w:rsid w:val="00C2766D"/>
    <w:rsid w:val="00C3345D"/>
    <w:rsid w:val="00C34337"/>
    <w:rsid w:val="00C36DF5"/>
    <w:rsid w:val="00C37FD2"/>
    <w:rsid w:val="00C43DD2"/>
    <w:rsid w:val="00C4527F"/>
    <w:rsid w:val="00C463DD"/>
    <w:rsid w:val="00C465BB"/>
    <w:rsid w:val="00C4724C"/>
    <w:rsid w:val="00C51AD6"/>
    <w:rsid w:val="00C55F19"/>
    <w:rsid w:val="00C566DB"/>
    <w:rsid w:val="00C60884"/>
    <w:rsid w:val="00C60D3B"/>
    <w:rsid w:val="00C629A0"/>
    <w:rsid w:val="00C62EBB"/>
    <w:rsid w:val="00C64629"/>
    <w:rsid w:val="00C64CBC"/>
    <w:rsid w:val="00C64D1E"/>
    <w:rsid w:val="00C711ED"/>
    <w:rsid w:val="00C745C3"/>
    <w:rsid w:val="00C75A4D"/>
    <w:rsid w:val="00C75D0C"/>
    <w:rsid w:val="00C839FC"/>
    <w:rsid w:val="00C91922"/>
    <w:rsid w:val="00C93306"/>
    <w:rsid w:val="00C933EF"/>
    <w:rsid w:val="00C96DF2"/>
    <w:rsid w:val="00C97150"/>
    <w:rsid w:val="00CA2428"/>
    <w:rsid w:val="00CA31C6"/>
    <w:rsid w:val="00CA6BED"/>
    <w:rsid w:val="00CA6D93"/>
    <w:rsid w:val="00CA7D2A"/>
    <w:rsid w:val="00CB0F53"/>
    <w:rsid w:val="00CB3E03"/>
    <w:rsid w:val="00CB75BF"/>
    <w:rsid w:val="00CC2893"/>
    <w:rsid w:val="00CC5BC3"/>
    <w:rsid w:val="00CD1B04"/>
    <w:rsid w:val="00CD4AA6"/>
    <w:rsid w:val="00CD559D"/>
    <w:rsid w:val="00CD6BFA"/>
    <w:rsid w:val="00CE37CD"/>
    <w:rsid w:val="00CE4A8F"/>
    <w:rsid w:val="00CF299F"/>
    <w:rsid w:val="00CF609A"/>
    <w:rsid w:val="00D009D8"/>
    <w:rsid w:val="00D00EBF"/>
    <w:rsid w:val="00D02987"/>
    <w:rsid w:val="00D036D7"/>
    <w:rsid w:val="00D04C98"/>
    <w:rsid w:val="00D11F71"/>
    <w:rsid w:val="00D12F38"/>
    <w:rsid w:val="00D138C2"/>
    <w:rsid w:val="00D13D3B"/>
    <w:rsid w:val="00D1443C"/>
    <w:rsid w:val="00D2002F"/>
    <w:rsid w:val="00D2031B"/>
    <w:rsid w:val="00D2089B"/>
    <w:rsid w:val="00D20DA0"/>
    <w:rsid w:val="00D21BAC"/>
    <w:rsid w:val="00D2293D"/>
    <w:rsid w:val="00D248B6"/>
    <w:rsid w:val="00D25FE2"/>
    <w:rsid w:val="00D26585"/>
    <w:rsid w:val="00D27602"/>
    <w:rsid w:val="00D3022D"/>
    <w:rsid w:val="00D329C1"/>
    <w:rsid w:val="00D35589"/>
    <w:rsid w:val="00D35A18"/>
    <w:rsid w:val="00D37B31"/>
    <w:rsid w:val="00D37C72"/>
    <w:rsid w:val="00D41201"/>
    <w:rsid w:val="00D4244C"/>
    <w:rsid w:val="00D43252"/>
    <w:rsid w:val="00D46113"/>
    <w:rsid w:val="00D47CFD"/>
    <w:rsid w:val="00D47EEA"/>
    <w:rsid w:val="00D500EA"/>
    <w:rsid w:val="00D52237"/>
    <w:rsid w:val="00D56736"/>
    <w:rsid w:val="00D611FF"/>
    <w:rsid w:val="00D61562"/>
    <w:rsid w:val="00D652B8"/>
    <w:rsid w:val="00D712B8"/>
    <w:rsid w:val="00D722CE"/>
    <w:rsid w:val="00D730F5"/>
    <w:rsid w:val="00D773DF"/>
    <w:rsid w:val="00D858D0"/>
    <w:rsid w:val="00D87F0A"/>
    <w:rsid w:val="00D95303"/>
    <w:rsid w:val="00D978C6"/>
    <w:rsid w:val="00D97A31"/>
    <w:rsid w:val="00DA1781"/>
    <w:rsid w:val="00DA3C1C"/>
    <w:rsid w:val="00DB12D7"/>
    <w:rsid w:val="00DB2048"/>
    <w:rsid w:val="00DB539C"/>
    <w:rsid w:val="00DB5C6F"/>
    <w:rsid w:val="00DB6987"/>
    <w:rsid w:val="00DC1C1D"/>
    <w:rsid w:val="00DC2A81"/>
    <w:rsid w:val="00DC393A"/>
    <w:rsid w:val="00DC4605"/>
    <w:rsid w:val="00DC7544"/>
    <w:rsid w:val="00DD1088"/>
    <w:rsid w:val="00DD24FE"/>
    <w:rsid w:val="00DE083C"/>
    <w:rsid w:val="00DE6B06"/>
    <w:rsid w:val="00DF1418"/>
    <w:rsid w:val="00DF4D79"/>
    <w:rsid w:val="00DF5FF4"/>
    <w:rsid w:val="00DF6C26"/>
    <w:rsid w:val="00DF6E71"/>
    <w:rsid w:val="00DF72F1"/>
    <w:rsid w:val="00E046DF"/>
    <w:rsid w:val="00E04ABD"/>
    <w:rsid w:val="00E2083E"/>
    <w:rsid w:val="00E20B22"/>
    <w:rsid w:val="00E214F0"/>
    <w:rsid w:val="00E21A71"/>
    <w:rsid w:val="00E22415"/>
    <w:rsid w:val="00E2635E"/>
    <w:rsid w:val="00E27346"/>
    <w:rsid w:val="00E27B0C"/>
    <w:rsid w:val="00E3251A"/>
    <w:rsid w:val="00E33162"/>
    <w:rsid w:val="00E33D8B"/>
    <w:rsid w:val="00E35514"/>
    <w:rsid w:val="00E366E6"/>
    <w:rsid w:val="00E37533"/>
    <w:rsid w:val="00E406E9"/>
    <w:rsid w:val="00E421B1"/>
    <w:rsid w:val="00E43BF2"/>
    <w:rsid w:val="00E47D93"/>
    <w:rsid w:val="00E5372B"/>
    <w:rsid w:val="00E56657"/>
    <w:rsid w:val="00E64514"/>
    <w:rsid w:val="00E64CFF"/>
    <w:rsid w:val="00E6717E"/>
    <w:rsid w:val="00E70BBC"/>
    <w:rsid w:val="00E71BC8"/>
    <w:rsid w:val="00E7260F"/>
    <w:rsid w:val="00E73F5D"/>
    <w:rsid w:val="00E74C2C"/>
    <w:rsid w:val="00E758CA"/>
    <w:rsid w:val="00E77CBF"/>
    <w:rsid w:val="00E77E4E"/>
    <w:rsid w:val="00E82DA4"/>
    <w:rsid w:val="00E87BF2"/>
    <w:rsid w:val="00E91B79"/>
    <w:rsid w:val="00E93FF0"/>
    <w:rsid w:val="00E94ED4"/>
    <w:rsid w:val="00E95435"/>
    <w:rsid w:val="00E95ED7"/>
    <w:rsid w:val="00E96630"/>
    <w:rsid w:val="00E97BAF"/>
    <w:rsid w:val="00EA039C"/>
    <w:rsid w:val="00EA2925"/>
    <w:rsid w:val="00EA3FC3"/>
    <w:rsid w:val="00EA60EC"/>
    <w:rsid w:val="00EB09F5"/>
    <w:rsid w:val="00EB3B4B"/>
    <w:rsid w:val="00EC0EC1"/>
    <w:rsid w:val="00EC211A"/>
    <w:rsid w:val="00EC3E73"/>
    <w:rsid w:val="00EC60D8"/>
    <w:rsid w:val="00ED099A"/>
    <w:rsid w:val="00ED7297"/>
    <w:rsid w:val="00ED7A2A"/>
    <w:rsid w:val="00EE105C"/>
    <w:rsid w:val="00EE2DB8"/>
    <w:rsid w:val="00EE5A98"/>
    <w:rsid w:val="00EE5EA4"/>
    <w:rsid w:val="00EF1D7F"/>
    <w:rsid w:val="00EF4C20"/>
    <w:rsid w:val="00F000A4"/>
    <w:rsid w:val="00F015F8"/>
    <w:rsid w:val="00F04347"/>
    <w:rsid w:val="00F12849"/>
    <w:rsid w:val="00F12D83"/>
    <w:rsid w:val="00F15436"/>
    <w:rsid w:val="00F23D5B"/>
    <w:rsid w:val="00F25064"/>
    <w:rsid w:val="00F259E5"/>
    <w:rsid w:val="00F27BA8"/>
    <w:rsid w:val="00F31E5F"/>
    <w:rsid w:val="00F333A2"/>
    <w:rsid w:val="00F36F52"/>
    <w:rsid w:val="00F37C38"/>
    <w:rsid w:val="00F42032"/>
    <w:rsid w:val="00F424E8"/>
    <w:rsid w:val="00F444EF"/>
    <w:rsid w:val="00F44998"/>
    <w:rsid w:val="00F52C77"/>
    <w:rsid w:val="00F55358"/>
    <w:rsid w:val="00F55403"/>
    <w:rsid w:val="00F6100A"/>
    <w:rsid w:val="00F664FB"/>
    <w:rsid w:val="00F66C5E"/>
    <w:rsid w:val="00F702EB"/>
    <w:rsid w:val="00F71495"/>
    <w:rsid w:val="00F71B03"/>
    <w:rsid w:val="00F71BEF"/>
    <w:rsid w:val="00F7208B"/>
    <w:rsid w:val="00F741F5"/>
    <w:rsid w:val="00F75087"/>
    <w:rsid w:val="00F8066F"/>
    <w:rsid w:val="00F87036"/>
    <w:rsid w:val="00F93781"/>
    <w:rsid w:val="00F95073"/>
    <w:rsid w:val="00F97AB4"/>
    <w:rsid w:val="00FA40E4"/>
    <w:rsid w:val="00FA7D6D"/>
    <w:rsid w:val="00FB014F"/>
    <w:rsid w:val="00FB2F06"/>
    <w:rsid w:val="00FB4929"/>
    <w:rsid w:val="00FB613B"/>
    <w:rsid w:val="00FC42E5"/>
    <w:rsid w:val="00FC67FE"/>
    <w:rsid w:val="00FC68B7"/>
    <w:rsid w:val="00FD234A"/>
    <w:rsid w:val="00FD39C5"/>
    <w:rsid w:val="00FD3F98"/>
    <w:rsid w:val="00FD45B6"/>
    <w:rsid w:val="00FD67D2"/>
    <w:rsid w:val="00FE106A"/>
    <w:rsid w:val="00FE48C8"/>
    <w:rsid w:val="00FF145D"/>
    <w:rsid w:val="00FF436A"/>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5F35"/>
  <w15:docId w15:val="{DC84DC67-A5DC-42B5-B6B5-4C3E8011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8"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iPriority="99" w:unhideWhenUsed="1"/>
    <w:lsdException w:name="List 4" w:uiPriority="99"/>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uiPriority w:val="1"/>
    <w:qFormat/>
    <w:rsid w:val="000646F4"/>
    <w:pPr>
      <w:spacing w:after="0" w:line="240" w:lineRule="auto"/>
      <w:ind w:right="0"/>
      <w:jc w:val="left"/>
      <w:outlineLvl w:val="0"/>
    </w:pPr>
  </w:style>
  <w:style w:type="paragraph" w:styleId="Heading2">
    <w:name w:val="heading 2"/>
    <w:basedOn w:val="Normal"/>
    <w:next w:val="Normal"/>
    <w:link w:val="Heading2Char"/>
    <w:uiPriority w:val="1"/>
    <w:qFormat/>
    <w:rsid w:val="000646F4"/>
    <w:pPr>
      <w:spacing w:line="240" w:lineRule="auto"/>
      <w:outlineLvl w:val="1"/>
    </w:pPr>
  </w:style>
  <w:style w:type="paragraph" w:styleId="Heading3">
    <w:name w:val="heading 3"/>
    <w:basedOn w:val="Normal"/>
    <w:next w:val="Normal"/>
    <w:link w:val="Heading3Char"/>
    <w:uiPriority w:val="1"/>
    <w:qFormat/>
    <w:rsid w:val="000646F4"/>
    <w:pPr>
      <w:spacing w:line="240" w:lineRule="auto"/>
      <w:outlineLvl w:val="2"/>
    </w:pPr>
  </w:style>
  <w:style w:type="paragraph" w:styleId="Heading4">
    <w:name w:val="heading 4"/>
    <w:basedOn w:val="Normal"/>
    <w:next w:val="Normal"/>
    <w:link w:val="Heading4Char"/>
    <w:uiPriority w:val="1"/>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paragraph" w:styleId="BalloonText">
    <w:name w:val="Balloon Text"/>
    <w:basedOn w:val="Normal"/>
    <w:link w:val="BalloonTextChar"/>
    <w:rsid w:val="00816F53"/>
    <w:pPr>
      <w:spacing w:line="240" w:lineRule="auto"/>
    </w:pPr>
    <w:rPr>
      <w:rFonts w:ascii="Tahoma" w:hAnsi="Tahoma"/>
      <w:sz w:val="16"/>
      <w:szCs w:val="16"/>
    </w:rPr>
  </w:style>
  <w:style w:type="paragraph" w:customStyle="1" w:styleId="SingleTxtG">
    <w:name w:val="_ Single Txt_G"/>
    <w:basedOn w:val="Normal"/>
    <w:link w:val="SingleTxtGChar"/>
    <w:qFormat/>
    <w:rsid w:val="000646F4"/>
    <w:pPr>
      <w:spacing w:after="120"/>
      <w:ind w:left="1134" w:right="1134"/>
      <w:jc w:val="both"/>
    </w:pPr>
    <w:rPr>
      <w:lang w:val="x-none"/>
    </w:r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qFormat/>
    <w:rsid w:val="000646F4"/>
    <w:rPr>
      <w:rFonts w:ascii="Times New Roman" w:hAnsi="Times New Roman"/>
      <w:sz w:val="18"/>
      <w:vertAlign w:val="superscript"/>
    </w:rPr>
  </w:style>
  <w:style w:type="paragraph" w:styleId="FootnoteText">
    <w:name w:val="footnote text"/>
    <w:aliases w:val="5_G,5_GR"/>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qFormat/>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link w:val="DateChar"/>
    <w:uiPriority w:val="99"/>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0646F4"/>
    <w:rPr>
      <w:color w:val="auto"/>
      <w:u w:val="none"/>
    </w:rPr>
  </w:style>
  <w:style w:type="paragraph" w:styleId="List">
    <w:name w:val="List"/>
    <w:basedOn w:val="Normal"/>
    <w:uiPriority w:val="99"/>
    <w:qFormat/>
    <w:rsid w:val="008A6C4F"/>
    <w:pPr>
      <w:ind w:left="283" w:hanging="283"/>
    </w:pPr>
  </w:style>
  <w:style w:type="paragraph" w:styleId="List2">
    <w:name w:val="List 2"/>
    <w:basedOn w:val="Normal"/>
    <w:uiPriority w:val="99"/>
    <w:rsid w:val="008A6C4F"/>
    <w:pPr>
      <w:ind w:left="566" w:hanging="283"/>
    </w:pPr>
  </w:style>
  <w:style w:type="paragraph" w:styleId="List3">
    <w:name w:val="List 3"/>
    <w:basedOn w:val="Normal"/>
    <w:uiPriority w:val="99"/>
    <w:rsid w:val="008A6C4F"/>
    <w:pPr>
      <w:ind w:left="849" w:hanging="283"/>
    </w:pPr>
  </w:style>
  <w:style w:type="paragraph" w:styleId="List4">
    <w:name w:val="List 4"/>
    <w:basedOn w:val="Normal"/>
    <w:uiPriority w:val="99"/>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uiPriority w:val="99"/>
    <w:qFormat/>
    <w:rsid w:val="008A6C4F"/>
    <w:pPr>
      <w:numPr>
        <w:numId w:val="6"/>
      </w:numPr>
    </w:pPr>
  </w:style>
  <w:style w:type="paragraph" w:styleId="ListBullet2">
    <w:name w:val="List Bullet 2"/>
    <w:basedOn w:val="Normal"/>
    <w:uiPriority w:val="99"/>
    <w:rsid w:val="008A6C4F"/>
    <w:pPr>
      <w:numPr>
        <w:numId w:val="7"/>
      </w:numPr>
    </w:pPr>
  </w:style>
  <w:style w:type="paragraph" w:styleId="ListBullet3">
    <w:name w:val="List Bullet 3"/>
    <w:basedOn w:val="Normal"/>
    <w:uiPriority w:val="99"/>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uiPriority w:val="99"/>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uiPriority w:val="98"/>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BalloonTextChar">
    <w:name w:val="Balloon Text Char"/>
    <w:link w:val="BalloonText"/>
    <w:rsid w:val="00816F53"/>
    <w:rPr>
      <w:rFonts w:ascii="Tahoma" w:hAnsi="Tahoma" w:cs="Tahoma"/>
      <w:sz w:val="16"/>
      <w:szCs w:val="16"/>
      <w:lang w:val="en-GB" w:eastAsia="en-US"/>
    </w:rPr>
  </w:style>
  <w:style w:type="character" w:customStyle="1" w:styleId="SingleTxtGChar">
    <w:name w:val="_ Single Txt_G Char"/>
    <w:link w:val="SingleTxtG"/>
    <w:qFormat/>
    <w:rsid w:val="00271AEC"/>
    <w:rPr>
      <w:lang w:eastAsia="en-US"/>
    </w:rPr>
  </w:style>
  <w:style w:type="character" w:customStyle="1" w:styleId="HChGChar">
    <w:name w:val="_ H _Ch_G Char"/>
    <w:link w:val="HChG"/>
    <w:qFormat/>
    <w:rsid w:val="00617E96"/>
    <w:rPr>
      <w:b/>
      <w:sz w:val="28"/>
      <w:lang w:eastAsia="en-US"/>
    </w:rPr>
  </w:style>
  <w:style w:type="character" w:customStyle="1" w:styleId="SingleTxtGCar">
    <w:name w:val="_ Single Txt_G Car"/>
    <w:rsid w:val="00914B7C"/>
    <w:rPr>
      <w:lang w:val="en-GB" w:eastAsia="en-US"/>
    </w:rPr>
  </w:style>
  <w:style w:type="paragraph" w:customStyle="1" w:styleId="Default">
    <w:name w:val="Default"/>
    <w:rsid w:val="003C7018"/>
    <w:pPr>
      <w:autoSpaceDE w:val="0"/>
      <w:autoSpaceDN w:val="0"/>
      <w:adjustRightInd w:val="0"/>
    </w:pPr>
    <w:rPr>
      <w:color w:val="000000"/>
      <w:sz w:val="24"/>
      <w:szCs w:val="24"/>
      <w:lang w:val="fr-FR" w:eastAsia="fr-FR"/>
    </w:rPr>
  </w:style>
  <w:style w:type="character" w:customStyle="1" w:styleId="UnresolvedMention1">
    <w:name w:val="Unresolved Mention1"/>
    <w:basedOn w:val="DefaultParagraphFont"/>
    <w:uiPriority w:val="99"/>
    <w:semiHidden/>
    <w:unhideWhenUsed/>
    <w:rsid w:val="0013299E"/>
    <w:rPr>
      <w:color w:val="808080"/>
      <w:shd w:val="clear" w:color="auto" w:fill="E6E6E6"/>
    </w:rPr>
  </w:style>
  <w:style w:type="character" w:customStyle="1" w:styleId="FootnoteTextChar">
    <w:name w:val="Footnote Text Char"/>
    <w:aliases w:val="5_G Char,5_GR Char"/>
    <w:basedOn w:val="DefaultParagraphFont"/>
    <w:link w:val="FootnoteText"/>
    <w:locked/>
    <w:rsid w:val="000C497A"/>
    <w:rPr>
      <w:sz w:val="18"/>
      <w:lang w:eastAsia="en-US"/>
    </w:rPr>
  </w:style>
  <w:style w:type="character" w:customStyle="1" w:styleId="Heading1Char">
    <w:name w:val="Heading 1 Char"/>
    <w:aliases w:val="Table_G Char"/>
    <w:basedOn w:val="DefaultParagraphFont"/>
    <w:link w:val="Heading1"/>
    <w:uiPriority w:val="1"/>
    <w:rsid w:val="001B128F"/>
    <w:rPr>
      <w:lang w:val="x-none" w:eastAsia="en-US"/>
    </w:rPr>
  </w:style>
  <w:style w:type="character" w:customStyle="1" w:styleId="Heading2Char">
    <w:name w:val="Heading 2 Char"/>
    <w:basedOn w:val="DefaultParagraphFont"/>
    <w:link w:val="Heading2"/>
    <w:uiPriority w:val="1"/>
    <w:rsid w:val="001B128F"/>
    <w:rPr>
      <w:lang w:eastAsia="en-US"/>
    </w:rPr>
  </w:style>
  <w:style w:type="character" w:customStyle="1" w:styleId="Heading3Char">
    <w:name w:val="Heading 3 Char"/>
    <w:basedOn w:val="DefaultParagraphFont"/>
    <w:link w:val="Heading3"/>
    <w:uiPriority w:val="1"/>
    <w:rsid w:val="001B128F"/>
    <w:rPr>
      <w:lang w:eastAsia="en-US"/>
    </w:rPr>
  </w:style>
  <w:style w:type="numbering" w:customStyle="1" w:styleId="Listformatpunktlista">
    <w:name w:val="Listformat punktlista"/>
    <w:uiPriority w:val="99"/>
    <w:rsid w:val="001B128F"/>
    <w:pPr>
      <w:numPr>
        <w:numId w:val="16"/>
      </w:numPr>
    </w:pPr>
  </w:style>
  <w:style w:type="paragraph" w:customStyle="1" w:styleId="Normalefterlista">
    <w:name w:val="Normal efter lista"/>
    <w:next w:val="Normal"/>
    <w:semiHidden/>
    <w:rsid w:val="001B128F"/>
    <w:pPr>
      <w:spacing w:before="120" w:after="160" w:line="259" w:lineRule="auto"/>
      <w:ind w:left="360" w:hanging="360"/>
    </w:pPr>
    <w:rPr>
      <w:rFonts w:asciiTheme="minorHAnsi" w:eastAsiaTheme="minorHAnsi" w:hAnsiTheme="minorHAnsi" w:cstheme="minorBidi"/>
      <w:sz w:val="23"/>
      <w:szCs w:val="23"/>
      <w:lang w:val="sv-SE" w:eastAsia="en-US"/>
    </w:rPr>
  </w:style>
  <w:style w:type="numbering" w:customStyle="1" w:styleId="Listformatnumreradlista">
    <w:name w:val="Listformat numreradlista"/>
    <w:uiPriority w:val="99"/>
    <w:rsid w:val="001B128F"/>
    <w:pPr>
      <w:numPr>
        <w:numId w:val="17"/>
      </w:numPr>
    </w:pPr>
  </w:style>
  <w:style w:type="character" w:customStyle="1" w:styleId="Heading4Char">
    <w:name w:val="Heading 4 Char"/>
    <w:basedOn w:val="DefaultParagraphFont"/>
    <w:link w:val="Heading4"/>
    <w:uiPriority w:val="1"/>
    <w:rsid w:val="001B128F"/>
    <w:rPr>
      <w:lang w:eastAsia="en-US"/>
    </w:rPr>
  </w:style>
  <w:style w:type="paragraph" w:customStyle="1" w:styleId="Dokumentinfo">
    <w:name w:val="Dokument info"/>
    <w:next w:val="Normal"/>
    <w:uiPriority w:val="99"/>
    <w:semiHidden/>
    <w:rsid w:val="001B128F"/>
    <w:pPr>
      <w:spacing w:line="259" w:lineRule="auto"/>
    </w:pPr>
    <w:rPr>
      <w:rFonts w:asciiTheme="majorHAnsi" w:eastAsiaTheme="minorHAnsi" w:hAnsiTheme="majorHAnsi" w:cstheme="minorBidi"/>
      <w:sz w:val="18"/>
      <w:szCs w:val="23"/>
      <w:lang w:val="sv-SE" w:eastAsia="en-US"/>
    </w:rPr>
  </w:style>
  <w:style w:type="character" w:customStyle="1" w:styleId="DateChar">
    <w:name w:val="Date Char"/>
    <w:basedOn w:val="DefaultParagraphFont"/>
    <w:link w:val="Date"/>
    <w:uiPriority w:val="99"/>
    <w:semiHidden/>
    <w:rsid w:val="001B128F"/>
    <w:rPr>
      <w:lang w:eastAsia="en-US"/>
    </w:rPr>
  </w:style>
  <w:style w:type="paragraph" w:customStyle="1" w:styleId="Erref">
    <w:name w:val="Er ref"/>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paragraph" w:customStyle="1" w:styleId="Adressat">
    <w:name w:val="Adressat"/>
    <w:basedOn w:val="Date"/>
    <w:next w:val="Normal"/>
    <w:semiHidden/>
    <w:rsid w:val="001B128F"/>
    <w:pPr>
      <w:suppressAutoHyphens w:val="0"/>
      <w:spacing w:after="160" w:line="259" w:lineRule="auto"/>
      <w:ind w:left="360" w:hanging="360"/>
    </w:pPr>
    <w:rPr>
      <w:rFonts w:asciiTheme="majorHAnsi" w:eastAsiaTheme="minorHAnsi" w:hAnsiTheme="majorHAnsi" w:cstheme="minorBidi"/>
      <w:sz w:val="18"/>
      <w:szCs w:val="23"/>
      <w:lang w:val="sv-SE"/>
    </w:rPr>
  </w:style>
  <w:style w:type="character" w:customStyle="1" w:styleId="HeaderChar">
    <w:name w:val="Header Char"/>
    <w:aliases w:val="6_G Char"/>
    <w:basedOn w:val="DefaultParagraphFont"/>
    <w:link w:val="Header"/>
    <w:uiPriority w:val="99"/>
    <w:rsid w:val="001B128F"/>
    <w:rPr>
      <w:b/>
      <w:sz w:val="18"/>
      <w:lang w:eastAsia="en-US"/>
    </w:rPr>
  </w:style>
  <w:style w:type="character" w:customStyle="1" w:styleId="FooterChar">
    <w:name w:val="Footer Char"/>
    <w:aliases w:val="3_G Char"/>
    <w:basedOn w:val="DefaultParagraphFont"/>
    <w:link w:val="Footer"/>
    <w:uiPriority w:val="99"/>
    <w:rsid w:val="001B128F"/>
    <w:rPr>
      <w:sz w:val="16"/>
      <w:lang w:eastAsia="en-US"/>
    </w:rPr>
  </w:style>
  <w:style w:type="paragraph" w:customStyle="1" w:styleId="Sidfotsrubrik">
    <w:name w:val="Sidfotsrubrik"/>
    <w:basedOn w:val="Footer"/>
    <w:next w:val="Footer"/>
    <w:semiHidden/>
    <w:rsid w:val="001B128F"/>
    <w:pPr>
      <w:tabs>
        <w:tab w:val="center" w:pos="4536"/>
        <w:tab w:val="right" w:pos="9072"/>
      </w:tabs>
      <w:suppressAutoHyphens w:val="0"/>
      <w:spacing w:after="160"/>
    </w:pPr>
    <w:rPr>
      <w:rFonts w:asciiTheme="majorHAnsi" w:eastAsiaTheme="minorHAnsi" w:hAnsiTheme="majorHAnsi" w:cstheme="minorBidi"/>
      <w:b/>
      <w:szCs w:val="23"/>
      <w:lang w:val="sv-SE"/>
    </w:rPr>
  </w:style>
  <w:style w:type="paragraph" w:customStyle="1" w:styleId="Sidnr">
    <w:name w:val="Sidnr"/>
    <w:basedOn w:val="Footer"/>
    <w:semiHidden/>
    <w:rsid w:val="001B128F"/>
    <w:pPr>
      <w:tabs>
        <w:tab w:val="center" w:pos="4536"/>
        <w:tab w:val="right" w:pos="9072"/>
      </w:tabs>
      <w:suppressAutoHyphens w:val="0"/>
      <w:spacing w:after="160"/>
      <w:ind w:left="360" w:hanging="360"/>
    </w:pPr>
    <w:rPr>
      <w:rFonts w:asciiTheme="majorHAnsi" w:eastAsiaTheme="minorHAnsi" w:hAnsiTheme="majorHAnsi" w:cstheme="minorBidi"/>
      <w:sz w:val="18"/>
      <w:szCs w:val="23"/>
      <w:lang w:val="sv-SE"/>
    </w:rPr>
  </w:style>
  <w:style w:type="paragraph" w:customStyle="1" w:styleId="Normalefterpunktlista">
    <w:name w:val="Normal efter punktlista"/>
    <w:basedOn w:val="Normalefterlista"/>
    <w:next w:val="Normal"/>
    <w:semiHidden/>
    <w:rsid w:val="001B128F"/>
  </w:style>
  <w:style w:type="paragraph" w:customStyle="1" w:styleId="Dokumentrubrik">
    <w:name w:val="Dokument rubrik"/>
    <w:basedOn w:val="Normal"/>
    <w:uiPriority w:val="99"/>
    <w:semiHidden/>
    <w:rsid w:val="001B128F"/>
    <w:pPr>
      <w:suppressAutoHyphens w:val="0"/>
      <w:spacing w:line="259" w:lineRule="auto"/>
    </w:pPr>
    <w:rPr>
      <w:rFonts w:asciiTheme="majorHAnsi" w:eastAsiaTheme="minorHAnsi" w:hAnsiTheme="majorHAnsi" w:cstheme="minorBidi"/>
      <w:b/>
      <w:sz w:val="18"/>
      <w:szCs w:val="23"/>
      <w:lang w:val="sv-SE"/>
    </w:rPr>
  </w:style>
  <w:style w:type="paragraph" w:customStyle="1" w:styleId="Hlsningsfras">
    <w:name w:val="Hälsningsfras"/>
    <w:basedOn w:val="Normal"/>
    <w:next w:val="Normal"/>
    <w:uiPriority w:val="99"/>
    <w:semiHidden/>
    <w:qFormat/>
    <w:rsid w:val="001B128F"/>
    <w:pPr>
      <w:suppressAutoHyphens w:val="0"/>
      <w:spacing w:after="160" w:line="259" w:lineRule="auto"/>
    </w:pPr>
    <w:rPr>
      <w:rFonts w:asciiTheme="minorHAnsi" w:eastAsiaTheme="minorHAnsi" w:hAnsiTheme="minorHAnsi" w:cstheme="minorBidi"/>
      <w:b/>
      <w:sz w:val="23"/>
      <w:szCs w:val="23"/>
      <w:lang w:val="sv-SE"/>
    </w:rPr>
  </w:style>
  <w:style w:type="paragraph" w:customStyle="1" w:styleId="msonormal0">
    <w:name w:val="msonormal"/>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font0">
    <w:name w:val="font0"/>
    <w:basedOn w:val="Normal"/>
    <w:rsid w:val="001B128F"/>
    <w:pPr>
      <w:suppressAutoHyphens w:val="0"/>
      <w:spacing w:before="100" w:beforeAutospacing="1" w:after="100" w:afterAutospacing="1" w:line="240" w:lineRule="auto"/>
    </w:pPr>
    <w:rPr>
      <w:lang w:val="sv-SE" w:eastAsia="sv-SE"/>
    </w:rPr>
  </w:style>
  <w:style w:type="paragraph" w:customStyle="1" w:styleId="font5">
    <w:name w:val="font5"/>
    <w:basedOn w:val="Normal"/>
    <w:rsid w:val="001B128F"/>
    <w:pPr>
      <w:suppressAutoHyphens w:val="0"/>
      <w:spacing w:before="100" w:beforeAutospacing="1" w:after="100" w:afterAutospacing="1" w:line="240" w:lineRule="auto"/>
    </w:pPr>
    <w:rPr>
      <w:color w:val="FF0000"/>
      <w:lang w:val="sv-SE" w:eastAsia="sv-SE"/>
    </w:rPr>
  </w:style>
  <w:style w:type="paragraph" w:customStyle="1" w:styleId="xl73">
    <w:name w:val="xl73"/>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4">
    <w:name w:val="xl74"/>
    <w:basedOn w:val="Normal"/>
    <w:rsid w:val="001B128F"/>
    <w:pPr>
      <w:suppressAutoHyphens w:val="0"/>
      <w:spacing w:before="100" w:beforeAutospacing="1" w:after="100" w:afterAutospacing="1" w:line="240" w:lineRule="auto"/>
    </w:pPr>
    <w:rPr>
      <w:sz w:val="24"/>
      <w:szCs w:val="24"/>
      <w:lang w:val="sv-SE" w:eastAsia="sv-SE"/>
    </w:rPr>
  </w:style>
  <w:style w:type="paragraph" w:customStyle="1" w:styleId="xl75">
    <w:name w:val="xl7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6">
    <w:name w:val="xl7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77">
    <w:name w:val="xl7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78">
    <w:name w:val="xl78"/>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79">
    <w:name w:val="xl79"/>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0">
    <w:name w:val="xl80"/>
    <w:basedOn w:val="Normal"/>
    <w:rsid w:val="001B128F"/>
    <w:pPr>
      <w:pBdr>
        <w:righ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1">
    <w:name w:val="xl81"/>
    <w:basedOn w:val="Normal"/>
    <w:rsid w:val="001B128F"/>
    <w:pPr>
      <w:pBdr>
        <w:left w:val="single" w:sz="8"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82">
    <w:name w:val="xl82"/>
    <w:basedOn w:val="Normal"/>
    <w:rsid w:val="001B128F"/>
    <w:pPr>
      <w:suppressAutoHyphens w:val="0"/>
      <w:spacing w:before="100" w:beforeAutospacing="1" w:after="100" w:afterAutospacing="1" w:line="240" w:lineRule="auto"/>
      <w:textAlignment w:val="top"/>
    </w:pPr>
    <w:rPr>
      <w:sz w:val="18"/>
      <w:szCs w:val="18"/>
      <w:lang w:val="sv-SE" w:eastAsia="sv-SE"/>
    </w:rPr>
  </w:style>
  <w:style w:type="paragraph" w:customStyle="1" w:styleId="xl83">
    <w:name w:val="xl83"/>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4">
    <w:name w:val="xl8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5">
    <w:name w:val="xl8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6">
    <w:name w:val="xl8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87">
    <w:name w:val="xl8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8">
    <w:name w:val="xl8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89">
    <w:name w:val="xl8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0">
    <w:name w:val="xl90"/>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1">
    <w:name w:val="xl91"/>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2">
    <w:name w:val="xl92"/>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3">
    <w:name w:val="xl9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4">
    <w:name w:val="xl9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5">
    <w:name w:val="xl95"/>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6">
    <w:name w:val="xl96"/>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97">
    <w:name w:val="xl97"/>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8">
    <w:name w:val="xl98"/>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99">
    <w:name w:val="xl99"/>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0">
    <w:name w:val="xl10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1">
    <w:name w:val="xl101"/>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2">
    <w:name w:val="xl10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3">
    <w:name w:val="xl103"/>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4">
    <w:name w:val="xl104"/>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5">
    <w:name w:val="xl10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6">
    <w:name w:val="xl106"/>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07">
    <w:name w:val="xl10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08">
    <w:name w:val="xl10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09">
    <w:name w:val="xl10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0">
    <w:name w:val="xl110"/>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1">
    <w:name w:val="xl11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2">
    <w:name w:val="xl11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3">
    <w:name w:val="xl11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4">
    <w:name w:val="xl114"/>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5">
    <w:name w:val="xl11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6">
    <w:name w:val="xl116"/>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17">
    <w:name w:val="xl117"/>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8">
    <w:name w:val="xl118"/>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19">
    <w:name w:val="xl119"/>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0">
    <w:name w:val="xl120"/>
    <w:basedOn w:val="Normal"/>
    <w:rsid w:val="001B128F"/>
    <w:pPr>
      <w:pBdr>
        <w:top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1">
    <w:name w:val="xl121"/>
    <w:basedOn w:val="Normal"/>
    <w:rsid w:val="001B128F"/>
    <w:pPr>
      <w:pBdr>
        <w:top w:val="single" w:sz="4" w:space="0" w:color="auto"/>
        <w:lef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2">
    <w:name w:val="xl12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3">
    <w:name w:val="xl123"/>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24">
    <w:name w:val="xl124"/>
    <w:basedOn w:val="Normal"/>
    <w:rsid w:val="001B128F"/>
    <w:pPr>
      <w:suppressAutoHyphens w:val="0"/>
      <w:spacing w:before="100" w:beforeAutospacing="1" w:after="100" w:afterAutospacing="1" w:line="240" w:lineRule="auto"/>
      <w:textAlignment w:val="top"/>
    </w:pPr>
    <w:rPr>
      <w:sz w:val="24"/>
      <w:szCs w:val="24"/>
      <w:lang w:val="sv-SE" w:eastAsia="sv-SE"/>
    </w:rPr>
  </w:style>
  <w:style w:type="paragraph" w:customStyle="1" w:styleId="xl125">
    <w:name w:val="xl125"/>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26">
    <w:name w:val="xl126"/>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27">
    <w:name w:val="xl127"/>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18"/>
      <w:szCs w:val="18"/>
      <w:lang w:val="sv-SE" w:eastAsia="sv-SE"/>
    </w:rPr>
  </w:style>
  <w:style w:type="paragraph" w:customStyle="1" w:styleId="xl128">
    <w:name w:val="xl12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29">
    <w:name w:val="xl129"/>
    <w:basedOn w:val="Normal"/>
    <w:rsid w:val="001B128F"/>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0">
    <w:name w:val="xl130"/>
    <w:basedOn w:val="Normal"/>
    <w:rsid w:val="001B128F"/>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1">
    <w:name w:val="xl131"/>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color w:val="00B050"/>
      <w:sz w:val="24"/>
      <w:szCs w:val="24"/>
      <w:lang w:val="sv-SE" w:eastAsia="sv-SE"/>
    </w:rPr>
  </w:style>
  <w:style w:type="paragraph" w:customStyle="1" w:styleId="xl132">
    <w:name w:val="xl13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3">
    <w:name w:val="xl133"/>
    <w:basedOn w:val="Normal"/>
    <w:rsid w:val="001B128F"/>
    <w:pPr>
      <w:pBdr>
        <w:top w:val="single" w:sz="4" w:space="0" w:color="auto"/>
        <w:left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4">
    <w:name w:val="xl134"/>
    <w:basedOn w:val="Normal"/>
    <w:rsid w:val="001B128F"/>
    <w:pPr>
      <w:pBdr>
        <w:top w:val="single" w:sz="4" w:space="0" w:color="auto"/>
        <w:bottom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5">
    <w:name w:val="xl135"/>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6">
    <w:name w:val="xl136"/>
    <w:basedOn w:val="Normal"/>
    <w:rsid w:val="001B128F"/>
    <w:pPr>
      <w:pBdr>
        <w:top w:val="single" w:sz="4" w:space="0" w:color="auto"/>
        <w:bottom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37">
    <w:name w:val="xl137"/>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38">
    <w:name w:val="xl138"/>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sv-SE" w:eastAsia="sv-SE"/>
    </w:rPr>
  </w:style>
  <w:style w:type="paragraph" w:customStyle="1" w:styleId="xl139">
    <w:name w:val="xl139"/>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color w:val="00B050"/>
      <w:sz w:val="24"/>
      <w:szCs w:val="24"/>
      <w:lang w:val="sv-SE" w:eastAsia="sv-SE"/>
    </w:rPr>
  </w:style>
  <w:style w:type="paragraph" w:customStyle="1" w:styleId="xl140">
    <w:name w:val="xl140"/>
    <w:basedOn w:val="Normal"/>
    <w:rsid w:val="001B128F"/>
    <w:pP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1">
    <w:name w:val="xl141"/>
    <w:basedOn w:val="Normal"/>
    <w:rsid w:val="001B128F"/>
    <w:pPr>
      <w:pBdr>
        <w:top w:val="single" w:sz="4" w:space="0" w:color="auto"/>
      </w:pBdr>
      <w:suppressAutoHyphens w:val="0"/>
      <w:spacing w:before="100" w:beforeAutospacing="1" w:after="100" w:afterAutospacing="1" w:line="240" w:lineRule="auto"/>
      <w:textAlignment w:val="top"/>
    </w:pPr>
    <w:rPr>
      <w:sz w:val="24"/>
      <w:szCs w:val="24"/>
      <w:lang w:val="sv-SE" w:eastAsia="sv-SE"/>
    </w:rPr>
  </w:style>
  <w:style w:type="paragraph" w:customStyle="1" w:styleId="xl142">
    <w:name w:val="xl142"/>
    <w:basedOn w:val="Normal"/>
    <w:rsid w:val="001B12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sz w:val="18"/>
      <w:szCs w:val="18"/>
      <w:lang w:val="sv-SE" w:eastAsia="sv-SE"/>
    </w:rPr>
  </w:style>
  <w:style w:type="paragraph" w:customStyle="1" w:styleId="xl143">
    <w:name w:val="xl143"/>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4">
    <w:name w:val="xl144"/>
    <w:basedOn w:val="Normal"/>
    <w:rsid w:val="001B128F"/>
    <w:pPr>
      <w:pBdr>
        <w:top w:val="single" w:sz="4" w:space="0" w:color="auto"/>
        <w:left w:val="single" w:sz="4" w:space="0" w:color="auto"/>
        <w:bottom w:val="single" w:sz="4" w:space="0" w:color="auto"/>
        <w:right w:val="single" w:sz="4" w:space="0" w:color="auto"/>
      </w:pBdr>
      <w:shd w:val="clear" w:color="000000" w:fill="F2DCDB"/>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5">
    <w:name w:val="xl145"/>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6">
    <w:name w:val="xl146"/>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7">
    <w:name w:val="xl147"/>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textAlignment w:val="top"/>
    </w:pPr>
    <w:rPr>
      <w:sz w:val="24"/>
      <w:szCs w:val="24"/>
      <w:lang w:val="sv-SE" w:eastAsia="sv-SE"/>
    </w:rPr>
  </w:style>
  <w:style w:type="paragraph" w:customStyle="1" w:styleId="xl148">
    <w:name w:val="xl148"/>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49">
    <w:name w:val="xl149"/>
    <w:basedOn w:val="Normal"/>
    <w:rsid w:val="001B12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customStyle="1" w:styleId="xl150">
    <w:name w:val="xl150"/>
    <w:basedOn w:val="Normal"/>
    <w:rsid w:val="001B128F"/>
    <w:pPr>
      <w:pBdr>
        <w:top w:val="single" w:sz="4" w:space="0" w:color="auto"/>
        <w:left w:val="single" w:sz="4" w:space="0" w:color="auto"/>
        <w:right w:val="single" w:sz="4" w:space="0" w:color="auto"/>
      </w:pBdr>
      <w:shd w:val="clear" w:color="000000" w:fill="FFFF00"/>
      <w:suppressAutoHyphens w:val="0"/>
      <w:spacing w:before="100" w:beforeAutospacing="1" w:after="100" w:afterAutospacing="1" w:line="240" w:lineRule="auto"/>
      <w:jc w:val="center"/>
      <w:textAlignment w:val="top"/>
    </w:pPr>
    <w:rPr>
      <w:sz w:val="24"/>
      <w:szCs w:val="24"/>
      <w:lang w:val="sv-SE" w:eastAsia="sv-SE"/>
    </w:rPr>
  </w:style>
  <w:style w:type="paragraph" w:styleId="ListParagraph">
    <w:name w:val="List Paragraph"/>
    <w:basedOn w:val="Normal"/>
    <w:uiPriority w:val="34"/>
    <w:qFormat/>
    <w:rsid w:val="001B128F"/>
    <w:pPr>
      <w:suppressAutoHyphens w:val="0"/>
      <w:spacing w:after="160" w:line="259" w:lineRule="auto"/>
      <w:ind w:left="720"/>
      <w:contextualSpacing/>
    </w:pPr>
    <w:rPr>
      <w:rFonts w:asciiTheme="minorHAnsi" w:eastAsiaTheme="minorHAnsi" w:hAnsiTheme="minorHAnsi" w:cstheme="minorBidi"/>
      <w:sz w:val="23"/>
      <w:szCs w:val="23"/>
      <w:lang w:val="sv-SE"/>
    </w:rPr>
  </w:style>
  <w:style w:type="paragraph" w:customStyle="1" w:styleId="xl71">
    <w:name w:val="xl71"/>
    <w:basedOn w:val="Normal"/>
    <w:rsid w:val="001B128F"/>
    <w:pPr>
      <w:pBdr>
        <w:left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xl72">
    <w:name w:val="xl72"/>
    <w:basedOn w:val="Normal"/>
    <w:rsid w:val="001B128F"/>
    <w:pPr>
      <w:pBdr>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b/>
      <w:bCs/>
      <w:sz w:val="24"/>
      <w:szCs w:val="24"/>
      <w:lang w:val="sv-SE" w:eastAsia="sv-SE"/>
    </w:rPr>
  </w:style>
  <w:style w:type="paragraph" w:customStyle="1" w:styleId="Tabelltekst">
    <w:name w:val="Tabelltekst"/>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luft-venstre">
    <w:name w:val="Tabelltekst-luft-venstre"/>
    <w:uiPriority w:val="99"/>
    <w:rsid w:val="001B128F"/>
    <w:pPr>
      <w:widowControl w:val="0"/>
      <w:autoSpaceDE w:val="0"/>
      <w:autoSpaceDN w:val="0"/>
      <w:adjustRightInd w:val="0"/>
      <w:spacing w:line="176" w:lineRule="exact"/>
    </w:pPr>
    <w:rPr>
      <w:rFonts w:eastAsiaTheme="minorEastAsia"/>
      <w:sz w:val="16"/>
      <w:szCs w:val="16"/>
      <w:lang w:val="nb-NO" w:eastAsia="nb-NO"/>
    </w:rPr>
  </w:style>
  <w:style w:type="paragraph" w:customStyle="1" w:styleId="Tabelltekst-senter">
    <w:name w:val="Tabelltekst-senter"/>
    <w:uiPriority w:val="99"/>
    <w:rsid w:val="001B128F"/>
    <w:pPr>
      <w:widowControl w:val="0"/>
      <w:autoSpaceDE w:val="0"/>
      <w:autoSpaceDN w:val="0"/>
      <w:adjustRightInd w:val="0"/>
      <w:spacing w:line="176" w:lineRule="exact"/>
      <w:jc w:val="center"/>
    </w:pPr>
    <w:rPr>
      <w:rFonts w:eastAsiaTheme="minorEastAsia"/>
      <w:sz w:val="16"/>
      <w:szCs w:val="16"/>
      <w:lang w:val="nb-NO" w:eastAsia="nb-NO"/>
    </w:rPr>
  </w:style>
  <w:style w:type="paragraph" w:customStyle="1" w:styleId="Overskrift2">
    <w:name w:val="Overskrift 2+"/>
    <w:uiPriority w:val="99"/>
    <w:rsid w:val="001B128F"/>
    <w:pPr>
      <w:widowControl w:val="0"/>
      <w:autoSpaceDE w:val="0"/>
      <w:autoSpaceDN w:val="0"/>
      <w:adjustRightInd w:val="0"/>
      <w:spacing w:line="20" w:lineRule="exact"/>
      <w:jc w:val="both"/>
    </w:pPr>
    <w:rPr>
      <w:rFonts w:eastAsiaTheme="minorEastAsia"/>
      <w:sz w:val="24"/>
      <w:szCs w:val="24"/>
      <w:lang w:val="nb-NO" w:eastAsia="nb-NO"/>
    </w:rPr>
  </w:style>
  <w:style w:type="character" w:customStyle="1" w:styleId="H1GChar">
    <w:name w:val="_ H_1_G Char"/>
    <w:link w:val="H1G"/>
    <w:rsid w:val="00F424E8"/>
    <w:rPr>
      <w:b/>
      <w:sz w:val="24"/>
      <w:lang w:eastAsia="en-US"/>
    </w:rPr>
  </w:style>
  <w:style w:type="paragraph" w:styleId="CommentSubject">
    <w:name w:val="annotation subject"/>
    <w:basedOn w:val="CommentText"/>
    <w:next w:val="CommentText"/>
    <w:link w:val="CommentSubjectChar"/>
    <w:semiHidden/>
    <w:unhideWhenUsed/>
    <w:rsid w:val="00071E36"/>
    <w:pPr>
      <w:spacing w:line="240" w:lineRule="auto"/>
    </w:pPr>
    <w:rPr>
      <w:b/>
      <w:bCs/>
    </w:rPr>
  </w:style>
  <w:style w:type="character" w:customStyle="1" w:styleId="CommentTextChar">
    <w:name w:val="Comment Text Char"/>
    <w:basedOn w:val="DefaultParagraphFont"/>
    <w:link w:val="CommentText"/>
    <w:semiHidden/>
    <w:rsid w:val="00071E36"/>
    <w:rPr>
      <w:lang w:eastAsia="en-US"/>
    </w:rPr>
  </w:style>
  <w:style w:type="character" w:customStyle="1" w:styleId="CommentSubjectChar">
    <w:name w:val="Comment Subject Char"/>
    <w:basedOn w:val="CommentTextChar"/>
    <w:link w:val="CommentSubject"/>
    <w:semiHidden/>
    <w:rsid w:val="00071E36"/>
    <w:rPr>
      <w:b/>
      <w:bCs/>
      <w:lang w:eastAsia="en-US"/>
    </w:rPr>
  </w:style>
  <w:style w:type="paragraph" w:styleId="Revision">
    <w:name w:val="Revision"/>
    <w:hidden/>
    <w:uiPriority w:val="99"/>
    <w:semiHidden/>
    <w:rsid w:val="00071E36"/>
    <w:rPr>
      <w:lang w:eastAsia="en-US"/>
    </w:rPr>
  </w:style>
  <w:style w:type="character" w:customStyle="1" w:styleId="H23GChar">
    <w:name w:val="_ H_2/3_G Char"/>
    <w:link w:val="H23G"/>
    <w:locked/>
    <w:rsid w:val="00A6249C"/>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39">
      <w:bodyDiv w:val="1"/>
      <w:marLeft w:val="0"/>
      <w:marRight w:val="0"/>
      <w:marTop w:val="0"/>
      <w:marBottom w:val="0"/>
      <w:divBdr>
        <w:top w:val="none" w:sz="0" w:space="0" w:color="auto"/>
        <w:left w:val="none" w:sz="0" w:space="0" w:color="auto"/>
        <w:bottom w:val="none" w:sz="0" w:space="0" w:color="auto"/>
        <w:right w:val="none" w:sz="0" w:space="0" w:color="auto"/>
      </w:divBdr>
    </w:div>
    <w:div w:id="632291406">
      <w:bodyDiv w:val="1"/>
      <w:marLeft w:val="0"/>
      <w:marRight w:val="0"/>
      <w:marTop w:val="0"/>
      <w:marBottom w:val="0"/>
      <w:divBdr>
        <w:top w:val="none" w:sz="0" w:space="0" w:color="auto"/>
        <w:left w:val="none" w:sz="0" w:space="0" w:color="auto"/>
        <w:bottom w:val="none" w:sz="0" w:space="0" w:color="auto"/>
        <w:right w:val="none" w:sz="0" w:space="0" w:color="auto"/>
      </w:divBdr>
    </w:div>
    <w:div w:id="774060253">
      <w:bodyDiv w:val="1"/>
      <w:marLeft w:val="0"/>
      <w:marRight w:val="0"/>
      <w:marTop w:val="0"/>
      <w:marBottom w:val="0"/>
      <w:divBdr>
        <w:top w:val="none" w:sz="0" w:space="0" w:color="auto"/>
        <w:left w:val="none" w:sz="0" w:space="0" w:color="auto"/>
        <w:bottom w:val="none" w:sz="0" w:space="0" w:color="auto"/>
        <w:right w:val="none" w:sz="0" w:space="0" w:color="auto"/>
      </w:divBdr>
    </w:div>
    <w:div w:id="838621446">
      <w:bodyDiv w:val="1"/>
      <w:marLeft w:val="0"/>
      <w:marRight w:val="0"/>
      <w:marTop w:val="0"/>
      <w:marBottom w:val="0"/>
      <w:divBdr>
        <w:top w:val="none" w:sz="0" w:space="0" w:color="auto"/>
        <w:left w:val="none" w:sz="0" w:space="0" w:color="auto"/>
        <w:bottom w:val="none" w:sz="0" w:space="0" w:color="auto"/>
        <w:right w:val="none" w:sz="0" w:space="0" w:color="auto"/>
      </w:divBdr>
    </w:div>
    <w:div w:id="1045256233">
      <w:bodyDiv w:val="1"/>
      <w:marLeft w:val="0"/>
      <w:marRight w:val="0"/>
      <w:marTop w:val="0"/>
      <w:marBottom w:val="0"/>
      <w:divBdr>
        <w:top w:val="none" w:sz="0" w:space="0" w:color="auto"/>
        <w:left w:val="none" w:sz="0" w:space="0" w:color="auto"/>
        <w:bottom w:val="none" w:sz="0" w:space="0" w:color="auto"/>
        <w:right w:val="none" w:sz="0" w:space="0" w:color="auto"/>
      </w:divBdr>
    </w:div>
    <w:div w:id="1383939025">
      <w:bodyDiv w:val="1"/>
      <w:marLeft w:val="0"/>
      <w:marRight w:val="0"/>
      <w:marTop w:val="0"/>
      <w:marBottom w:val="0"/>
      <w:divBdr>
        <w:top w:val="none" w:sz="0" w:space="0" w:color="auto"/>
        <w:left w:val="none" w:sz="0" w:space="0" w:color="auto"/>
        <w:bottom w:val="none" w:sz="0" w:space="0" w:color="auto"/>
        <w:right w:val="none" w:sz="0" w:space="0" w:color="auto"/>
      </w:divBdr>
      <w:divsChild>
        <w:div w:id="372655404">
          <w:marLeft w:val="0"/>
          <w:marRight w:val="0"/>
          <w:marTop w:val="0"/>
          <w:marBottom w:val="0"/>
          <w:divBdr>
            <w:top w:val="none" w:sz="0" w:space="0" w:color="auto"/>
            <w:left w:val="none" w:sz="0" w:space="0" w:color="auto"/>
            <w:bottom w:val="none" w:sz="0" w:space="0" w:color="auto"/>
            <w:right w:val="none" w:sz="0" w:space="0" w:color="auto"/>
          </w:divBdr>
          <w:divsChild>
            <w:div w:id="985427743">
              <w:marLeft w:val="0"/>
              <w:marRight w:val="0"/>
              <w:marTop w:val="0"/>
              <w:marBottom w:val="0"/>
              <w:divBdr>
                <w:top w:val="none" w:sz="0" w:space="0" w:color="auto"/>
                <w:left w:val="none" w:sz="0" w:space="0" w:color="auto"/>
                <w:bottom w:val="none" w:sz="0" w:space="0" w:color="auto"/>
                <w:right w:val="none" w:sz="0" w:space="0" w:color="auto"/>
              </w:divBdr>
              <w:divsChild>
                <w:div w:id="1162815919">
                  <w:marLeft w:val="75"/>
                  <w:marRight w:val="75"/>
                  <w:marTop w:val="0"/>
                  <w:marBottom w:val="0"/>
                  <w:divBdr>
                    <w:top w:val="none" w:sz="0" w:space="0" w:color="auto"/>
                    <w:left w:val="none" w:sz="0" w:space="0" w:color="auto"/>
                    <w:bottom w:val="none" w:sz="0" w:space="0" w:color="auto"/>
                    <w:right w:val="none" w:sz="0" w:space="0" w:color="auto"/>
                  </w:divBdr>
                  <w:divsChild>
                    <w:div w:id="1052970841">
                      <w:marLeft w:val="0"/>
                      <w:marRight w:val="0"/>
                      <w:marTop w:val="0"/>
                      <w:marBottom w:val="0"/>
                      <w:divBdr>
                        <w:top w:val="none" w:sz="0" w:space="0" w:color="auto"/>
                        <w:left w:val="none" w:sz="0" w:space="0" w:color="auto"/>
                        <w:bottom w:val="none" w:sz="0" w:space="0" w:color="auto"/>
                        <w:right w:val="none" w:sz="0" w:space="0" w:color="auto"/>
                      </w:divBdr>
                      <w:divsChild>
                        <w:div w:id="1972664603">
                          <w:marLeft w:val="0"/>
                          <w:marRight w:val="0"/>
                          <w:marTop w:val="0"/>
                          <w:marBottom w:val="120"/>
                          <w:divBdr>
                            <w:top w:val="single" w:sz="6" w:space="0" w:color="D2E2FF"/>
                            <w:left w:val="single" w:sz="6" w:space="0" w:color="D2E2FF"/>
                            <w:bottom w:val="single" w:sz="6" w:space="0" w:color="D2E2FF"/>
                            <w:right w:val="single" w:sz="6" w:space="0" w:color="D2E2FF"/>
                          </w:divBdr>
                          <w:divsChild>
                            <w:div w:id="1204757473">
                              <w:marLeft w:val="0"/>
                              <w:marRight w:val="0"/>
                              <w:marTop w:val="0"/>
                              <w:marBottom w:val="0"/>
                              <w:divBdr>
                                <w:top w:val="none" w:sz="0" w:space="0" w:color="auto"/>
                                <w:left w:val="none" w:sz="0" w:space="0" w:color="auto"/>
                                <w:bottom w:val="none" w:sz="0" w:space="0" w:color="auto"/>
                                <w:right w:val="none" w:sz="0" w:space="0" w:color="auto"/>
                              </w:divBdr>
                              <w:divsChild>
                                <w:div w:id="7772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4490">
      <w:bodyDiv w:val="1"/>
      <w:marLeft w:val="0"/>
      <w:marRight w:val="0"/>
      <w:marTop w:val="0"/>
      <w:marBottom w:val="0"/>
      <w:divBdr>
        <w:top w:val="none" w:sz="0" w:space="0" w:color="auto"/>
        <w:left w:val="none" w:sz="0" w:space="0" w:color="auto"/>
        <w:bottom w:val="none" w:sz="0" w:space="0" w:color="auto"/>
        <w:right w:val="none" w:sz="0" w:space="0" w:color="auto"/>
      </w:divBdr>
    </w:div>
    <w:div w:id="20762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EEE54-DE57-4FB6-9211-87FB5D290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E671A-6ED4-4D84-9487-762821ED517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66222CE6-6CE8-4C1B-89AE-234517E33AF6}">
  <ds:schemaRefs>
    <ds:schemaRef ds:uri="http://schemas.openxmlformats.org/officeDocument/2006/bibliography"/>
  </ds:schemaRefs>
</ds:datastoreItem>
</file>

<file path=customXml/itemProps4.xml><?xml version="1.0" encoding="utf-8"?>
<ds:datastoreItem xmlns:ds="http://schemas.openxmlformats.org/officeDocument/2006/customXml" ds:itemID="{D420D49A-DC60-4169-AEB8-2A533F082E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1652</Words>
  <Characters>9090</Characters>
  <Application>Microsoft Office Word</Application>
  <DocSecurity>0</DocSecurity>
  <Lines>75</Lines>
  <Paragraphs>21</Paragraphs>
  <ScaleCrop>false</ScaleCrop>
  <HeadingPairs>
    <vt:vector size="6" baseType="variant">
      <vt:variant>
        <vt:lpstr>Title</vt:lpstr>
      </vt:variant>
      <vt:variant>
        <vt:i4>1</vt:i4>
      </vt:variant>
      <vt:variant>
        <vt:lpstr>Rubrik</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10721</CharactersWithSpaces>
  <SharedDoc>false</SharedDoc>
  <HLinks>
    <vt:vector size="6" baseType="variant">
      <vt:variant>
        <vt:i4>2359356</vt:i4>
      </vt:variant>
      <vt:variant>
        <vt:i4>0</vt:i4>
      </vt:variant>
      <vt:variant>
        <vt:i4>0</vt:i4>
      </vt:variant>
      <vt:variant>
        <vt:i4>5</vt:i4>
      </vt:variant>
      <vt:variant>
        <vt:lpwstr>https://unece.org/transport/events/itc-inland-transport-committee-83rd-session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ADR 2025 amendments</cp:keywords>
  <cp:lastModifiedBy>Sabrina Mansion</cp:lastModifiedBy>
  <cp:revision>117</cp:revision>
  <cp:lastPrinted>2018-05-09T09:23:00Z</cp:lastPrinted>
  <dcterms:created xsi:type="dcterms:W3CDTF">2024-03-28T13:22:00Z</dcterms:created>
  <dcterms:modified xsi:type="dcterms:W3CDTF">2024-03-29T10:54:00Z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12718000</vt:r8>
  </property>
  <property fmtid="{D5CDD505-2E9C-101B-9397-08002B2CF9AE}" pid="4" name="MediaServiceImageTags">
    <vt:lpwstr/>
  </property>
  <property fmtid="{D5CDD505-2E9C-101B-9397-08002B2CF9AE}" pid="5" name="gba66df640194346a5267c50f24d4797">
    <vt:lpwstr/>
  </property>
  <property fmtid="{D5CDD505-2E9C-101B-9397-08002B2CF9AE}" pid="6" name="Office_x0020_of_x0020_Origin">
    <vt:lpwstr/>
  </property>
  <property fmtid="{D5CDD505-2E9C-101B-9397-08002B2CF9AE}" pid="7" name="Office of Origin">
    <vt:lpwstr/>
  </property>
</Properties>
</file>