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A3E1E8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0CBA15" w14:textId="77777777" w:rsidR="00132EA9" w:rsidRPr="00DB58B5" w:rsidRDefault="00132EA9" w:rsidP="002757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4B704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1F138F" w14:textId="26D4139B" w:rsidR="00132EA9" w:rsidRPr="00DB58B5" w:rsidRDefault="002757CC" w:rsidP="002757CC">
            <w:pPr>
              <w:jc w:val="right"/>
            </w:pPr>
            <w:r w:rsidRPr="002757CC">
              <w:rPr>
                <w:sz w:val="40"/>
              </w:rPr>
              <w:t>ST</w:t>
            </w:r>
            <w:r>
              <w:t>/SG/AC.10/C.3/2024/14</w:t>
            </w:r>
          </w:p>
        </w:tc>
      </w:tr>
      <w:tr w:rsidR="00132EA9" w:rsidRPr="00DB58B5" w14:paraId="51D5388A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26091E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44D874" wp14:editId="4030C5A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38A933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773F16" w14:textId="77777777" w:rsidR="00132EA9" w:rsidRDefault="002757CC" w:rsidP="00F01738">
            <w:pPr>
              <w:spacing w:before="240"/>
            </w:pPr>
            <w:r>
              <w:t>Distr. générale</w:t>
            </w:r>
          </w:p>
          <w:p w14:paraId="6B04ABB6" w14:textId="77777777" w:rsidR="002757CC" w:rsidRDefault="002757CC" w:rsidP="002757CC">
            <w:pPr>
              <w:spacing w:line="240" w:lineRule="exact"/>
            </w:pPr>
            <w:r>
              <w:t>8 avril 2024</w:t>
            </w:r>
          </w:p>
          <w:p w14:paraId="5CD4A01E" w14:textId="77777777" w:rsidR="002757CC" w:rsidRDefault="002757CC" w:rsidP="002757CC">
            <w:pPr>
              <w:spacing w:line="240" w:lineRule="exact"/>
            </w:pPr>
            <w:r>
              <w:t>Français</w:t>
            </w:r>
          </w:p>
          <w:p w14:paraId="1ABFF98C" w14:textId="4121B620" w:rsidR="002757CC" w:rsidRPr="00DB58B5" w:rsidRDefault="002757CC" w:rsidP="002757CC">
            <w:pPr>
              <w:spacing w:line="240" w:lineRule="exact"/>
            </w:pPr>
            <w:r>
              <w:t>Original : anglais</w:t>
            </w:r>
          </w:p>
        </w:tc>
      </w:tr>
    </w:tbl>
    <w:p w14:paraId="32B10219" w14:textId="1704E457" w:rsidR="00CC28EB" w:rsidRPr="00E61AE0" w:rsidRDefault="00CC28EB" w:rsidP="00CC28EB">
      <w:pPr>
        <w:spacing w:before="120"/>
        <w:rPr>
          <w:b/>
          <w:sz w:val="24"/>
          <w:szCs w:val="24"/>
          <w:lang w:val="fr-FR"/>
        </w:rPr>
      </w:pPr>
      <w:r w:rsidRPr="00E61AE0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="00E61AE0">
        <w:rPr>
          <w:b/>
          <w:bCs/>
          <w:sz w:val="24"/>
          <w:szCs w:val="24"/>
          <w:lang w:val="fr-FR"/>
        </w:rPr>
        <w:br/>
      </w:r>
      <w:r w:rsidRPr="00E61AE0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E61AE0">
        <w:rPr>
          <w:b/>
          <w:bCs/>
          <w:sz w:val="24"/>
          <w:szCs w:val="24"/>
          <w:lang w:val="fr-FR"/>
        </w:rPr>
        <w:br/>
      </w:r>
      <w:r w:rsidRPr="00E61AE0">
        <w:rPr>
          <w:b/>
          <w:bCs/>
          <w:sz w:val="24"/>
          <w:szCs w:val="24"/>
          <w:lang w:val="fr-FR"/>
        </w:rPr>
        <w:t>et d’étiquetage des produits chimiques</w:t>
      </w:r>
    </w:p>
    <w:p w14:paraId="4BAA35A0" w14:textId="77777777" w:rsidR="00CC28EB" w:rsidRPr="00E61AE0" w:rsidRDefault="00CC28EB" w:rsidP="00CC28EB">
      <w:pPr>
        <w:spacing w:before="120"/>
        <w:rPr>
          <w:b/>
          <w:bCs/>
          <w:color w:val="000000"/>
          <w:lang w:val="fr-FR"/>
        </w:rPr>
      </w:pPr>
      <w:r w:rsidRPr="00E61AE0">
        <w:rPr>
          <w:b/>
          <w:bCs/>
          <w:lang w:val="fr-FR"/>
        </w:rPr>
        <w:t>Sous-Comité d’experts du transport des marchandises dangereuses</w:t>
      </w:r>
    </w:p>
    <w:p w14:paraId="5BD80BF9" w14:textId="77777777" w:rsidR="00CC28EB" w:rsidRPr="00E61AE0" w:rsidRDefault="00CC28EB" w:rsidP="00CC28EB">
      <w:pPr>
        <w:spacing w:before="120"/>
        <w:rPr>
          <w:b/>
          <w:lang w:val="fr-FR"/>
        </w:rPr>
      </w:pPr>
      <w:r w:rsidRPr="00E61AE0">
        <w:rPr>
          <w:b/>
          <w:bCs/>
          <w:lang w:val="fr-FR"/>
        </w:rPr>
        <w:t>Soixante-quatrième session</w:t>
      </w:r>
    </w:p>
    <w:p w14:paraId="0A5028ED" w14:textId="77777777" w:rsidR="00CC28EB" w:rsidRPr="00E61AE0" w:rsidRDefault="00CC28EB" w:rsidP="00CC28EB">
      <w:pPr>
        <w:rPr>
          <w:lang w:val="fr-FR"/>
        </w:rPr>
      </w:pPr>
      <w:r w:rsidRPr="00E61AE0">
        <w:rPr>
          <w:lang w:val="fr-FR"/>
        </w:rPr>
        <w:t>Genève, 24 juin-3 juillet 2024</w:t>
      </w:r>
    </w:p>
    <w:p w14:paraId="403EBAEE" w14:textId="77777777" w:rsidR="00CC28EB" w:rsidRPr="00E61AE0" w:rsidRDefault="00CC28EB" w:rsidP="00CC28EB">
      <w:pPr>
        <w:rPr>
          <w:lang w:val="fr-FR"/>
        </w:rPr>
      </w:pPr>
      <w:r w:rsidRPr="00E61AE0">
        <w:rPr>
          <w:lang w:val="fr-FR"/>
        </w:rPr>
        <w:t>Point 7 de l’ordre du jour provisoire</w:t>
      </w:r>
    </w:p>
    <w:p w14:paraId="41960418" w14:textId="7B41DBE7" w:rsidR="00CC28EB" w:rsidRPr="00E61AE0" w:rsidRDefault="00CC28EB" w:rsidP="00CC28EB">
      <w:pPr>
        <w:rPr>
          <w:b/>
          <w:bCs/>
          <w:lang w:val="fr-FR"/>
        </w:rPr>
      </w:pPr>
      <w:r w:rsidRPr="00E61AE0">
        <w:rPr>
          <w:b/>
          <w:bCs/>
          <w:lang w:val="fr-FR"/>
        </w:rPr>
        <w:t xml:space="preserve">Harmonisation générale des Règlements relatifs au transport </w:t>
      </w:r>
      <w:r w:rsidR="00E61AE0">
        <w:rPr>
          <w:b/>
          <w:bCs/>
          <w:lang w:val="fr-FR"/>
        </w:rPr>
        <w:br/>
      </w:r>
      <w:r w:rsidRPr="00E61AE0">
        <w:rPr>
          <w:b/>
          <w:bCs/>
          <w:lang w:val="fr-FR"/>
        </w:rPr>
        <w:t>des marchandises dangereuses avec le Règlement type</w:t>
      </w:r>
    </w:p>
    <w:p w14:paraId="3327D912" w14:textId="5D20B9EC" w:rsidR="00CC28EB" w:rsidRPr="006223BB" w:rsidRDefault="00CC28EB" w:rsidP="00E61AE0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découlant des travaux de la trente-neuvième session du Groupe de rédaction et des questions </w:t>
      </w:r>
      <w:r w:rsidR="00E61AE0">
        <w:rPr>
          <w:lang w:val="fr-FR"/>
        </w:rPr>
        <w:br/>
      </w:r>
      <w:r>
        <w:rPr>
          <w:lang w:val="fr-FR"/>
        </w:rPr>
        <w:t xml:space="preserve">techniques relatifs au Code maritime international </w:t>
      </w:r>
      <w:r w:rsidR="00E61AE0">
        <w:rPr>
          <w:lang w:val="fr-FR"/>
        </w:rPr>
        <w:br/>
      </w:r>
      <w:r>
        <w:rPr>
          <w:lang w:val="fr-FR"/>
        </w:rPr>
        <w:t>des marchandises dangereuses</w:t>
      </w:r>
    </w:p>
    <w:p w14:paraId="1ABF64E7" w14:textId="77777777" w:rsidR="00CC28EB" w:rsidRPr="006223BB" w:rsidRDefault="00CC28EB" w:rsidP="00E61AE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Communication de l’Organisation maritime internationale (OMI)</w:t>
      </w:r>
      <w:r w:rsidRPr="00E61AE0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3B8EB1D5" w14:textId="0115D482" w:rsidR="00CC28EB" w:rsidRPr="006223BB" w:rsidRDefault="00E61AE0" w:rsidP="00E61AE0">
      <w:pPr>
        <w:pStyle w:val="HChG"/>
        <w:rPr>
          <w:lang w:val="fr-FR"/>
        </w:rPr>
      </w:pPr>
      <w:r>
        <w:rPr>
          <w:lang w:val="fr-FR"/>
        </w:rPr>
        <w:tab/>
      </w:r>
      <w:r w:rsidR="00CC28EB">
        <w:rPr>
          <w:lang w:val="fr-FR"/>
        </w:rPr>
        <w:t>I.</w:t>
      </w:r>
      <w:r w:rsidR="00CC28EB">
        <w:rPr>
          <w:lang w:val="fr-FR"/>
        </w:rPr>
        <w:tab/>
      </w:r>
      <w:r w:rsidR="00CC28EB">
        <w:rPr>
          <w:lang w:val="fr-FR"/>
        </w:rPr>
        <w:tab/>
        <w:t>Introduction</w:t>
      </w:r>
    </w:p>
    <w:p w14:paraId="6C490FE5" w14:textId="77777777" w:rsidR="00CC28EB" w:rsidRPr="006223BB" w:rsidRDefault="00CC28EB" w:rsidP="00CC28EB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soixante-troisième session, le Sous-Comité a examiné le document informel INF.40 (IMO), dans lequel sont présentés les résultats relatifs au Code maritime international des marchandises dangereuses (IMDG) des travaux de la trente-neuvième session du Groupe de rédaction et des questions techniques du Sous-Comité du transport des cargaisons et des conteneurs (Sous-comité CCC).</w:t>
      </w:r>
    </w:p>
    <w:p w14:paraId="49F3A406" w14:textId="4CEB9708" w:rsidR="00CC28EB" w:rsidRPr="006223BB" w:rsidRDefault="00CC28EB" w:rsidP="00CC28E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Après examen, n’ayant constaté aucune objection, le Sous-Comité avait adopté les deux premiers amendements proposés dans le document informel INF.40. L’OMI avait annoncé qu’elle soumettrait ultérieurement une proposition officielle concernant le troisième amendement (rapport ST/SG/AC.10/C.3/126, par</w:t>
      </w:r>
      <w:r w:rsidR="00E61AE0">
        <w:rPr>
          <w:lang w:val="fr-FR"/>
        </w:rPr>
        <w:t>. </w:t>
      </w:r>
      <w:r>
        <w:rPr>
          <w:lang w:val="fr-FR"/>
        </w:rPr>
        <w:t>79). Cette proposition fait l’objet du présent document.</w:t>
      </w:r>
    </w:p>
    <w:p w14:paraId="22E8604F" w14:textId="4646BFBC" w:rsidR="00CC28EB" w:rsidRPr="006223BB" w:rsidRDefault="00E61AE0" w:rsidP="00E61AE0">
      <w:pPr>
        <w:pStyle w:val="HChG"/>
        <w:rPr>
          <w:lang w:val="fr-FR"/>
        </w:rPr>
      </w:pPr>
      <w:r>
        <w:rPr>
          <w:lang w:val="fr-FR"/>
        </w:rPr>
        <w:tab/>
      </w:r>
      <w:r w:rsidR="00CC28EB">
        <w:rPr>
          <w:lang w:val="fr-FR"/>
        </w:rPr>
        <w:t>II.</w:t>
      </w:r>
      <w:r w:rsidR="00CC28EB">
        <w:rPr>
          <w:lang w:val="fr-FR"/>
        </w:rPr>
        <w:tab/>
      </w:r>
      <w:r w:rsidR="00CC28EB">
        <w:rPr>
          <w:lang w:val="fr-FR"/>
        </w:rPr>
        <w:tab/>
        <w:t>Justification de la proposition</w:t>
      </w:r>
    </w:p>
    <w:p w14:paraId="47C38047" w14:textId="626B20A3" w:rsidR="00CC28EB" w:rsidRPr="006223BB" w:rsidRDefault="00CC28EB" w:rsidP="00CC28EB">
      <w:pPr>
        <w:pStyle w:val="SingleTxtG"/>
        <w:rPr>
          <w:b/>
          <w:sz w:val="28"/>
          <w:szCs w:val="28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À sa trente-neuvième session, après examen, le Groupe de rédaction et des questions techniques est convenu de recommander au Sous-Comité CCC d’approuver en principe, à sa dixième session, les propositions figurant dans le document CCC 9/6/2 (République de Corée), à l’exception de celle relative au numéro ONU 2735,</w:t>
      </w:r>
      <w:r w:rsidR="00E61AE0">
        <w:rPr>
          <w:lang w:val="fr-FR"/>
        </w:rPr>
        <w:t xml:space="preserve"> </w:t>
      </w:r>
      <w:r>
        <w:rPr>
          <w:lang w:val="fr-FR"/>
        </w:rPr>
        <w:t xml:space="preserve">et a décidé d’examiner ce document à sa quarante-deuxième session, en vue de son intégration, le cas échéant, dans le projet d’amendement 43-26 au code IMDG. Comme il a été estimé que la proposition relative au numéro ONU 2735 aurait des incidences multimodales, le Groupe de rédaction et des questions techniques a décidé, toujours à sa trente-neuvième session, d’inviter le secrétariat </w:t>
      </w:r>
      <w:r>
        <w:rPr>
          <w:lang w:val="fr-FR"/>
        </w:rPr>
        <w:lastRenderedPageBreak/>
        <w:t>de l’OMI à soumettre une proposition au Sous-Comité d’experts du transport des marchandises dangereuses (Sous-comité TMD) (par</w:t>
      </w:r>
      <w:r w:rsidR="00E61AE0">
        <w:rPr>
          <w:lang w:val="fr-FR"/>
        </w:rPr>
        <w:t>. </w:t>
      </w:r>
      <w:r>
        <w:rPr>
          <w:lang w:val="fr-FR"/>
        </w:rPr>
        <w:t>3.64 du rapport de la trente</w:t>
      </w:r>
      <w:r w:rsidR="00E61AE0">
        <w:rPr>
          <w:lang w:val="fr-FR"/>
        </w:rPr>
        <w:noBreakHyphen/>
      </w:r>
      <w:r>
        <w:rPr>
          <w:lang w:val="fr-FR"/>
        </w:rPr>
        <w:t>neuvième session du Groupe de travail de rédaction et des questions techniques).</w:t>
      </w:r>
    </w:p>
    <w:p w14:paraId="321D0BDF" w14:textId="3BA34A17" w:rsidR="00CC28EB" w:rsidRPr="006223BB" w:rsidRDefault="00E61AE0" w:rsidP="00E61AE0">
      <w:pPr>
        <w:pStyle w:val="HChG"/>
        <w:rPr>
          <w:lang w:val="fr-FR"/>
        </w:rPr>
      </w:pPr>
      <w:bookmarkStart w:id="0" w:name="_Hlk159242666"/>
      <w:r>
        <w:rPr>
          <w:lang w:val="fr-FR"/>
        </w:rPr>
        <w:tab/>
      </w:r>
      <w:r w:rsidR="00CC28EB">
        <w:rPr>
          <w:lang w:val="fr-FR"/>
        </w:rPr>
        <w:t>III.</w:t>
      </w:r>
      <w:r w:rsidR="00CC28EB">
        <w:rPr>
          <w:lang w:val="fr-FR"/>
        </w:rPr>
        <w:tab/>
      </w:r>
      <w:r w:rsidR="00CC28EB">
        <w:rPr>
          <w:lang w:val="fr-FR"/>
        </w:rPr>
        <w:tab/>
        <w:t>Proposition</w:t>
      </w:r>
      <w:bookmarkEnd w:id="0"/>
    </w:p>
    <w:p w14:paraId="1F5D28F4" w14:textId="77777777" w:rsidR="00CC28EB" w:rsidRPr="006223BB" w:rsidRDefault="00CC28EB" w:rsidP="00CC28EB">
      <w:pPr>
        <w:pStyle w:val="SingleTxtG"/>
        <w:rPr>
          <w:rStyle w:val="jlqj4b"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Dans la liste des marchandises dangereuses, pour le numéro ONU 2735, groupe d’emballage (GE) II, remplacer la disposition spéciale applicable au transport en citernes mobiles TP1 par TP2.</w:t>
      </w:r>
    </w:p>
    <w:p w14:paraId="53F8E24B" w14:textId="69C6F513" w:rsidR="00CC28EB" w:rsidRPr="006223BB" w:rsidRDefault="00E61AE0" w:rsidP="00E61AE0">
      <w:pPr>
        <w:pStyle w:val="HChG"/>
        <w:rPr>
          <w:lang w:val="fr-FR"/>
        </w:rPr>
      </w:pPr>
      <w:r>
        <w:rPr>
          <w:lang w:val="fr-FR"/>
        </w:rPr>
        <w:tab/>
      </w:r>
      <w:r w:rsidR="00CC28EB">
        <w:rPr>
          <w:lang w:val="fr-FR"/>
        </w:rPr>
        <w:t>IV.</w:t>
      </w:r>
      <w:r w:rsidR="00CC28EB">
        <w:rPr>
          <w:lang w:val="fr-FR"/>
        </w:rPr>
        <w:tab/>
      </w:r>
      <w:r w:rsidR="00CC28EB">
        <w:rPr>
          <w:lang w:val="fr-FR"/>
        </w:rPr>
        <w:tab/>
        <w:t>Justification</w:t>
      </w:r>
    </w:p>
    <w:p w14:paraId="0E0E464B" w14:textId="01997818" w:rsidR="00CC28EB" w:rsidRDefault="00CC28EB" w:rsidP="00CC28EB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Dans les </w:t>
      </w:r>
      <w:r>
        <w:rPr>
          <w:i/>
          <w:iCs/>
          <w:lang w:val="fr-FR"/>
        </w:rPr>
        <w:t xml:space="preserve">Guiding Principles for the development of the UN Model Regulations </w:t>
      </w:r>
      <w:r>
        <w:rPr>
          <w:lang w:val="fr-FR"/>
        </w:rPr>
        <w:t>(Principes directeurs pour l’élaboration du Règlement type de l’ONU), il est indiqué que la disposition spéciale TP2 doit être appliquée aux substances de la classe</w:t>
      </w:r>
      <w:r w:rsidR="00E61AE0">
        <w:rPr>
          <w:lang w:val="fr-FR"/>
        </w:rPr>
        <w:t> </w:t>
      </w:r>
      <w:r>
        <w:rPr>
          <w:lang w:val="fr-FR"/>
        </w:rPr>
        <w:t>8 du groupe d’emballage II.</w:t>
      </w:r>
    </w:p>
    <w:p w14:paraId="07AA4B1B" w14:textId="2B100C4C" w:rsidR="00E61AE0" w:rsidRPr="00E61AE0" w:rsidRDefault="00E61AE0" w:rsidP="00E61AE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61AE0" w:rsidRPr="00E61AE0" w:rsidSect="002757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E9591" w14:textId="77777777" w:rsidR="003928A7" w:rsidRDefault="003928A7" w:rsidP="00F95C08">
      <w:pPr>
        <w:spacing w:line="240" w:lineRule="auto"/>
      </w:pPr>
    </w:p>
  </w:endnote>
  <w:endnote w:type="continuationSeparator" w:id="0">
    <w:p w14:paraId="58D26B3C" w14:textId="77777777" w:rsidR="003928A7" w:rsidRPr="00AC3823" w:rsidRDefault="003928A7" w:rsidP="00AC3823">
      <w:pPr>
        <w:pStyle w:val="Pieddepage"/>
      </w:pPr>
    </w:p>
  </w:endnote>
  <w:endnote w:type="continuationNotice" w:id="1">
    <w:p w14:paraId="1C612F4F" w14:textId="77777777" w:rsidR="003928A7" w:rsidRDefault="003928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B5FF8" w14:textId="2675CA45" w:rsidR="002757CC" w:rsidRPr="002757CC" w:rsidRDefault="002757CC" w:rsidP="002757CC">
    <w:pPr>
      <w:pStyle w:val="Pieddepage"/>
      <w:tabs>
        <w:tab w:val="right" w:pos="9638"/>
      </w:tabs>
    </w:pPr>
    <w:r w:rsidRPr="002757CC">
      <w:rPr>
        <w:b/>
        <w:sz w:val="18"/>
      </w:rPr>
      <w:fldChar w:fldCharType="begin"/>
    </w:r>
    <w:r w:rsidRPr="002757CC">
      <w:rPr>
        <w:b/>
        <w:sz w:val="18"/>
      </w:rPr>
      <w:instrText xml:space="preserve"> PAGE  \* MERGEFORMAT </w:instrText>
    </w:r>
    <w:r w:rsidRPr="002757CC">
      <w:rPr>
        <w:b/>
        <w:sz w:val="18"/>
      </w:rPr>
      <w:fldChar w:fldCharType="separate"/>
    </w:r>
    <w:r w:rsidRPr="002757CC">
      <w:rPr>
        <w:b/>
        <w:noProof/>
        <w:sz w:val="18"/>
      </w:rPr>
      <w:t>2</w:t>
    </w:r>
    <w:r w:rsidRPr="002757CC">
      <w:rPr>
        <w:b/>
        <w:sz w:val="18"/>
      </w:rPr>
      <w:fldChar w:fldCharType="end"/>
    </w:r>
    <w:r>
      <w:rPr>
        <w:b/>
        <w:sz w:val="18"/>
      </w:rPr>
      <w:tab/>
    </w:r>
    <w:r>
      <w:t>GE.24-06345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E2838" w14:textId="36FF955C" w:rsidR="002757CC" w:rsidRPr="002757CC" w:rsidRDefault="002757CC" w:rsidP="002757CC">
    <w:pPr>
      <w:pStyle w:val="Pieddepage"/>
      <w:tabs>
        <w:tab w:val="right" w:pos="9638"/>
      </w:tabs>
      <w:rPr>
        <w:b/>
        <w:sz w:val="18"/>
      </w:rPr>
    </w:pPr>
    <w:r>
      <w:t>GE.24-06345</w:t>
    </w:r>
    <w:r>
      <w:tab/>
    </w:r>
    <w:r w:rsidRPr="002757CC">
      <w:rPr>
        <w:b/>
        <w:sz w:val="18"/>
      </w:rPr>
      <w:fldChar w:fldCharType="begin"/>
    </w:r>
    <w:r w:rsidRPr="002757CC">
      <w:rPr>
        <w:b/>
        <w:sz w:val="18"/>
      </w:rPr>
      <w:instrText xml:space="preserve"> PAGE  \* MERGEFORMAT </w:instrText>
    </w:r>
    <w:r w:rsidRPr="002757CC">
      <w:rPr>
        <w:b/>
        <w:sz w:val="18"/>
      </w:rPr>
      <w:fldChar w:fldCharType="separate"/>
    </w:r>
    <w:r w:rsidRPr="002757CC">
      <w:rPr>
        <w:b/>
        <w:noProof/>
        <w:sz w:val="18"/>
      </w:rPr>
      <w:t>3</w:t>
    </w:r>
    <w:r w:rsidRPr="002757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E0A13" w14:textId="6DF6A2E6" w:rsidR="0068456F" w:rsidRPr="002757CC" w:rsidRDefault="002757CC" w:rsidP="002757CC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A31E62" wp14:editId="75930C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5DDEC7" wp14:editId="25679C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4707717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180424    190424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CA26" w14:textId="77777777" w:rsidR="003928A7" w:rsidRPr="00AC3823" w:rsidRDefault="003928A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A7C6B3" w14:textId="77777777" w:rsidR="003928A7" w:rsidRPr="00AC3823" w:rsidRDefault="003928A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58B035" w14:textId="77777777" w:rsidR="003928A7" w:rsidRPr="00AC3823" w:rsidRDefault="003928A7">
      <w:pPr>
        <w:spacing w:line="240" w:lineRule="auto"/>
        <w:rPr>
          <w:sz w:val="2"/>
          <w:szCs w:val="2"/>
        </w:rPr>
      </w:pPr>
    </w:p>
  </w:footnote>
  <w:footnote w:id="2">
    <w:p w14:paraId="4E776434" w14:textId="77777777" w:rsidR="00CC28EB" w:rsidRPr="00314EE0" w:rsidRDefault="00CC28EB" w:rsidP="00CC28EB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1AB19" w14:textId="681D19A9" w:rsidR="002757CC" w:rsidRPr="002757CC" w:rsidRDefault="002757CC">
    <w:pPr>
      <w:pStyle w:val="En-tte"/>
    </w:pPr>
    <w:fldSimple w:instr=" TITLE  \* MERGEFORMAT ">
      <w:r w:rsidR="000A2D35">
        <w:t>ST/SG/AC.10/C.3/2024/14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FFC1F" w14:textId="06F226D0" w:rsidR="002757CC" w:rsidRPr="002757CC" w:rsidRDefault="002757CC" w:rsidP="002757CC">
    <w:pPr>
      <w:pStyle w:val="En-tte"/>
      <w:jc w:val="right"/>
    </w:pPr>
    <w:fldSimple w:instr=" TITLE  \* MERGEFORMAT ">
      <w:r w:rsidR="000A2D35">
        <w:t>ST/SG/AC.10/C.3/2024/14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72133272">
    <w:abstractNumId w:val="12"/>
  </w:num>
  <w:num w:numId="2" w16cid:durableId="156724392">
    <w:abstractNumId w:val="11"/>
  </w:num>
  <w:num w:numId="3" w16cid:durableId="260798109">
    <w:abstractNumId w:val="10"/>
  </w:num>
  <w:num w:numId="4" w16cid:durableId="944194112">
    <w:abstractNumId w:val="8"/>
  </w:num>
  <w:num w:numId="5" w16cid:durableId="1713073378">
    <w:abstractNumId w:val="3"/>
  </w:num>
  <w:num w:numId="6" w16cid:durableId="1084840245">
    <w:abstractNumId w:val="2"/>
  </w:num>
  <w:num w:numId="7" w16cid:durableId="402988982">
    <w:abstractNumId w:val="1"/>
  </w:num>
  <w:num w:numId="8" w16cid:durableId="55591606">
    <w:abstractNumId w:val="0"/>
  </w:num>
  <w:num w:numId="9" w16cid:durableId="2049792177">
    <w:abstractNumId w:val="9"/>
  </w:num>
  <w:num w:numId="10" w16cid:durableId="1502086285">
    <w:abstractNumId w:val="7"/>
  </w:num>
  <w:num w:numId="11" w16cid:durableId="38863850">
    <w:abstractNumId w:val="6"/>
  </w:num>
  <w:num w:numId="12" w16cid:durableId="1209562786">
    <w:abstractNumId w:val="5"/>
  </w:num>
  <w:num w:numId="13" w16cid:durableId="338852267">
    <w:abstractNumId w:val="4"/>
  </w:num>
  <w:num w:numId="14" w16cid:durableId="567956486">
    <w:abstractNumId w:val="12"/>
  </w:num>
  <w:num w:numId="15" w16cid:durableId="1039820631">
    <w:abstractNumId w:val="11"/>
  </w:num>
  <w:num w:numId="16" w16cid:durableId="578251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A7"/>
    <w:rsid w:val="00017F94"/>
    <w:rsid w:val="00023842"/>
    <w:rsid w:val="000305D3"/>
    <w:rsid w:val="000334F9"/>
    <w:rsid w:val="0007796D"/>
    <w:rsid w:val="000A2D35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757CC"/>
    <w:rsid w:val="00283190"/>
    <w:rsid w:val="002832AC"/>
    <w:rsid w:val="002D7C93"/>
    <w:rsid w:val="003928A7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C28EB"/>
    <w:rsid w:val="00D3439C"/>
    <w:rsid w:val="00DB1831"/>
    <w:rsid w:val="00DD3BFD"/>
    <w:rsid w:val="00DF6678"/>
    <w:rsid w:val="00DF7598"/>
    <w:rsid w:val="00E61AE0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82830"/>
  <w15:docId w15:val="{FC8FF107-0A86-4479-8699-BDAFDB3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C28E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locked/>
    <w:rsid w:val="00CC28E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CC28E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jlqj4b">
    <w:name w:val="jlqj4b"/>
    <w:basedOn w:val="Policepardfaut"/>
    <w:rsid w:val="00CC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4C011-346C-4103-9EB9-F66D0C0A1754}"/>
</file>

<file path=customXml/itemProps2.xml><?xml version="1.0" encoding="utf-8"?>
<ds:datastoreItem xmlns:ds="http://schemas.openxmlformats.org/officeDocument/2006/customXml" ds:itemID="{C2982BB8-E178-46F0-8169-FA98C88118D6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2</Pages>
  <Words>423</Words>
  <Characters>2594</Characters>
  <Application>Microsoft Office Word</Application>
  <DocSecurity>0</DocSecurity>
  <Lines>56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ST/SG/AC.10/C.3/2024/14</dc:title>
  <dc:subject/>
  <dc:creator>Christine CHAUTAGNAT</dc:creator>
  <cp:keywords/>
  <cp:lastModifiedBy>Christine Chautagnat</cp:lastModifiedBy>
  <cp:revision>3</cp:revision>
  <cp:lastPrinted>2024-04-19T09:00:00Z</cp:lastPrinted>
  <dcterms:created xsi:type="dcterms:W3CDTF">2024-04-19T09:00:00Z</dcterms:created>
  <dcterms:modified xsi:type="dcterms:W3CDTF">2024-04-19T09:01:00Z</dcterms:modified>
</cp:coreProperties>
</file>