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8D46D23" w14:textId="77777777" w:rsidTr="006476E1">
        <w:trPr>
          <w:trHeight w:val="851"/>
        </w:trPr>
        <w:tc>
          <w:tcPr>
            <w:tcW w:w="1259" w:type="dxa"/>
            <w:tcBorders>
              <w:top w:val="nil"/>
              <w:left w:val="nil"/>
              <w:bottom w:val="single" w:sz="4" w:space="0" w:color="auto"/>
              <w:right w:val="nil"/>
            </w:tcBorders>
          </w:tcPr>
          <w:p w14:paraId="28A579A1" w14:textId="77777777" w:rsidR="00E52109" w:rsidRPr="002A32CB" w:rsidRDefault="00E52109" w:rsidP="004858F5"/>
        </w:tc>
        <w:tc>
          <w:tcPr>
            <w:tcW w:w="2236" w:type="dxa"/>
            <w:tcBorders>
              <w:top w:val="nil"/>
              <w:left w:val="nil"/>
              <w:bottom w:val="single" w:sz="4" w:space="0" w:color="auto"/>
              <w:right w:val="nil"/>
            </w:tcBorders>
            <w:vAlign w:val="bottom"/>
          </w:tcPr>
          <w:p w14:paraId="6F37E64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E896AD6" w14:textId="25D0C817" w:rsidR="00E52109" w:rsidRDefault="002C3824" w:rsidP="002C3824">
            <w:pPr>
              <w:jc w:val="right"/>
            </w:pPr>
            <w:r w:rsidRPr="002C3824">
              <w:rPr>
                <w:sz w:val="40"/>
              </w:rPr>
              <w:t>ST</w:t>
            </w:r>
            <w:r>
              <w:t>/SG/AC.10/C.3/2024/40</w:t>
            </w:r>
          </w:p>
        </w:tc>
      </w:tr>
      <w:tr w:rsidR="00E52109" w14:paraId="1B33AC22" w14:textId="77777777" w:rsidTr="006476E1">
        <w:trPr>
          <w:trHeight w:val="2835"/>
        </w:trPr>
        <w:tc>
          <w:tcPr>
            <w:tcW w:w="1259" w:type="dxa"/>
            <w:tcBorders>
              <w:top w:val="single" w:sz="4" w:space="0" w:color="auto"/>
              <w:left w:val="nil"/>
              <w:bottom w:val="single" w:sz="12" w:space="0" w:color="auto"/>
              <w:right w:val="nil"/>
            </w:tcBorders>
          </w:tcPr>
          <w:p w14:paraId="586B7F93" w14:textId="77777777" w:rsidR="00E52109" w:rsidRDefault="00E52109" w:rsidP="006476E1">
            <w:pPr>
              <w:spacing w:before="120"/>
              <w:jc w:val="center"/>
            </w:pPr>
            <w:r>
              <w:rPr>
                <w:noProof/>
                <w:lang w:val="fr-CH" w:eastAsia="fr-CH"/>
              </w:rPr>
              <w:drawing>
                <wp:inline distT="0" distB="0" distL="0" distR="0" wp14:anchorId="69874ADE" wp14:editId="0650181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F0A1C8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5232CDF" w14:textId="77777777" w:rsidR="00D94B05" w:rsidRDefault="002C3824" w:rsidP="002C3824">
            <w:pPr>
              <w:spacing w:before="240" w:line="240" w:lineRule="exact"/>
            </w:pPr>
            <w:r>
              <w:t>Distr.: General</w:t>
            </w:r>
          </w:p>
          <w:p w14:paraId="6A7A19BD" w14:textId="4E46A54E" w:rsidR="002C3824" w:rsidRDefault="00030F19" w:rsidP="002C3824">
            <w:pPr>
              <w:spacing w:line="240" w:lineRule="exact"/>
            </w:pPr>
            <w:r>
              <w:t>12</w:t>
            </w:r>
            <w:r w:rsidR="002C3824">
              <w:t xml:space="preserve"> April 2024</w:t>
            </w:r>
          </w:p>
          <w:p w14:paraId="0025612B" w14:textId="77777777" w:rsidR="002C3824" w:rsidRDefault="002C3824" w:rsidP="002C3824">
            <w:pPr>
              <w:spacing w:line="240" w:lineRule="exact"/>
            </w:pPr>
          </w:p>
          <w:p w14:paraId="31F4E64B" w14:textId="350D67A4" w:rsidR="002C3824" w:rsidRDefault="002C3824" w:rsidP="002C3824">
            <w:pPr>
              <w:spacing w:line="240" w:lineRule="exact"/>
            </w:pPr>
            <w:r>
              <w:t>Original: English</w:t>
            </w:r>
          </w:p>
        </w:tc>
      </w:tr>
    </w:tbl>
    <w:p w14:paraId="43772B62" w14:textId="77777777" w:rsidR="009D1EB9" w:rsidRDefault="009D1EB9" w:rsidP="009D1EB9">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4DC815A2" w14:textId="77777777" w:rsidR="009D1EB9" w:rsidRDefault="009D1EB9" w:rsidP="009D1EB9">
      <w:pPr>
        <w:spacing w:before="120"/>
        <w:rPr>
          <w:rFonts w:ascii="Helv" w:hAnsi="Helv" w:cs="Helv"/>
          <w:b/>
          <w:color w:val="000000"/>
        </w:rPr>
      </w:pPr>
      <w:r>
        <w:rPr>
          <w:b/>
        </w:rPr>
        <w:t>Sub-Committee of Experts on the Transport of Dangerous Goods</w:t>
      </w:r>
    </w:p>
    <w:p w14:paraId="0FF2C930" w14:textId="77777777" w:rsidR="009D1EB9" w:rsidRDefault="009D1EB9" w:rsidP="009D1EB9">
      <w:pPr>
        <w:spacing w:before="120"/>
        <w:rPr>
          <w:b/>
        </w:rPr>
      </w:pPr>
      <w:r>
        <w:rPr>
          <w:b/>
        </w:rPr>
        <w:t>Sixty-fourth session</w:t>
      </w:r>
    </w:p>
    <w:p w14:paraId="701CE80A" w14:textId="77777777" w:rsidR="009D1EB9" w:rsidRDefault="009D1EB9" w:rsidP="009D1EB9">
      <w:r>
        <w:t>Geneva, 24 June-3 July 2024</w:t>
      </w:r>
    </w:p>
    <w:p w14:paraId="37F00183" w14:textId="13276297" w:rsidR="00BD5A65" w:rsidRDefault="00BD5A65" w:rsidP="00BD5A65">
      <w:bookmarkStart w:id="0" w:name="_Hlk531350542"/>
      <w:r>
        <w:t>Item 4</w:t>
      </w:r>
      <w:r w:rsidR="007A5892">
        <w:t xml:space="preserve"> </w:t>
      </w:r>
      <w:r>
        <w:t>(a) of the provisional agenda</w:t>
      </w:r>
    </w:p>
    <w:p w14:paraId="639DFFF9" w14:textId="77777777" w:rsidR="000D52D6" w:rsidRDefault="00BD5A65" w:rsidP="00BD5A65">
      <w:pPr>
        <w:rPr>
          <w:b/>
          <w:bCs/>
        </w:rPr>
      </w:pPr>
      <w:r w:rsidRPr="00D7682D">
        <w:rPr>
          <w:b/>
          <w:bCs/>
        </w:rPr>
        <w:t>Electric storage systems:</w:t>
      </w:r>
      <w:r>
        <w:rPr>
          <w:b/>
          <w:bCs/>
        </w:rPr>
        <w:t xml:space="preserve"> </w:t>
      </w:r>
    </w:p>
    <w:p w14:paraId="0D76DA9B" w14:textId="1A705C9F" w:rsidR="00BD5A65" w:rsidRDefault="00BD5A65" w:rsidP="00BD5A65">
      <w:pPr>
        <w:rPr>
          <w:b/>
          <w:bCs/>
        </w:rPr>
      </w:pPr>
      <w:r w:rsidRPr="00D7682D">
        <w:rPr>
          <w:b/>
          <w:bCs/>
        </w:rPr>
        <w:t>Testing of lithium batteries</w:t>
      </w:r>
    </w:p>
    <w:p w14:paraId="23AD21E2" w14:textId="5EBA09A6" w:rsidR="00BD5A65" w:rsidRDefault="00BD5A65" w:rsidP="00BD5A65">
      <w:pPr>
        <w:pStyle w:val="HChG"/>
      </w:pPr>
      <w:r>
        <w:tab/>
      </w:r>
      <w:r>
        <w:tab/>
        <w:t>Procedures</w:t>
      </w:r>
      <w:r>
        <w:rPr>
          <w:rFonts w:hint="eastAsia"/>
        </w:rPr>
        <w:t xml:space="preserve"> for test T.8</w:t>
      </w:r>
      <w:r>
        <w:rPr>
          <w:rFonts w:hint="eastAsia"/>
          <w:lang w:val="en-US"/>
        </w:rPr>
        <w:t>:</w:t>
      </w:r>
      <w:r>
        <w:rPr>
          <w:rFonts w:hint="eastAsia"/>
        </w:rPr>
        <w:t xml:space="preserve"> </w:t>
      </w:r>
      <w:r w:rsidR="0031535F">
        <w:rPr>
          <w:lang w:val="en-US"/>
        </w:rPr>
        <w:t>Forced</w:t>
      </w:r>
      <w:r>
        <w:rPr>
          <w:rFonts w:hint="eastAsia"/>
        </w:rPr>
        <w:t xml:space="preserve"> discharge</w:t>
      </w:r>
    </w:p>
    <w:p w14:paraId="34DDCE67" w14:textId="77958E80" w:rsidR="009D1EB9" w:rsidRDefault="009D1EB9" w:rsidP="009D1EB9">
      <w:pPr>
        <w:pStyle w:val="H1G"/>
        <w:rPr>
          <w:lang w:val="en-US"/>
        </w:rPr>
      </w:pPr>
      <w:r>
        <w:rPr>
          <w:lang w:val="en-US"/>
        </w:rPr>
        <w:tab/>
      </w:r>
      <w:r>
        <w:rPr>
          <w:lang w:val="en-US"/>
        </w:rPr>
        <w:tab/>
        <w:t>Transmitted by</w:t>
      </w:r>
      <w:bookmarkEnd w:id="0"/>
      <w:r w:rsidR="003A46D1">
        <w:rPr>
          <w:lang w:val="en-US"/>
        </w:rPr>
        <w:t xml:space="preserve"> the expert from China</w:t>
      </w:r>
      <w:r w:rsidR="00A9493F" w:rsidRPr="00A9493F">
        <w:rPr>
          <w:rStyle w:val="FootnoteReference"/>
          <w:sz w:val="20"/>
          <w:vertAlign w:val="baseline"/>
          <w:lang w:val="en-US"/>
        </w:rPr>
        <w:footnoteReference w:customMarkFollows="1" w:id="2"/>
        <w:t>*</w:t>
      </w:r>
    </w:p>
    <w:p w14:paraId="2AEC0993" w14:textId="77777777" w:rsidR="0031535F" w:rsidRDefault="0031535F" w:rsidP="0031535F">
      <w:pPr>
        <w:pStyle w:val="HChG"/>
        <w:rPr>
          <w:lang w:val="en-US"/>
        </w:rPr>
      </w:pPr>
      <w:r>
        <w:tab/>
        <w:t>I.</w:t>
      </w:r>
      <w:r>
        <w:tab/>
        <w:t>Introduction</w:t>
      </w:r>
    </w:p>
    <w:p w14:paraId="65F6BA0B" w14:textId="342A805A" w:rsidR="00DE5AD0" w:rsidRDefault="0031535F" w:rsidP="0031535F">
      <w:pPr>
        <w:pStyle w:val="SingleTxtG"/>
      </w:pPr>
      <w:r>
        <w:rPr>
          <w:rFonts w:hint="eastAsia"/>
          <w:lang w:val="en-US"/>
        </w:rPr>
        <w:t>1.</w:t>
      </w:r>
      <w:r>
        <w:tab/>
      </w:r>
      <w:r>
        <w:rPr>
          <w:rFonts w:hint="eastAsia"/>
          <w:lang w:val="en-US"/>
        </w:rPr>
        <w:t xml:space="preserve">According to </w:t>
      </w:r>
      <w:r>
        <w:rPr>
          <w:lang w:val="en-US"/>
        </w:rPr>
        <w:t>chapter</w:t>
      </w:r>
      <w:r>
        <w:rPr>
          <w:rFonts w:hint="eastAsia"/>
          <w:lang w:val="en-US"/>
        </w:rPr>
        <w:t xml:space="preserve"> </w:t>
      </w:r>
      <w:r>
        <w:t>38.3.4.8</w:t>
      </w:r>
      <w:r w:rsidR="0042561F">
        <w:t xml:space="preserve"> of the </w:t>
      </w:r>
      <w:r w:rsidR="0042561F" w:rsidRPr="00DE7381">
        <w:rPr>
          <w:i/>
        </w:rPr>
        <w:t>Manual of Tests and Criteria</w:t>
      </w:r>
      <w:r w:rsidR="0042561F">
        <w:rPr>
          <w:i/>
        </w:rPr>
        <w:t xml:space="preserve"> </w:t>
      </w:r>
      <w:r w:rsidR="0042561F" w:rsidRPr="0042561F">
        <w:rPr>
          <w:rFonts w:hint="eastAsia"/>
          <w:iCs/>
        </w:rPr>
        <w:t>(</w:t>
      </w:r>
      <w:r w:rsidR="0042561F" w:rsidRPr="0042561F">
        <w:rPr>
          <w:iCs/>
        </w:rPr>
        <w:t>ST/SG/AC.10/11/Rev.8)</w:t>
      </w:r>
      <w:r w:rsidR="00175B4D">
        <w:t>,</w:t>
      </w:r>
      <w:r>
        <w:t xml:space="preserve"> </w:t>
      </w:r>
      <w:r w:rsidR="002240CE">
        <w:t>t</w:t>
      </w:r>
      <w:r w:rsidR="002240CE">
        <w:rPr>
          <w:rFonts w:hint="eastAsia"/>
        </w:rPr>
        <w:t>he t</w:t>
      </w:r>
      <w:r w:rsidR="002240CE">
        <w:t>est procedure for “</w:t>
      </w:r>
      <w:r>
        <w:t>Test T.8: Forced discharge</w:t>
      </w:r>
      <w:r w:rsidR="002240CE">
        <w:t>”</w:t>
      </w:r>
      <w:r>
        <w:t xml:space="preserve"> </w:t>
      </w:r>
      <w:r w:rsidR="00DE5AD0">
        <w:t>is as follows</w:t>
      </w:r>
      <w:r>
        <w:rPr>
          <w:rFonts w:hint="eastAsia"/>
        </w:rPr>
        <w:t>:</w:t>
      </w:r>
    </w:p>
    <w:p w14:paraId="038C7B91" w14:textId="0E1F103A" w:rsidR="00DE5AD0" w:rsidRDefault="0031535F" w:rsidP="00B74584">
      <w:pPr>
        <w:pStyle w:val="SingleTxtG"/>
        <w:ind w:left="1701"/>
        <w:rPr>
          <w:i/>
        </w:rPr>
      </w:pPr>
      <w:r w:rsidRPr="0066494B">
        <w:rPr>
          <w:i/>
        </w:rPr>
        <w:t>“Each cell shall be forced discharged at ambient temperature by connecting it in series with a 12</w:t>
      </w:r>
      <w:r w:rsidR="00B74584">
        <w:rPr>
          <w:i/>
        </w:rPr>
        <w:t xml:space="preserve"> </w:t>
      </w:r>
      <w:r w:rsidRPr="0066494B">
        <w:rPr>
          <w:i/>
        </w:rPr>
        <w:t>V D.C. power supply at an initial current equal to the maximum discharge current specified by the manufacturer.</w:t>
      </w:r>
    </w:p>
    <w:p w14:paraId="3C380E1E" w14:textId="146BB85D" w:rsidR="0031535F" w:rsidRDefault="0031535F" w:rsidP="00B74584">
      <w:pPr>
        <w:pStyle w:val="SingleTxtG"/>
        <w:ind w:left="1701"/>
      </w:pPr>
      <w:r w:rsidRPr="0066494B">
        <w:rPr>
          <w:i/>
        </w:rPr>
        <w:t>The specified discharge currents to be obtained by connecting a resistive load of the appropriate size and rating in series with the test cell. Each cell shall be forced discharged for a time interval (in hours) equal to its rated capacity divided by the initial test current (in ampere).”</w:t>
      </w:r>
    </w:p>
    <w:p w14:paraId="4D826AD7" w14:textId="77777777" w:rsidR="0031535F" w:rsidRDefault="0031535F" w:rsidP="0031535F">
      <w:pPr>
        <w:pStyle w:val="SingleTxtG"/>
      </w:pPr>
      <w:r>
        <w:rPr>
          <w:rFonts w:hint="eastAsia"/>
          <w:lang w:val="en-US"/>
        </w:rPr>
        <w:t>2.</w:t>
      </w:r>
      <w:r>
        <w:tab/>
      </w:r>
      <w:r>
        <w:rPr>
          <w:rFonts w:hint="eastAsia"/>
          <w:lang w:val="en-US"/>
        </w:rPr>
        <w:t>The energy density of battery products has witnessed a significant rise with their development, leading to an increase in battery capacity. Consequently, the current required for testing has also escalated, posing challenges to achieving this through con</w:t>
      </w:r>
      <w:r>
        <w:rPr>
          <w:lang w:val="en-US"/>
        </w:rPr>
        <w:t>ventional test methods.</w:t>
      </w:r>
    </w:p>
    <w:p w14:paraId="1F49A10F" w14:textId="1114F8DC" w:rsidR="0031535F" w:rsidRDefault="0031535F" w:rsidP="0031535F">
      <w:pPr>
        <w:pStyle w:val="SingleTxtG"/>
      </w:pPr>
      <w:r>
        <w:rPr>
          <w:rFonts w:hint="eastAsia"/>
        </w:rPr>
        <w:t>3.</w:t>
      </w:r>
      <w:r>
        <w:tab/>
      </w:r>
      <w:r w:rsidR="00717A93">
        <w:t>T</w:t>
      </w:r>
      <w:r>
        <w:t xml:space="preserve">est methods for </w:t>
      </w:r>
      <w:r>
        <w:rPr>
          <w:rFonts w:hint="eastAsia"/>
        </w:rPr>
        <w:t>p</w:t>
      </w:r>
      <w:r>
        <w:t>rimary batteries and rechargeable batteries need to be distinguished according to the product's development trend.</w:t>
      </w:r>
    </w:p>
    <w:p w14:paraId="66B485F4" w14:textId="77777777" w:rsidR="0031535F" w:rsidRDefault="0031535F" w:rsidP="0031535F">
      <w:pPr>
        <w:pStyle w:val="HChG"/>
      </w:pPr>
      <w:r>
        <w:tab/>
        <w:t>II.</w:t>
      </w:r>
      <w:r>
        <w:tab/>
        <w:t>Justification</w:t>
      </w:r>
    </w:p>
    <w:p w14:paraId="3683C2C0" w14:textId="192D4451" w:rsidR="0031535F" w:rsidRDefault="0031535F" w:rsidP="0031535F">
      <w:pPr>
        <w:pStyle w:val="SingleTxtG"/>
      </w:pPr>
      <w:r>
        <w:rPr>
          <w:rFonts w:hint="eastAsia"/>
        </w:rPr>
        <w:t>4</w:t>
      </w:r>
      <w:r>
        <w:t>.</w:t>
      </w:r>
      <w:r>
        <w:tab/>
      </w:r>
      <w:r>
        <w:rPr>
          <w:rFonts w:hint="eastAsia"/>
        </w:rPr>
        <w:t xml:space="preserve">The </w:t>
      </w:r>
      <w:r w:rsidR="00A462D6">
        <w:t>existing</w:t>
      </w:r>
      <w:r>
        <w:rPr>
          <w:rFonts w:hint="eastAsia"/>
        </w:rPr>
        <w:t xml:space="preserve"> t</w:t>
      </w:r>
      <w:r>
        <w:t>est procedure</w:t>
      </w:r>
      <w:r>
        <w:rPr>
          <w:rFonts w:hint="eastAsia"/>
        </w:rPr>
        <w:t xml:space="preserve"> is </w:t>
      </w:r>
      <w:proofErr w:type="gramStart"/>
      <w:r>
        <w:t xml:space="preserve">similar </w:t>
      </w:r>
      <w:r w:rsidR="00E306F3">
        <w:t>to</w:t>
      </w:r>
      <w:proofErr w:type="gramEnd"/>
      <w:r>
        <w:rPr>
          <w:rFonts w:hint="eastAsia"/>
        </w:rPr>
        <w:t xml:space="preserve"> </w:t>
      </w:r>
      <w:r>
        <w:t xml:space="preserve">that in </w:t>
      </w:r>
      <w:r>
        <w:rPr>
          <w:rFonts w:hint="eastAsia"/>
        </w:rPr>
        <w:t xml:space="preserve">standard </w:t>
      </w:r>
      <w:r>
        <w:t>IEC 60086-4</w:t>
      </w:r>
      <w:r>
        <w:rPr>
          <w:rFonts w:hint="eastAsia"/>
        </w:rPr>
        <w:t xml:space="preserve"> </w:t>
      </w:r>
      <w:r w:rsidRPr="0066494B">
        <w:rPr>
          <w:i/>
        </w:rPr>
        <w:t>Primary batteries – Part 4: Safety of lithium batteries</w:t>
      </w:r>
      <w:r>
        <w:rPr>
          <w:rFonts w:hint="eastAsia"/>
        </w:rPr>
        <w:t>, cha</w:t>
      </w:r>
      <w:r w:rsidR="00316403">
        <w:t>p</w:t>
      </w:r>
      <w:r>
        <w:rPr>
          <w:rFonts w:hint="eastAsia"/>
        </w:rPr>
        <w:t xml:space="preserve">ter </w:t>
      </w:r>
      <w:r>
        <w:t>6.5.4</w:t>
      </w:r>
      <w:r w:rsidR="00316403">
        <w:t>,</w:t>
      </w:r>
      <w:r>
        <w:t xml:space="preserve"> Test H: Forced discharge</w:t>
      </w:r>
      <w:r>
        <w:rPr>
          <w:rFonts w:hint="eastAsia"/>
        </w:rPr>
        <w:t>.</w:t>
      </w:r>
      <w:r w:rsidRPr="008C5AFB">
        <w:t xml:space="preserve"> </w:t>
      </w:r>
      <w:r>
        <w:t>As the title</w:t>
      </w:r>
      <w:r w:rsidR="003D5EFD">
        <w:t xml:space="preserve"> of the standard</w:t>
      </w:r>
      <w:r>
        <w:t xml:space="preserve"> indicat</w:t>
      </w:r>
      <w:r w:rsidR="003D5EFD">
        <w:t>es</w:t>
      </w:r>
      <w:r>
        <w:t>, this procedure was originally designed for p</w:t>
      </w:r>
      <w:r w:rsidRPr="008C5AFB">
        <w:t>rimary batteries</w:t>
      </w:r>
      <w:r>
        <w:t xml:space="preserve"> only. More suitable procedure</w:t>
      </w:r>
      <w:r w:rsidR="003D5EFD">
        <w:t>s</w:t>
      </w:r>
      <w:r>
        <w:t xml:space="preserve"> should be </w:t>
      </w:r>
      <w:r w:rsidR="006928E8">
        <w:t>selected</w:t>
      </w:r>
      <w:r>
        <w:t xml:space="preserve"> for rechargeable </w:t>
      </w:r>
      <w:r w:rsidR="006928E8">
        <w:t>batteries</w:t>
      </w:r>
      <w:r>
        <w:t xml:space="preserve">. The experts </w:t>
      </w:r>
      <w:r>
        <w:lastRenderedPageBreak/>
        <w:t xml:space="preserve">from China propose to introduce the procedure from </w:t>
      </w:r>
      <w:r>
        <w:rPr>
          <w:rFonts w:hint="eastAsia"/>
        </w:rPr>
        <w:t>standard</w:t>
      </w:r>
      <w:r w:rsidR="00830B8B">
        <w:t>s</w:t>
      </w:r>
      <w:r>
        <w:t xml:space="preserve"> </w:t>
      </w:r>
      <w:r w:rsidRPr="008C5AFB">
        <w:t>IEC 62133-2</w:t>
      </w:r>
      <w:r>
        <w:rPr>
          <w:rStyle w:val="FootnoteReference"/>
        </w:rPr>
        <w:footnoteReference w:id="3"/>
      </w:r>
      <w:r>
        <w:t xml:space="preserve"> and </w:t>
      </w:r>
      <w:r w:rsidRPr="008C5AFB">
        <w:t>IEC 62660</w:t>
      </w:r>
      <w:r w:rsidR="002D3057">
        <w:t>‑</w:t>
      </w:r>
      <w:r w:rsidRPr="008C5AFB">
        <w:t>2</w:t>
      </w:r>
      <w:r>
        <w:rPr>
          <w:rStyle w:val="FootnoteReference"/>
        </w:rPr>
        <w:footnoteReference w:id="4"/>
      </w:r>
      <w:r>
        <w:t>.</w:t>
      </w:r>
    </w:p>
    <w:p w14:paraId="77D302CF" w14:textId="1681F210" w:rsidR="0031535F" w:rsidRDefault="0031535F" w:rsidP="0031535F">
      <w:pPr>
        <w:pStyle w:val="SingleTxtG"/>
      </w:pPr>
      <w:r>
        <w:rPr>
          <w:rFonts w:hint="eastAsia"/>
        </w:rPr>
        <w:t>5</w:t>
      </w:r>
      <w:r>
        <w:t>.</w:t>
      </w:r>
      <w:r>
        <w:tab/>
        <w:t xml:space="preserve">Although </w:t>
      </w:r>
      <w:r w:rsidR="000D5679">
        <w:t>both</w:t>
      </w:r>
      <w:r>
        <w:t xml:space="preserve"> standards apply to lithium batteries only, sodium-ion batteries work similarly to lithium-ion batteries, and also follow the deluging working principle</w:t>
      </w:r>
      <w:r w:rsidR="004240EB">
        <w:t xml:space="preserve">, that is, </w:t>
      </w:r>
      <w:r w:rsidR="00DF12C6">
        <w:t>during charging</w:t>
      </w:r>
      <w:r>
        <w:t xml:space="preserve">, sodium ions are removed from the positive electrode and embedded in the negative electrode </w:t>
      </w:r>
      <w:r w:rsidR="00645B94">
        <w:t>(</w:t>
      </w:r>
      <w:r>
        <w:t>the more sodium ions embedded in the negative electrode, the higher the charging capacity</w:t>
      </w:r>
      <w:r w:rsidR="00645B94">
        <w:t xml:space="preserve">) and </w:t>
      </w:r>
      <w:r w:rsidR="00DF12C6">
        <w:t>during discharge, the</w:t>
      </w:r>
      <w:r>
        <w:t xml:space="preserve"> process is reversed </w:t>
      </w:r>
      <w:r w:rsidR="00DF12C6">
        <w:t>(</w:t>
      </w:r>
      <w:r>
        <w:t>the more sodium ions return to the positive electrode, the higher the discharge capacity)</w:t>
      </w:r>
      <w:r>
        <w:rPr>
          <w:rFonts w:hint="eastAsia"/>
        </w:rPr>
        <w:t xml:space="preserve">. </w:t>
      </w:r>
      <w:r>
        <w:t>T</w:t>
      </w:r>
      <w:r>
        <w:rPr>
          <w:rFonts w:hint="eastAsia"/>
        </w:rPr>
        <w:t>hus</w:t>
      </w:r>
      <w:r>
        <w:t xml:space="preserve">, </w:t>
      </w:r>
      <w:r>
        <w:rPr>
          <w:rFonts w:hint="eastAsia"/>
        </w:rPr>
        <w:t>the</w:t>
      </w:r>
      <w:r>
        <w:t xml:space="preserve"> forced discharge test in </w:t>
      </w:r>
      <w:r w:rsidR="00BC2FF1">
        <w:t>both</w:t>
      </w:r>
      <w:r>
        <w:t xml:space="preserve"> standards should also be applicable to sodium-ion batteries</w:t>
      </w:r>
      <w:r>
        <w:rPr>
          <w:rFonts w:hint="eastAsia"/>
        </w:rPr>
        <w:t>.</w:t>
      </w:r>
    </w:p>
    <w:p w14:paraId="751FAED7" w14:textId="77777777" w:rsidR="0031535F" w:rsidRDefault="0031535F" w:rsidP="0031535F">
      <w:pPr>
        <w:pStyle w:val="HChG"/>
      </w:pPr>
      <w:r>
        <w:rPr>
          <w:snapToGrid w:val="0"/>
          <w:lang w:val="en-US"/>
        </w:rPr>
        <w:tab/>
        <w:t>III.</w:t>
      </w:r>
      <w:r>
        <w:rPr>
          <w:snapToGrid w:val="0"/>
          <w:lang w:val="en-US"/>
        </w:rPr>
        <w:tab/>
      </w:r>
      <w:r>
        <w:t>Proposal</w:t>
      </w:r>
    </w:p>
    <w:p w14:paraId="5B8360D2" w14:textId="1D0A37EE" w:rsidR="0031535F" w:rsidRDefault="0031535F" w:rsidP="0031535F">
      <w:pPr>
        <w:pStyle w:val="SingleTxtG"/>
      </w:pPr>
      <w:r>
        <w:rPr>
          <w:rFonts w:hint="eastAsia"/>
        </w:rPr>
        <w:t>6</w:t>
      </w:r>
      <w:r>
        <w:t>.</w:t>
      </w:r>
      <w:r>
        <w:tab/>
      </w:r>
      <w:r>
        <w:rPr>
          <w:lang w:val="en-US"/>
        </w:rPr>
        <w:t>The expert</w:t>
      </w:r>
      <w:r w:rsidR="00F04A1C">
        <w:rPr>
          <w:lang w:val="en-US"/>
        </w:rPr>
        <w:t>s</w:t>
      </w:r>
      <w:r>
        <w:rPr>
          <w:lang w:val="en-US"/>
        </w:rPr>
        <w:t xml:space="preserve"> from China</w:t>
      </w:r>
      <w:r>
        <w:t xml:space="preserve"> propose to split the current </w:t>
      </w:r>
      <w:r w:rsidRPr="00262B44">
        <w:t>38.3.4.8.2</w:t>
      </w:r>
      <w:r>
        <w:t xml:space="preserve"> into two sections for primary and rechargeable cells respectively and to renumber the current 38.3.4.8.3 </w:t>
      </w:r>
      <w:r>
        <w:rPr>
          <w:rFonts w:hint="eastAsia"/>
        </w:rPr>
        <w:t>as</w:t>
      </w:r>
      <w:r>
        <w:t xml:space="preserve"> 38.3.4.8.4 in the </w:t>
      </w:r>
      <w:r>
        <w:rPr>
          <w:rFonts w:hint="eastAsia"/>
          <w:i/>
          <w:iCs/>
        </w:rPr>
        <w:t>Manual of Tests and Criteria</w:t>
      </w:r>
      <w:r>
        <w:rPr>
          <w:b/>
        </w:rPr>
        <w:t xml:space="preserve"> </w:t>
      </w:r>
      <w:r w:rsidRPr="00ED425F">
        <w:t>(</w:t>
      </w:r>
      <w:r w:rsidRPr="008705A5">
        <w:t>deleted text appears in</w:t>
      </w:r>
      <w:r w:rsidRPr="00F27B69">
        <w:t xml:space="preserve"> strikethrough</w:t>
      </w:r>
      <w:r w:rsidRPr="008705A5">
        <w:t xml:space="preserve"> and new text in </w:t>
      </w:r>
      <w:r w:rsidRPr="008705A5">
        <w:rPr>
          <w:b/>
          <w:u w:val="single"/>
        </w:rPr>
        <w:t>bold underlined</w:t>
      </w:r>
      <w:r w:rsidRPr="00ED425F">
        <w:t>)</w:t>
      </w:r>
      <w:r>
        <w:t>:</w:t>
      </w:r>
    </w:p>
    <w:p w14:paraId="5A2635B9" w14:textId="53C3B020" w:rsidR="0031535F" w:rsidRDefault="00F27B69" w:rsidP="0031535F">
      <w:pPr>
        <w:pStyle w:val="SingleTxtG"/>
      </w:pPr>
      <w:r>
        <w:t>“</w:t>
      </w:r>
      <w:r w:rsidR="0031535F">
        <w:t>38.3.4.8.2</w:t>
      </w:r>
      <w:r w:rsidR="0031535F">
        <w:rPr>
          <w:rFonts w:hint="eastAsia"/>
        </w:rPr>
        <w:t xml:space="preserve"> </w:t>
      </w:r>
      <w:r w:rsidR="0031535F" w:rsidRPr="00262B44">
        <w:t>Test procedure</w:t>
      </w:r>
      <w:r w:rsidR="0031535F">
        <w:t xml:space="preserve"> </w:t>
      </w:r>
      <w:r w:rsidR="00021A48">
        <w:rPr>
          <w:b/>
          <w:u w:val="single"/>
        </w:rPr>
        <w:t>for</w:t>
      </w:r>
      <w:r w:rsidR="0031535F" w:rsidRPr="0066494B">
        <w:rPr>
          <w:b/>
          <w:u w:val="single"/>
        </w:rPr>
        <w:t xml:space="preserve"> primary cells</w:t>
      </w:r>
    </w:p>
    <w:p w14:paraId="06E7E775" w14:textId="2C105651" w:rsidR="0031535F" w:rsidRDefault="0031535F" w:rsidP="0031535F">
      <w:pPr>
        <w:pStyle w:val="SingleTxtG"/>
        <w:ind w:firstLineChars="450" w:firstLine="900"/>
      </w:pPr>
      <w:bookmarkStart w:id="1" w:name="OLE_LINK1"/>
      <w:r>
        <w:t xml:space="preserve">Each </w:t>
      </w:r>
      <w:r w:rsidRPr="0066494B">
        <w:rPr>
          <w:b/>
          <w:u w:val="single"/>
        </w:rPr>
        <w:t>primary</w:t>
      </w:r>
      <w:r>
        <w:t xml:space="preserve"> cell shall be forced discharged at ambient temperature</w:t>
      </w:r>
      <w:bookmarkEnd w:id="1"/>
      <w:r>
        <w:t xml:space="preserve"> by connecting it in series with a 12</w:t>
      </w:r>
      <w:r w:rsidR="000A1F29">
        <w:t xml:space="preserve"> </w:t>
      </w:r>
      <w:r>
        <w:t xml:space="preserve">V D.C. power supply at an initial current equal to the maximum discharge current specified by the manufacturer. </w:t>
      </w:r>
    </w:p>
    <w:p w14:paraId="09A7208A" w14:textId="02356B05" w:rsidR="0031535F" w:rsidRDefault="0031535F" w:rsidP="0031535F">
      <w:pPr>
        <w:pStyle w:val="SingleTxtG"/>
        <w:ind w:firstLineChars="450" w:firstLine="900"/>
      </w:pPr>
      <w:r>
        <w:t>The specified discharge current is to be obtained by connecting a resistive load of the appropriate size and rating in series with the test cell. Each cell shall be forced discharged for a time interval (in hours) equal to its rated capacity divided by the initial test current (in ampere</w:t>
      </w:r>
      <w:r>
        <w:rPr>
          <w:rFonts w:hint="eastAsia"/>
        </w:rPr>
        <w:t>).</w:t>
      </w:r>
    </w:p>
    <w:p w14:paraId="6B9807FA" w14:textId="15994A5C" w:rsidR="0031535F" w:rsidRPr="00612C64" w:rsidRDefault="0031535F" w:rsidP="0031535F">
      <w:pPr>
        <w:pStyle w:val="SingleTxtG"/>
        <w:rPr>
          <w:b/>
          <w:u w:val="single"/>
        </w:rPr>
      </w:pPr>
      <w:r w:rsidRPr="0066494B">
        <w:rPr>
          <w:b/>
          <w:u w:val="single"/>
        </w:rPr>
        <w:t>38.3.4.8.</w:t>
      </w:r>
      <w:r>
        <w:rPr>
          <w:b/>
          <w:u w:val="single"/>
        </w:rPr>
        <w:t>3</w:t>
      </w:r>
      <w:r w:rsidRPr="0066494B">
        <w:rPr>
          <w:b/>
          <w:u w:val="single"/>
        </w:rPr>
        <w:t xml:space="preserve"> Test procedure </w:t>
      </w:r>
      <w:r w:rsidR="00021A48">
        <w:rPr>
          <w:b/>
          <w:u w:val="single"/>
        </w:rPr>
        <w:t>for</w:t>
      </w:r>
      <w:r w:rsidRPr="00612C64">
        <w:rPr>
          <w:b/>
          <w:u w:val="single"/>
        </w:rPr>
        <w:t xml:space="preserve"> rechargeable cells</w:t>
      </w:r>
    </w:p>
    <w:p w14:paraId="4276E45A" w14:textId="6BAA2CB7" w:rsidR="0031535F" w:rsidRDefault="0031535F" w:rsidP="0031535F">
      <w:pPr>
        <w:pStyle w:val="SingleTxtG"/>
        <w:ind w:firstLineChars="450" w:firstLine="904"/>
        <w:rPr>
          <w:b/>
          <w:u w:val="single"/>
        </w:rPr>
      </w:pPr>
      <w:r w:rsidRPr="0066494B">
        <w:rPr>
          <w:b/>
          <w:u w:val="single"/>
        </w:rPr>
        <w:t xml:space="preserve">Each rechargeable cell shall be forced discharged at ambient temperature. </w:t>
      </w:r>
      <w:r w:rsidR="00CA22D3" w:rsidRPr="00CA22D3">
        <w:rPr>
          <w:b/>
          <w:u w:val="single"/>
        </w:rPr>
        <w:t>The discharged cell is then subjected to a forced discharge with a current equal to the reference test current and with a voltage not exceeding the negative value of the upper limit charging voltage. The reference test current (in amperes) is equal to the rated capacity (in ampere-hours) divided by 1 hour.</w:t>
      </w:r>
      <w:r w:rsidRPr="0066494B">
        <w:rPr>
          <w:b/>
          <w:u w:val="single"/>
        </w:rPr>
        <w:t xml:space="preserve"> The total duration </w:t>
      </w:r>
      <w:r w:rsidR="00772624">
        <w:rPr>
          <w:b/>
          <w:u w:val="single"/>
        </w:rPr>
        <w:t>of</w:t>
      </w:r>
      <w:r w:rsidRPr="0066494B">
        <w:rPr>
          <w:b/>
          <w:u w:val="single"/>
        </w:rPr>
        <w:t xml:space="preserve"> the forced discharge testing is 90 min</w:t>
      </w:r>
      <w:r w:rsidR="000066A2">
        <w:rPr>
          <w:b/>
          <w:u w:val="single"/>
        </w:rPr>
        <w:t>utes</w:t>
      </w:r>
      <w:r w:rsidRPr="0066494B">
        <w:rPr>
          <w:b/>
          <w:u w:val="single"/>
        </w:rPr>
        <w:t>.</w:t>
      </w:r>
    </w:p>
    <w:p w14:paraId="66232523" w14:textId="46411ADB" w:rsidR="0031535F" w:rsidRDefault="0031535F" w:rsidP="0031535F">
      <w:pPr>
        <w:pStyle w:val="SingleTxtG"/>
        <w:ind w:firstLineChars="450" w:firstLine="904"/>
        <w:rPr>
          <w:b/>
          <w:u w:val="single"/>
        </w:rPr>
      </w:pPr>
      <w:r w:rsidRPr="0066494B">
        <w:rPr>
          <w:b/>
          <w:u w:val="single"/>
        </w:rPr>
        <w:t>If the discharge voltage reaches the negative value of upper limit charging voltage within the testing duration, the voltage shall be maintained at the negative value of the upper limit charging voltage by reducing the current for the remainder of the testing duration. If the discharge voltage does not reach the negative value of</w:t>
      </w:r>
      <w:r w:rsidR="00016A3D">
        <w:rPr>
          <w:b/>
          <w:u w:val="single"/>
        </w:rPr>
        <w:t xml:space="preserve"> the</w:t>
      </w:r>
      <w:r w:rsidRPr="0066494B">
        <w:rPr>
          <w:b/>
          <w:u w:val="single"/>
        </w:rPr>
        <w:t xml:space="preserve"> upper limit charging voltage within the testing duration, the test shall be terminated at the end of the testing duration.</w:t>
      </w:r>
    </w:p>
    <w:p w14:paraId="6D54A4C0" w14:textId="77777777" w:rsidR="0031535F" w:rsidRPr="0066494B" w:rsidRDefault="0031535F" w:rsidP="0031535F">
      <w:pPr>
        <w:pStyle w:val="SingleTxtG"/>
      </w:pPr>
      <w:r w:rsidRPr="0066494B">
        <w:t>38.3.4.8.</w:t>
      </w:r>
      <w:r w:rsidRPr="0066494B">
        <w:rPr>
          <w:strike/>
        </w:rPr>
        <w:t>3</w:t>
      </w:r>
      <w:r w:rsidRPr="0066494B">
        <w:rPr>
          <w:b/>
          <w:u w:val="single"/>
        </w:rPr>
        <w:t>4</w:t>
      </w:r>
      <w:r w:rsidRPr="0066494B">
        <w:t xml:space="preserve"> Requirement</w:t>
      </w:r>
    </w:p>
    <w:p w14:paraId="63414F50" w14:textId="27EF6405" w:rsidR="0031535F" w:rsidRDefault="0031535F" w:rsidP="0031535F">
      <w:pPr>
        <w:pStyle w:val="SingleTxtG"/>
        <w:ind w:firstLineChars="450" w:firstLine="900"/>
      </w:pPr>
      <w:r w:rsidRPr="0066494B">
        <w:t>Primary or rechargeable cells meet this requirement if there is no disassembly and no fire during the test and within seven days after the test.</w:t>
      </w:r>
      <w:r w:rsidR="00F27B69">
        <w:t>”</w:t>
      </w:r>
    </w:p>
    <w:p w14:paraId="4CCA12BA" w14:textId="2C41967E" w:rsidR="00AF5DE1" w:rsidRPr="000D2854" w:rsidRDefault="000D2854" w:rsidP="000D2854">
      <w:pPr>
        <w:spacing w:before="240"/>
        <w:jc w:val="center"/>
        <w:rPr>
          <w:u w:val="single"/>
        </w:rPr>
      </w:pPr>
      <w:r>
        <w:rPr>
          <w:u w:val="single"/>
        </w:rPr>
        <w:tab/>
      </w:r>
      <w:r>
        <w:rPr>
          <w:u w:val="single"/>
        </w:rPr>
        <w:tab/>
      </w:r>
      <w:r>
        <w:rPr>
          <w:u w:val="single"/>
        </w:rPr>
        <w:tab/>
      </w:r>
    </w:p>
    <w:sectPr w:rsidR="00AF5DE1" w:rsidRPr="000D2854" w:rsidSect="002C382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FC8F" w14:textId="77777777" w:rsidR="00C94470" w:rsidRPr="00C47B2E" w:rsidRDefault="00C94470" w:rsidP="00C47B2E">
      <w:pPr>
        <w:pStyle w:val="Footer"/>
      </w:pPr>
    </w:p>
  </w:endnote>
  <w:endnote w:type="continuationSeparator" w:id="0">
    <w:p w14:paraId="4F8EDD35" w14:textId="77777777" w:rsidR="00C94470" w:rsidRPr="00C47B2E" w:rsidRDefault="00C94470" w:rsidP="00C47B2E">
      <w:pPr>
        <w:pStyle w:val="Footer"/>
      </w:pPr>
    </w:p>
  </w:endnote>
  <w:endnote w:type="continuationNotice" w:id="1">
    <w:p w14:paraId="595FC20C" w14:textId="77777777" w:rsidR="00C94470" w:rsidRPr="00C47B2E" w:rsidRDefault="00C9447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C5B6" w14:textId="5FA24BA0" w:rsidR="00D94B05" w:rsidRPr="002C3824" w:rsidRDefault="002C3824" w:rsidP="00D85308">
    <w:pPr>
      <w:pStyle w:val="Footer"/>
      <w:tabs>
        <w:tab w:val="right" w:pos="9639"/>
      </w:tabs>
      <w:rPr>
        <w:sz w:val="18"/>
      </w:rPr>
    </w:pPr>
    <w:r w:rsidRPr="002C3824">
      <w:rPr>
        <w:b/>
        <w:sz w:val="18"/>
      </w:rPr>
      <w:fldChar w:fldCharType="begin"/>
    </w:r>
    <w:r w:rsidRPr="002C3824">
      <w:rPr>
        <w:b/>
        <w:sz w:val="18"/>
      </w:rPr>
      <w:instrText xml:space="preserve"> PAGE  \* MERGEFORMAT </w:instrText>
    </w:r>
    <w:r w:rsidRPr="002C3824">
      <w:rPr>
        <w:b/>
        <w:sz w:val="18"/>
      </w:rPr>
      <w:fldChar w:fldCharType="separate"/>
    </w:r>
    <w:r w:rsidRPr="002C3824">
      <w:rPr>
        <w:b/>
        <w:noProof/>
        <w:sz w:val="18"/>
      </w:rPr>
      <w:t>2</w:t>
    </w:r>
    <w:r w:rsidRPr="002C382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27CE" w14:textId="21678106" w:rsidR="00D94B05" w:rsidRPr="002C3824" w:rsidRDefault="002C3824" w:rsidP="00D85308">
    <w:pPr>
      <w:pStyle w:val="Footer"/>
      <w:tabs>
        <w:tab w:val="right" w:pos="9639"/>
      </w:tabs>
      <w:rPr>
        <w:b/>
        <w:bCs/>
        <w:sz w:val="18"/>
      </w:rPr>
    </w:pPr>
    <w:r>
      <w:rPr>
        <w:bCs/>
        <w:sz w:val="18"/>
      </w:rPr>
      <w:tab/>
    </w:r>
    <w:r w:rsidRPr="002C3824">
      <w:rPr>
        <w:b/>
        <w:bCs/>
        <w:sz w:val="18"/>
      </w:rPr>
      <w:fldChar w:fldCharType="begin"/>
    </w:r>
    <w:r w:rsidRPr="002C3824">
      <w:rPr>
        <w:b/>
        <w:bCs/>
        <w:sz w:val="18"/>
      </w:rPr>
      <w:instrText xml:space="preserve"> PAGE  \* MERGEFORMAT </w:instrText>
    </w:r>
    <w:r w:rsidRPr="002C3824">
      <w:rPr>
        <w:b/>
        <w:bCs/>
        <w:sz w:val="18"/>
      </w:rPr>
      <w:fldChar w:fldCharType="separate"/>
    </w:r>
    <w:r w:rsidRPr="002C3824">
      <w:rPr>
        <w:b/>
        <w:bCs/>
        <w:noProof/>
        <w:sz w:val="18"/>
      </w:rPr>
      <w:t>3</w:t>
    </w:r>
    <w:r w:rsidRPr="002C382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99D1" w14:textId="69489D46" w:rsidR="00E4757B" w:rsidRDefault="00E4757B" w:rsidP="00E4757B">
    <w:pPr>
      <w:pStyle w:val="Footer"/>
    </w:pPr>
    <w:r w:rsidRPr="0027112F">
      <w:rPr>
        <w:noProof/>
        <w:lang w:val="en-US"/>
      </w:rPr>
      <w:drawing>
        <wp:anchor distT="0" distB="0" distL="114300" distR="114300" simplePos="0" relativeHeight="251659264" behindDoc="0" locked="1" layoutInCell="1" allowOverlap="1" wp14:anchorId="21C67F37" wp14:editId="570B335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3F68B0" w14:textId="26931208" w:rsidR="00E4757B" w:rsidRPr="00E4757B" w:rsidRDefault="00E4757B" w:rsidP="00E4757B">
    <w:pPr>
      <w:pStyle w:val="Footer"/>
      <w:ind w:right="1134"/>
      <w:rPr>
        <w:sz w:val="20"/>
      </w:rPr>
    </w:pPr>
    <w:r>
      <w:rPr>
        <w:sz w:val="20"/>
      </w:rPr>
      <w:t>GE.24-</w:t>
    </w:r>
    <w:proofErr w:type="gramStart"/>
    <w:r>
      <w:rPr>
        <w:sz w:val="20"/>
      </w:rPr>
      <w:t>06712  (</w:t>
    </w:r>
    <w:proofErr w:type="gramEnd"/>
    <w:r>
      <w:rPr>
        <w:sz w:val="20"/>
      </w:rPr>
      <w:t>E)</w:t>
    </w:r>
    <w:r>
      <w:rPr>
        <w:noProof/>
        <w:sz w:val="20"/>
      </w:rPr>
      <w:drawing>
        <wp:anchor distT="0" distB="0" distL="114300" distR="114300" simplePos="0" relativeHeight="251660288" behindDoc="0" locked="0" layoutInCell="1" allowOverlap="1" wp14:anchorId="02742EB7" wp14:editId="74BD01E6">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9147" w14:textId="77777777" w:rsidR="00C94470" w:rsidRPr="00C47B2E" w:rsidRDefault="00C94470" w:rsidP="00C47B2E">
      <w:pPr>
        <w:tabs>
          <w:tab w:val="right" w:pos="2155"/>
        </w:tabs>
        <w:spacing w:after="80" w:line="240" w:lineRule="auto"/>
        <w:ind w:left="680"/>
      </w:pPr>
      <w:r>
        <w:rPr>
          <w:u w:val="single"/>
        </w:rPr>
        <w:tab/>
      </w:r>
    </w:p>
  </w:footnote>
  <w:footnote w:type="continuationSeparator" w:id="0">
    <w:p w14:paraId="281D5460" w14:textId="77777777" w:rsidR="00C94470" w:rsidRPr="00C47B2E" w:rsidRDefault="00C94470" w:rsidP="005E716E">
      <w:pPr>
        <w:tabs>
          <w:tab w:val="right" w:pos="2155"/>
        </w:tabs>
        <w:spacing w:after="80" w:line="240" w:lineRule="auto"/>
        <w:ind w:left="680"/>
      </w:pPr>
      <w:r>
        <w:rPr>
          <w:u w:val="single"/>
        </w:rPr>
        <w:tab/>
      </w:r>
    </w:p>
  </w:footnote>
  <w:footnote w:type="continuationNotice" w:id="1">
    <w:p w14:paraId="4CF81815" w14:textId="77777777" w:rsidR="00C94470" w:rsidRPr="00C47B2E" w:rsidRDefault="00C94470" w:rsidP="00C47B2E">
      <w:pPr>
        <w:pStyle w:val="Footer"/>
      </w:pPr>
    </w:p>
  </w:footnote>
  <w:footnote w:id="2">
    <w:p w14:paraId="3F88B724" w14:textId="218431FA" w:rsidR="00A9493F" w:rsidRPr="00A9493F" w:rsidRDefault="00A9493F">
      <w:pPr>
        <w:pStyle w:val="FootnoteText"/>
        <w:rPr>
          <w:lang w:val="fr-CH"/>
        </w:rPr>
      </w:pPr>
      <w:r>
        <w:rPr>
          <w:rStyle w:val="FootnoteReference"/>
        </w:rPr>
        <w:tab/>
      </w:r>
      <w:r w:rsidRPr="00A9493F">
        <w:rPr>
          <w:rStyle w:val="FootnoteReference"/>
          <w:sz w:val="20"/>
          <w:vertAlign w:val="baseline"/>
        </w:rPr>
        <w:t>*</w:t>
      </w:r>
      <w:r>
        <w:rPr>
          <w:rStyle w:val="FootnoteReference"/>
          <w:sz w:val="20"/>
          <w:vertAlign w:val="baseline"/>
        </w:rPr>
        <w:tab/>
      </w:r>
      <w:r>
        <w:t>A/78/6 (Sect. 20), table 20.5.</w:t>
      </w:r>
    </w:p>
  </w:footnote>
  <w:footnote w:id="3">
    <w:p w14:paraId="5B8C89C0" w14:textId="3131A8E5" w:rsidR="0031535F" w:rsidRDefault="006D545E" w:rsidP="006D545E">
      <w:pPr>
        <w:pStyle w:val="FootnoteText"/>
      </w:pPr>
      <w:r>
        <w:tab/>
      </w:r>
      <w:r w:rsidR="0031535F">
        <w:rPr>
          <w:rStyle w:val="FootnoteReference"/>
        </w:rPr>
        <w:footnoteRef/>
      </w:r>
      <w:r w:rsidR="00267353">
        <w:tab/>
      </w:r>
      <w:r w:rsidR="0031535F" w:rsidRPr="00267353">
        <w:t>IEC 62133-2</w:t>
      </w:r>
      <w:r w:rsidR="0031535F" w:rsidRPr="00267353">
        <w:rPr>
          <w:rFonts w:hint="eastAsia"/>
        </w:rPr>
        <w:t xml:space="preserve"> </w:t>
      </w:r>
      <w:r w:rsidR="0031535F" w:rsidRPr="00267353">
        <w:t>Secondary cells and batteries containing alkaline or other non-acid electrolytes</w:t>
      </w:r>
      <w:r w:rsidR="0031535F" w:rsidRPr="00267353">
        <w:rPr>
          <w:rFonts w:hint="eastAsia"/>
        </w:rPr>
        <w:t>–</w:t>
      </w:r>
      <w:r w:rsidR="0031535F" w:rsidRPr="00267353">
        <w:t>Safety requirements for portable sealed secondary cells, and for batteries made from them, for use in portable applications – Part 2: Lithium systems</w:t>
      </w:r>
      <w:r w:rsidR="0031535F" w:rsidRPr="00267353">
        <w:rPr>
          <w:rFonts w:hint="eastAsia"/>
        </w:rPr>
        <w:t xml:space="preserve"> </w:t>
      </w:r>
      <w:r w:rsidR="0031535F" w:rsidRPr="00267353">
        <w:t>7.3.7 Forced discharge (cells)</w:t>
      </w:r>
      <w:r w:rsidR="002D5766">
        <w:t>.</w:t>
      </w:r>
    </w:p>
  </w:footnote>
  <w:footnote w:id="4">
    <w:p w14:paraId="398D74D9" w14:textId="59292325" w:rsidR="0031535F" w:rsidRPr="008C5AFB" w:rsidRDefault="006D545E" w:rsidP="006D545E">
      <w:pPr>
        <w:pStyle w:val="FootnoteText"/>
      </w:pPr>
      <w:r>
        <w:tab/>
      </w:r>
      <w:r w:rsidR="0031535F">
        <w:rPr>
          <w:rStyle w:val="FootnoteReference"/>
        </w:rPr>
        <w:footnoteRef/>
      </w:r>
      <w:r w:rsidR="0031535F" w:rsidRPr="008C5AFB">
        <w:tab/>
        <w:t>IEC 62660-2 Secondary lithium-ion cells for the propulsion of electric road vehicles –Part 2: Reliability and abuse testing 6.4.3 Forced Discharge</w:t>
      </w:r>
      <w:r w:rsidR="002D576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48B0" w14:textId="487DB65B" w:rsidR="002C3824" w:rsidRPr="002C3824" w:rsidRDefault="00E4757B">
    <w:pPr>
      <w:pStyle w:val="Header"/>
    </w:pPr>
    <w:r>
      <w:fldChar w:fldCharType="begin"/>
    </w:r>
    <w:r>
      <w:instrText xml:space="preserve"> TITLE  \* MERGEFORMAT </w:instrText>
    </w:r>
    <w:r>
      <w:fldChar w:fldCharType="separate"/>
    </w:r>
    <w:r w:rsidR="002C3824">
      <w:t>ST/SG/AC.10/C.3/2024/40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24B3" w14:textId="05C83456" w:rsidR="00D94B05" w:rsidRPr="002C3824" w:rsidRDefault="00E4757B" w:rsidP="002C3824">
    <w:pPr>
      <w:pStyle w:val="Header"/>
      <w:jc w:val="right"/>
    </w:pPr>
    <w:r>
      <w:fldChar w:fldCharType="begin"/>
    </w:r>
    <w:r>
      <w:instrText xml:space="preserve"> TITLE  \* MERGEFORMAT </w:instrText>
    </w:r>
    <w:r>
      <w:fldChar w:fldCharType="separate"/>
    </w:r>
    <w:r w:rsidR="002C3824">
      <w:t>ST/SG/AC.10/C.3/2024/40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24"/>
    <w:rsid w:val="000066A2"/>
    <w:rsid w:val="00016A3D"/>
    <w:rsid w:val="00021A48"/>
    <w:rsid w:val="00030F19"/>
    <w:rsid w:val="00046E92"/>
    <w:rsid w:val="00063C90"/>
    <w:rsid w:val="00070000"/>
    <w:rsid w:val="00091CA5"/>
    <w:rsid w:val="000A1F29"/>
    <w:rsid w:val="000D2854"/>
    <w:rsid w:val="000D52D6"/>
    <w:rsid w:val="000D5679"/>
    <w:rsid w:val="00101B98"/>
    <w:rsid w:val="0013216E"/>
    <w:rsid w:val="001514D1"/>
    <w:rsid w:val="00173CD6"/>
    <w:rsid w:val="00175B4D"/>
    <w:rsid w:val="002240CE"/>
    <w:rsid w:val="00247E2C"/>
    <w:rsid w:val="00267353"/>
    <w:rsid w:val="002A32CB"/>
    <w:rsid w:val="002C1429"/>
    <w:rsid w:val="002C3824"/>
    <w:rsid w:val="002D3057"/>
    <w:rsid w:val="002D5766"/>
    <w:rsid w:val="002D5B2C"/>
    <w:rsid w:val="002D6C53"/>
    <w:rsid w:val="002F0CA8"/>
    <w:rsid w:val="002F5595"/>
    <w:rsid w:val="0031535F"/>
    <w:rsid w:val="00316403"/>
    <w:rsid w:val="00334F6A"/>
    <w:rsid w:val="00342AC8"/>
    <w:rsid w:val="00343302"/>
    <w:rsid w:val="003979DE"/>
    <w:rsid w:val="003A46D1"/>
    <w:rsid w:val="003B1248"/>
    <w:rsid w:val="003B4550"/>
    <w:rsid w:val="003D2A18"/>
    <w:rsid w:val="003D5EFD"/>
    <w:rsid w:val="003E31B5"/>
    <w:rsid w:val="00413386"/>
    <w:rsid w:val="004240EB"/>
    <w:rsid w:val="0042561F"/>
    <w:rsid w:val="00437BD9"/>
    <w:rsid w:val="00461253"/>
    <w:rsid w:val="004858F5"/>
    <w:rsid w:val="004950DC"/>
    <w:rsid w:val="004A2814"/>
    <w:rsid w:val="004B1C12"/>
    <w:rsid w:val="004C0622"/>
    <w:rsid w:val="004F73D0"/>
    <w:rsid w:val="005042C2"/>
    <w:rsid w:val="005458E0"/>
    <w:rsid w:val="005765A6"/>
    <w:rsid w:val="005E716E"/>
    <w:rsid w:val="005F3AD1"/>
    <w:rsid w:val="00617232"/>
    <w:rsid w:val="00645B94"/>
    <w:rsid w:val="006476E1"/>
    <w:rsid w:val="006604DF"/>
    <w:rsid w:val="00670876"/>
    <w:rsid w:val="00671529"/>
    <w:rsid w:val="006928E8"/>
    <w:rsid w:val="006D545E"/>
    <w:rsid w:val="006E6768"/>
    <w:rsid w:val="006F1EF5"/>
    <w:rsid w:val="0070489D"/>
    <w:rsid w:val="00717A93"/>
    <w:rsid w:val="007200A1"/>
    <w:rsid w:val="007268F9"/>
    <w:rsid w:val="00750282"/>
    <w:rsid w:val="00764440"/>
    <w:rsid w:val="0077101B"/>
    <w:rsid w:val="00772624"/>
    <w:rsid w:val="007A5892"/>
    <w:rsid w:val="007C52B0"/>
    <w:rsid w:val="007C6033"/>
    <w:rsid w:val="008147C8"/>
    <w:rsid w:val="0081753A"/>
    <w:rsid w:val="00830B8B"/>
    <w:rsid w:val="00857D23"/>
    <w:rsid w:val="009411B4"/>
    <w:rsid w:val="00946F1D"/>
    <w:rsid w:val="009A0A7F"/>
    <w:rsid w:val="009C6D37"/>
    <w:rsid w:val="009D0139"/>
    <w:rsid w:val="009D1EB9"/>
    <w:rsid w:val="009D717D"/>
    <w:rsid w:val="009E3640"/>
    <w:rsid w:val="009F5CDC"/>
    <w:rsid w:val="00A072D7"/>
    <w:rsid w:val="00A462D6"/>
    <w:rsid w:val="00A657F3"/>
    <w:rsid w:val="00A775CF"/>
    <w:rsid w:val="00A9493F"/>
    <w:rsid w:val="00AC4031"/>
    <w:rsid w:val="00AD1A9C"/>
    <w:rsid w:val="00AF5DE1"/>
    <w:rsid w:val="00B039D1"/>
    <w:rsid w:val="00B06045"/>
    <w:rsid w:val="00B15F7E"/>
    <w:rsid w:val="00B206DD"/>
    <w:rsid w:val="00B26FBD"/>
    <w:rsid w:val="00B52EF4"/>
    <w:rsid w:val="00B74584"/>
    <w:rsid w:val="00B777AD"/>
    <w:rsid w:val="00BA2C5D"/>
    <w:rsid w:val="00BC2FF1"/>
    <w:rsid w:val="00BD5A65"/>
    <w:rsid w:val="00C03015"/>
    <w:rsid w:val="00C0358D"/>
    <w:rsid w:val="00C35A27"/>
    <w:rsid w:val="00C47B2E"/>
    <w:rsid w:val="00C94470"/>
    <w:rsid w:val="00CA22D3"/>
    <w:rsid w:val="00CE767A"/>
    <w:rsid w:val="00D032C7"/>
    <w:rsid w:val="00D63CD2"/>
    <w:rsid w:val="00D76698"/>
    <w:rsid w:val="00D85308"/>
    <w:rsid w:val="00D87DC2"/>
    <w:rsid w:val="00D93887"/>
    <w:rsid w:val="00D94B05"/>
    <w:rsid w:val="00DC7379"/>
    <w:rsid w:val="00DE5AD0"/>
    <w:rsid w:val="00DF12C6"/>
    <w:rsid w:val="00E02C2B"/>
    <w:rsid w:val="00E21C27"/>
    <w:rsid w:val="00E26BCF"/>
    <w:rsid w:val="00E306F3"/>
    <w:rsid w:val="00E4757B"/>
    <w:rsid w:val="00E52109"/>
    <w:rsid w:val="00E75317"/>
    <w:rsid w:val="00E76CFA"/>
    <w:rsid w:val="00EC0CE6"/>
    <w:rsid w:val="00EC7C1D"/>
    <w:rsid w:val="00ED6C48"/>
    <w:rsid w:val="00EE3045"/>
    <w:rsid w:val="00F04A1C"/>
    <w:rsid w:val="00F25361"/>
    <w:rsid w:val="00F26186"/>
    <w:rsid w:val="00F27B69"/>
    <w:rsid w:val="00F65F5D"/>
    <w:rsid w:val="00F86A3A"/>
    <w:rsid w:val="00FA42DA"/>
    <w:rsid w:val="00FE2AC5"/>
    <w:rsid w:val="00FF666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10E3"/>
  <w15:docId w15:val="{2BD07125-01EA-41F3-9DE2-05E40B4D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qForma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9D1EB9"/>
    <w:rPr>
      <w:b/>
      <w:sz w:val="28"/>
    </w:rPr>
  </w:style>
  <w:style w:type="character" w:customStyle="1" w:styleId="H1GChar">
    <w:name w:val="_ H_1_G Char"/>
    <w:link w:val="H1G"/>
    <w:locked/>
    <w:rsid w:val="009D1EB9"/>
    <w:rPr>
      <w:b/>
      <w:sz w:val="24"/>
    </w:rPr>
  </w:style>
  <w:style w:type="character" w:customStyle="1" w:styleId="SingleTxtGChar">
    <w:name w:val="_ Single Txt_G Char"/>
    <w:basedOn w:val="DefaultParagraphFont"/>
    <w:link w:val="SingleTxtG"/>
    <w:autoRedefine/>
    <w:qFormat/>
    <w:rsid w:val="0031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5799786">
      <w:bodyDiv w:val="1"/>
      <w:marLeft w:val="0"/>
      <w:marRight w:val="0"/>
      <w:marTop w:val="0"/>
      <w:marBottom w:val="0"/>
      <w:divBdr>
        <w:top w:val="none" w:sz="0" w:space="0" w:color="auto"/>
        <w:left w:val="none" w:sz="0" w:space="0" w:color="auto"/>
        <w:bottom w:val="none" w:sz="0" w:space="0" w:color="auto"/>
        <w:right w:val="none" w:sz="0" w:space="0" w:color="auto"/>
      </w:divBdr>
    </w:div>
    <w:div w:id="16542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rran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Alicia Dorca Garcia</DisplayName>
        <AccountId>1313</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D85F7BDB-3AD8-4E26-96D2-FDF5207C0984}"/>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726</Words>
  <Characters>3966</Characters>
  <Application>Microsoft Office Word</Application>
  <DocSecurity>0</DocSecurity>
  <Lines>80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ST/SG/AC.10/C.3/2024/40</dc:title>
  <dc:subject>2406712</dc:subject>
  <dc:creator>Editorial</dc:creator>
  <cp:keywords/>
  <dc:description/>
  <cp:lastModifiedBy>Pauline Anne Escalante</cp:lastModifiedBy>
  <cp:revision>2</cp:revision>
  <dcterms:created xsi:type="dcterms:W3CDTF">2024-04-12T14:27:00Z</dcterms:created>
  <dcterms:modified xsi:type="dcterms:W3CDTF">2024-04-12T14:27:00Z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