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70127C70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3A62A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DA7066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16DC6A" w14:textId="6F0792BB" w:rsidR="0091568B" w:rsidRDefault="0091568B" w:rsidP="0091568B">
            <w:pPr>
              <w:jc w:val="right"/>
            </w:pPr>
            <w:r w:rsidRPr="0091568B">
              <w:rPr>
                <w:sz w:val="40"/>
              </w:rPr>
              <w:t>ST</w:t>
            </w:r>
            <w:r>
              <w:t>/SG/AC.10/C.3/2024/25−</w:t>
            </w:r>
            <w:r w:rsidRPr="0091568B">
              <w:rPr>
                <w:sz w:val="40"/>
              </w:rPr>
              <w:t>ST</w:t>
            </w:r>
            <w:r>
              <w:t>/SG/AC.10/C.4/2024/6</w:t>
            </w:r>
          </w:p>
        </w:tc>
      </w:tr>
      <w:tr w:rsidR="00E52109" w14:paraId="04BE9021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03CBBCB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B2DCE4B" wp14:editId="575008A8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4FD0BD4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AA2B8D1" w14:textId="77777777" w:rsidR="00D94B05" w:rsidRDefault="0091568B" w:rsidP="0091568B">
            <w:pPr>
              <w:spacing w:before="240" w:line="240" w:lineRule="exact"/>
            </w:pPr>
            <w:r>
              <w:t>Distr.: General</w:t>
            </w:r>
          </w:p>
          <w:p w14:paraId="3896AD90" w14:textId="08EEB34A" w:rsidR="0091568B" w:rsidRDefault="008D518D" w:rsidP="0091568B">
            <w:pPr>
              <w:spacing w:line="240" w:lineRule="exact"/>
            </w:pPr>
            <w:r>
              <w:t>5</w:t>
            </w:r>
            <w:r w:rsidR="0091568B" w:rsidRPr="008D518D">
              <w:t xml:space="preserve"> </w:t>
            </w:r>
            <w:r w:rsidR="00D668A3" w:rsidRPr="008D518D">
              <w:t>April</w:t>
            </w:r>
            <w:r w:rsidR="0091568B" w:rsidRPr="008D518D">
              <w:t xml:space="preserve"> 2024</w:t>
            </w:r>
          </w:p>
          <w:p w14:paraId="526B0F47" w14:textId="77777777" w:rsidR="0091568B" w:rsidRDefault="0091568B" w:rsidP="0091568B">
            <w:pPr>
              <w:spacing w:line="240" w:lineRule="exact"/>
            </w:pPr>
          </w:p>
          <w:p w14:paraId="7ABB7684" w14:textId="7035FECA" w:rsidR="0091568B" w:rsidRDefault="0091568B" w:rsidP="0091568B">
            <w:pPr>
              <w:spacing w:line="240" w:lineRule="exact"/>
            </w:pPr>
            <w:r>
              <w:t>Original: English</w:t>
            </w:r>
          </w:p>
        </w:tc>
      </w:tr>
    </w:tbl>
    <w:p w14:paraId="06BEA102" w14:textId="77777777" w:rsidR="0091568B" w:rsidRPr="006500BA" w:rsidRDefault="0091568B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91568B" w:rsidRPr="00302456" w14:paraId="4878E069" w14:textId="77777777" w:rsidTr="007B5AE2">
        <w:tc>
          <w:tcPr>
            <w:tcW w:w="4593" w:type="dxa"/>
            <w:shd w:val="clear" w:color="auto" w:fill="auto"/>
          </w:tcPr>
          <w:p w14:paraId="5A33885E" w14:textId="77777777" w:rsidR="0091568B" w:rsidRPr="00302456" w:rsidRDefault="0091568B" w:rsidP="00846F7F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Transport </w:t>
            </w:r>
            <w:r w:rsidRPr="00302456">
              <w:rPr>
                <w:b/>
              </w:rPr>
              <w:br/>
              <w:t xml:space="preserve">of Dangerous Goods </w:t>
            </w:r>
          </w:p>
        </w:tc>
        <w:tc>
          <w:tcPr>
            <w:tcW w:w="5046" w:type="dxa"/>
            <w:shd w:val="clear" w:color="auto" w:fill="auto"/>
          </w:tcPr>
          <w:p w14:paraId="0603524C" w14:textId="77777777" w:rsidR="0091568B" w:rsidRPr="00302456" w:rsidRDefault="0091568B" w:rsidP="00846F7F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91568B" w:rsidRPr="00F95A89" w14:paraId="1FD5FF35" w14:textId="77777777" w:rsidTr="007B5AE2">
        <w:tc>
          <w:tcPr>
            <w:tcW w:w="4593" w:type="dxa"/>
            <w:shd w:val="clear" w:color="auto" w:fill="auto"/>
          </w:tcPr>
          <w:p w14:paraId="6045FBD4" w14:textId="68445DF8" w:rsidR="0091568B" w:rsidRPr="00C92392" w:rsidRDefault="00C84F36" w:rsidP="00846F7F">
            <w:pPr>
              <w:spacing w:before="120"/>
              <w:rPr>
                <w:b/>
              </w:rPr>
            </w:pPr>
            <w:r w:rsidRPr="00C92392">
              <w:rPr>
                <w:b/>
              </w:rPr>
              <w:t>Sixty-fourth session</w:t>
            </w:r>
          </w:p>
        </w:tc>
        <w:tc>
          <w:tcPr>
            <w:tcW w:w="5046" w:type="dxa"/>
            <w:shd w:val="clear" w:color="auto" w:fill="auto"/>
          </w:tcPr>
          <w:p w14:paraId="77DACC21" w14:textId="6DB2169D" w:rsidR="0091568B" w:rsidRPr="00C92392" w:rsidRDefault="00C62D98" w:rsidP="00846F7F">
            <w:pPr>
              <w:spacing w:before="120"/>
              <w:rPr>
                <w:b/>
              </w:rPr>
            </w:pPr>
            <w:r w:rsidRPr="00C92392">
              <w:rPr>
                <w:b/>
              </w:rPr>
              <w:t>Forty-sixth</w:t>
            </w:r>
            <w:r w:rsidR="0091568B" w:rsidRPr="00C92392">
              <w:rPr>
                <w:b/>
              </w:rPr>
              <w:t xml:space="preserve"> session</w:t>
            </w:r>
          </w:p>
        </w:tc>
      </w:tr>
      <w:tr w:rsidR="007B5AE2" w:rsidRPr="00F95A89" w14:paraId="097C8C0C" w14:textId="77777777" w:rsidTr="007B5AE2">
        <w:tc>
          <w:tcPr>
            <w:tcW w:w="4593" w:type="dxa"/>
            <w:shd w:val="clear" w:color="auto" w:fill="auto"/>
          </w:tcPr>
          <w:p w14:paraId="6FAC5969" w14:textId="79A2F9D0" w:rsidR="007B5AE2" w:rsidRPr="00C92392" w:rsidRDefault="007B5AE2" w:rsidP="007B5AE2">
            <w:pPr>
              <w:rPr>
                <w:b/>
              </w:rPr>
            </w:pPr>
            <w:r w:rsidRPr="00C92392">
              <w:t xml:space="preserve">Geneva, 24 June-3 July 2024 </w:t>
            </w:r>
          </w:p>
        </w:tc>
        <w:tc>
          <w:tcPr>
            <w:tcW w:w="5046" w:type="dxa"/>
            <w:shd w:val="clear" w:color="auto" w:fill="auto"/>
          </w:tcPr>
          <w:p w14:paraId="41EF0416" w14:textId="1B16D97F" w:rsidR="007B5AE2" w:rsidRPr="00C92392" w:rsidRDefault="007B5AE2" w:rsidP="007B5AE2">
            <w:pPr>
              <w:rPr>
                <w:b/>
              </w:rPr>
            </w:pPr>
            <w:r w:rsidRPr="00C92392">
              <w:t xml:space="preserve">Geneva, </w:t>
            </w:r>
            <w:r w:rsidR="002D058D" w:rsidRPr="00C92392">
              <w:t>3-5 July 2024</w:t>
            </w:r>
          </w:p>
        </w:tc>
      </w:tr>
      <w:tr w:rsidR="007B5AE2" w:rsidRPr="00302456" w14:paraId="457FFF74" w14:textId="77777777" w:rsidTr="007B5AE2">
        <w:tc>
          <w:tcPr>
            <w:tcW w:w="4593" w:type="dxa"/>
            <w:shd w:val="clear" w:color="auto" w:fill="auto"/>
          </w:tcPr>
          <w:p w14:paraId="009F6153" w14:textId="28DB96FB" w:rsidR="007B5AE2" w:rsidRPr="00C92392" w:rsidRDefault="007B5AE2" w:rsidP="007B5AE2">
            <w:r w:rsidRPr="00C92392">
              <w:t xml:space="preserve">Item </w:t>
            </w:r>
            <w:r w:rsidR="005642D9" w:rsidRPr="00C92392">
              <w:t xml:space="preserve">10 </w:t>
            </w:r>
            <w:r w:rsidR="00A33240">
              <w:t xml:space="preserve">(c) </w:t>
            </w:r>
            <w:r w:rsidRPr="00C92392">
              <w:t>of the provisional agenda</w:t>
            </w:r>
          </w:p>
          <w:p w14:paraId="0A1569DA" w14:textId="7D656A37" w:rsidR="00F15D58" w:rsidRPr="00C92392" w:rsidRDefault="00F15D58" w:rsidP="007B5AE2">
            <w:r w:rsidRPr="00C92392">
              <w:rPr>
                <w:b/>
              </w:rPr>
              <w:t xml:space="preserve">Issues relating to the Globally Harmonized System </w:t>
            </w:r>
            <w:r w:rsidRPr="00C92392">
              <w:rPr>
                <w:b/>
              </w:rPr>
              <w:br/>
              <w:t>of Classification and Labelling of Chemicals: Miscellaneous</w:t>
            </w:r>
          </w:p>
        </w:tc>
        <w:tc>
          <w:tcPr>
            <w:tcW w:w="5046" w:type="dxa"/>
            <w:shd w:val="clear" w:color="auto" w:fill="auto"/>
          </w:tcPr>
          <w:p w14:paraId="079E1B02" w14:textId="77777777" w:rsidR="007B5AE2" w:rsidRPr="00C92392" w:rsidRDefault="007B5AE2" w:rsidP="007B5AE2">
            <w:r w:rsidRPr="00C92392">
              <w:t xml:space="preserve">Item </w:t>
            </w:r>
            <w:r w:rsidR="009C5C69" w:rsidRPr="00C92392">
              <w:t xml:space="preserve">2 (j) </w:t>
            </w:r>
            <w:r w:rsidRPr="00C92392">
              <w:t>of the provisional agenda</w:t>
            </w:r>
          </w:p>
          <w:p w14:paraId="04A22D5C" w14:textId="77777777" w:rsidR="00B62CD8" w:rsidRDefault="00221B1F" w:rsidP="007B5AE2">
            <w:pPr>
              <w:rPr>
                <w:b/>
              </w:rPr>
            </w:pPr>
            <w:r w:rsidRPr="00C92392">
              <w:rPr>
                <w:b/>
              </w:rPr>
              <w:t xml:space="preserve">Work on the Globally Harmonized System of Classification and Labelling of Chemicals: </w:t>
            </w:r>
          </w:p>
          <w:p w14:paraId="728A7A3A" w14:textId="5CB2DD3D" w:rsidR="00221B1F" w:rsidRPr="00C92392" w:rsidRDefault="00B62CD8" w:rsidP="007B5AE2">
            <w:r>
              <w:rPr>
                <w:b/>
              </w:rPr>
              <w:t>O</w:t>
            </w:r>
            <w:r w:rsidR="00221B1F" w:rsidRPr="00C92392">
              <w:rPr>
                <w:b/>
              </w:rPr>
              <w:t>ther matters</w:t>
            </w:r>
          </w:p>
        </w:tc>
      </w:tr>
      <w:tr w:rsidR="007B5AE2" w:rsidRPr="00E66746" w14:paraId="06BA01A1" w14:textId="77777777" w:rsidTr="007B5AE2">
        <w:tc>
          <w:tcPr>
            <w:tcW w:w="4593" w:type="dxa"/>
            <w:shd w:val="clear" w:color="auto" w:fill="auto"/>
          </w:tcPr>
          <w:p w14:paraId="5A77CCB2" w14:textId="77777777" w:rsidR="007B5AE2" w:rsidRPr="00E66746" w:rsidRDefault="007B5AE2" w:rsidP="007B5AE2">
            <w:pPr>
              <w:rPr>
                <w:b/>
              </w:rPr>
            </w:pPr>
          </w:p>
        </w:tc>
        <w:tc>
          <w:tcPr>
            <w:tcW w:w="5046" w:type="dxa"/>
            <w:shd w:val="clear" w:color="auto" w:fill="auto"/>
          </w:tcPr>
          <w:p w14:paraId="40F4B469" w14:textId="77777777" w:rsidR="007B5AE2" w:rsidRPr="00E66746" w:rsidRDefault="007B5AE2" w:rsidP="007B5AE2">
            <w:pPr>
              <w:rPr>
                <w:b/>
              </w:rPr>
            </w:pPr>
          </w:p>
        </w:tc>
      </w:tr>
    </w:tbl>
    <w:p w14:paraId="36A7261F" w14:textId="01B366D2" w:rsidR="003668AB" w:rsidRPr="00182BE9" w:rsidRDefault="003668AB" w:rsidP="003668AB">
      <w:pPr>
        <w:pStyle w:val="HChG"/>
        <w:jc w:val="both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  <w:t xml:space="preserve">Consideration of amendments to </w:t>
      </w:r>
      <w:r w:rsidR="00C92392">
        <w:rPr>
          <w:lang w:val="en-AU"/>
        </w:rPr>
        <w:t>c</w:t>
      </w:r>
      <w:r>
        <w:rPr>
          <w:lang w:val="en-AU"/>
        </w:rPr>
        <w:t>hapter 2.17 (</w:t>
      </w:r>
      <w:r w:rsidR="00C92392">
        <w:rPr>
          <w:lang w:val="en-AU"/>
        </w:rPr>
        <w:t xml:space="preserve">Desensitized </w:t>
      </w:r>
      <w:r w:rsidRPr="00F44F36">
        <w:rPr>
          <w:lang w:val="en-AU"/>
        </w:rPr>
        <w:t>e</w:t>
      </w:r>
      <w:r>
        <w:rPr>
          <w:lang w:val="en-AU"/>
        </w:rPr>
        <w:t xml:space="preserve">xplosives) of the </w:t>
      </w:r>
      <w:r w:rsidR="00C92392">
        <w:rPr>
          <w:lang w:val="en-AU"/>
        </w:rPr>
        <w:t xml:space="preserve">Globally Harmonized System </w:t>
      </w:r>
      <w:r>
        <w:rPr>
          <w:lang w:val="en-AU"/>
        </w:rPr>
        <w:t xml:space="preserve">and </w:t>
      </w:r>
      <w:r w:rsidR="00C92392">
        <w:rPr>
          <w:lang w:val="en-AU"/>
        </w:rPr>
        <w:t>s</w:t>
      </w:r>
      <w:r>
        <w:rPr>
          <w:lang w:val="en-AU"/>
        </w:rPr>
        <w:t>ection 51 of the Manual of Tests and Criteria</w:t>
      </w:r>
    </w:p>
    <w:p w14:paraId="4B14C44C" w14:textId="4EAC1318" w:rsidR="00916E95" w:rsidRDefault="00916E95" w:rsidP="00916E95">
      <w:pPr>
        <w:pStyle w:val="H1G"/>
      </w:pPr>
      <w:r>
        <w:tab/>
      </w:r>
      <w:r>
        <w:tab/>
      </w:r>
      <w:r w:rsidR="003668AB" w:rsidRPr="00916E95">
        <w:t>Transmitted by the Australasian Explosives Industry Safety Group Inc. (AEISG)</w:t>
      </w:r>
      <w:r w:rsidRPr="00B32098">
        <w:rPr>
          <w:rStyle w:val="FootnoteReference"/>
          <w:sz w:val="20"/>
          <w:vertAlign w:val="baseline"/>
        </w:rPr>
        <w:footnoteReference w:customMarkFollows="1" w:id="2"/>
        <w:t>*</w:t>
      </w:r>
      <w:r>
        <w:t xml:space="preserve"> </w:t>
      </w:r>
    </w:p>
    <w:p w14:paraId="303536C9" w14:textId="1D78ADD8" w:rsidR="003668AB" w:rsidRPr="007628D5" w:rsidRDefault="003668AB" w:rsidP="003668AB">
      <w:pPr>
        <w:pStyle w:val="HChG"/>
      </w:pPr>
      <w:r>
        <w:tab/>
      </w:r>
      <w:r w:rsidR="00B62CD8">
        <w:t>I.</w:t>
      </w:r>
      <w:r w:rsidR="00B62CD8">
        <w:tab/>
      </w:r>
      <w:r>
        <w:t>Background</w:t>
      </w:r>
    </w:p>
    <w:p w14:paraId="04839AFC" w14:textId="364BA7F3" w:rsidR="003668AB" w:rsidRPr="00384E1A" w:rsidRDefault="00384E1A" w:rsidP="00B32098">
      <w:pPr>
        <w:pStyle w:val="SingleTxtG"/>
      </w:pPr>
      <w:r w:rsidRPr="00B32098">
        <w:t>1.</w:t>
      </w:r>
      <w:r w:rsidRPr="00B32098">
        <w:tab/>
      </w:r>
      <w:r w:rsidR="003668AB" w:rsidRPr="00B32098">
        <w:t>At its forty-third session, the Sub-Committee of Experts on the Globally Harmoni</w:t>
      </w:r>
      <w:r w:rsidR="004A00F1">
        <w:t>z</w:t>
      </w:r>
      <w:r w:rsidR="003668AB" w:rsidRPr="00B32098">
        <w:t>ed System of Classification and Labelling of Chemicals (GHS</w:t>
      </w:r>
      <w:r w:rsidR="006309F6">
        <w:t xml:space="preserve"> Sub-Committee</w:t>
      </w:r>
      <w:r w:rsidR="003668AB" w:rsidRPr="00B32098">
        <w:t xml:space="preserve">) adopted changes to </w:t>
      </w:r>
      <w:r w:rsidR="006309F6">
        <w:t>c</w:t>
      </w:r>
      <w:r w:rsidR="003668AB" w:rsidRPr="00B32098">
        <w:t>hapter 2.17 (</w:t>
      </w:r>
      <w:r w:rsidR="006309F6" w:rsidRPr="00B32098">
        <w:t>Desensiti</w:t>
      </w:r>
      <w:r w:rsidR="006309F6">
        <w:t>z</w:t>
      </w:r>
      <w:r w:rsidR="006309F6" w:rsidRPr="00B32098">
        <w:t xml:space="preserve">ed </w:t>
      </w:r>
      <w:r w:rsidR="003668AB" w:rsidRPr="00B32098">
        <w:t xml:space="preserve">explosives) of the GHS as proposed in document ST/SG/AC.10/C.4/2022/10 from Germany and </w:t>
      </w:r>
      <w:r w:rsidR="006309F6">
        <w:t>the United States of America</w:t>
      </w:r>
      <w:r w:rsidR="003668AB" w:rsidRPr="00B32098">
        <w:t xml:space="preserve">, with amendments as outlined in document INF.35 from Germany, </w:t>
      </w:r>
      <w:r w:rsidR="005839BF">
        <w:t xml:space="preserve">the United States of America </w:t>
      </w:r>
      <w:r w:rsidR="003668AB" w:rsidRPr="00B32098">
        <w:t xml:space="preserve">and </w:t>
      </w:r>
      <w:r w:rsidR="005839BF">
        <w:t>the United Kingdom</w:t>
      </w:r>
      <w:r w:rsidR="003668AB" w:rsidRPr="00B32098">
        <w:t xml:space="preserve">. The GHS Sub-Committee adopted </w:t>
      </w:r>
      <w:r w:rsidR="003668AB" w:rsidRPr="00384E1A">
        <w:t xml:space="preserve">some additional consequential editorial corrections as outlined in </w:t>
      </w:r>
      <w:r w:rsidR="00A90673">
        <w:t>a</w:t>
      </w:r>
      <w:r w:rsidR="003668AB" w:rsidRPr="00384E1A">
        <w:t xml:space="preserve">nnex I of the </w:t>
      </w:r>
      <w:r w:rsidR="00553611">
        <w:t>r</w:t>
      </w:r>
      <w:r w:rsidR="003668AB" w:rsidRPr="00384E1A">
        <w:t xml:space="preserve">eport </w:t>
      </w:r>
      <w:r w:rsidR="00553611">
        <w:t xml:space="preserve">on its </w:t>
      </w:r>
      <w:r w:rsidR="003668AB" w:rsidRPr="00384E1A">
        <w:t>forty-third session (ST/SG/AC.10/C.4/86).</w:t>
      </w:r>
      <w:r w:rsidR="007A52B5">
        <w:t xml:space="preserve"> The GHS Sub-Committee also </w:t>
      </w:r>
      <w:r w:rsidR="007A52B5" w:rsidRPr="008D57D8">
        <w:t xml:space="preserve">took note of the relevant discussions by the Sub-Committee </w:t>
      </w:r>
      <w:r w:rsidR="007A52B5">
        <w:t xml:space="preserve">of Experts on the Transport of Dangerous Goods (TDG Sub-Committee) on this topic, </w:t>
      </w:r>
      <w:r w:rsidR="007A52B5" w:rsidRPr="008D57D8">
        <w:t xml:space="preserve">including the </w:t>
      </w:r>
      <w:r w:rsidR="007A52B5">
        <w:t>adoption of the amendments to section 51 of the Manual of Tests and Criteria (see report of the TDG Sub-Committee on its sixty-first session ST/SG/AC.10/C.3/122, paragraph 70 and annex II).</w:t>
      </w:r>
    </w:p>
    <w:p w14:paraId="47DD607B" w14:textId="40C91E89" w:rsidR="003668AB" w:rsidRPr="00B32098" w:rsidRDefault="00384E1A" w:rsidP="00B32098">
      <w:pPr>
        <w:pStyle w:val="SingleTxtG"/>
      </w:pPr>
      <w:r w:rsidRPr="00B32098">
        <w:t>2.</w:t>
      </w:r>
      <w:r w:rsidRPr="00B32098">
        <w:tab/>
      </w:r>
      <w:r w:rsidR="003668AB" w:rsidRPr="007A52B5">
        <w:t>While AEISG supported the proposed changes, it raised a number of issues of potential confusion or unintended consequences (</w:t>
      </w:r>
      <w:r w:rsidR="007A52B5">
        <w:t xml:space="preserve">as detailed in </w:t>
      </w:r>
      <w:r w:rsidR="00716787">
        <w:t xml:space="preserve">informal document </w:t>
      </w:r>
      <w:r w:rsidR="003668AB" w:rsidRPr="007A52B5">
        <w:t>INF.12</w:t>
      </w:r>
      <w:r w:rsidR="007641A0">
        <w:t xml:space="preserve"> </w:t>
      </w:r>
      <w:r w:rsidR="007641A0" w:rsidRPr="008D57D8">
        <w:t>(GHS Sub-Committee, forty-third session</w:t>
      </w:r>
      <w:r w:rsidR="003668AB" w:rsidRPr="007A52B5">
        <w:t>)</w:t>
      </w:r>
      <w:r w:rsidR="00716787">
        <w:t xml:space="preserve"> </w:t>
      </w:r>
      <w:r w:rsidR="007641A0">
        <w:t xml:space="preserve">- INF.20 </w:t>
      </w:r>
      <w:r w:rsidR="006B665B" w:rsidRPr="003C6A4B">
        <w:t>(TDG Sub-Committee, sixty-first session)</w:t>
      </w:r>
      <w:r w:rsidR="003668AB" w:rsidRPr="007A52B5">
        <w:t xml:space="preserve">. </w:t>
      </w:r>
      <w:r w:rsidR="00543A19">
        <w:t xml:space="preserve">AEISG </w:t>
      </w:r>
      <w:r w:rsidR="003668AB" w:rsidRPr="00B32098">
        <w:t>took note of the invitation by the Chair</w:t>
      </w:r>
      <w:r w:rsidR="00794F5C">
        <w:t>person</w:t>
      </w:r>
      <w:r w:rsidR="003668AB" w:rsidRPr="00B32098">
        <w:t xml:space="preserve"> of the Explosives Working Group to address issues raised in its submission in the following </w:t>
      </w:r>
      <w:r w:rsidR="00F81F99">
        <w:t xml:space="preserve">(current) </w:t>
      </w:r>
      <w:r w:rsidR="003668AB" w:rsidRPr="00B32098">
        <w:t>biennium</w:t>
      </w:r>
      <w:r w:rsidR="00B25AFB">
        <w:t xml:space="preserve"> (see </w:t>
      </w:r>
      <w:r w:rsidR="000F1711">
        <w:t xml:space="preserve">report </w:t>
      </w:r>
      <w:r w:rsidR="00B25AFB" w:rsidRPr="000C44C9">
        <w:t>ST/SG/AC.10/C.4/86</w:t>
      </w:r>
      <w:r w:rsidR="00B25AFB">
        <w:t>, paragraphs 28 and 29)</w:t>
      </w:r>
      <w:r w:rsidR="003668AB" w:rsidRPr="00B32098">
        <w:t>.</w:t>
      </w:r>
    </w:p>
    <w:p w14:paraId="12CB2B99" w14:textId="0A56C903" w:rsidR="003668AB" w:rsidRPr="00B32098" w:rsidRDefault="00384E1A" w:rsidP="00B32098">
      <w:pPr>
        <w:pStyle w:val="SingleTxtG"/>
      </w:pPr>
      <w:r w:rsidRPr="00B32098">
        <w:lastRenderedPageBreak/>
        <w:t>3.</w:t>
      </w:r>
      <w:r w:rsidRPr="00B32098">
        <w:tab/>
      </w:r>
      <w:r w:rsidR="003668AB" w:rsidRPr="00B32098">
        <w:t xml:space="preserve">At the sixty-second session of the TDG Sub-Committee and the forty-fourth session of the GHS Sub-Committee, AEISG </w:t>
      </w:r>
      <w:r w:rsidR="00B25AFB">
        <w:t>addressed</w:t>
      </w:r>
      <w:r w:rsidR="00B25AFB" w:rsidRPr="00B25AFB">
        <w:rPr>
          <w:lang w:val="en-AU"/>
        </w:rPr>
        <w:t xml:space="preserve"> </w:t>
      </w:r>
      <w:r w:rsidR="003668AB" w:rsidRPr="00B32098">
        <w:t xml:space="preserve">these issues in </w:t>
      </w:r>
      <w:r w:rsidR="001E519C">
        <w:t xml:space="preserve">document </w:t>
      </w:r>
      <w:r w:rsidR="003668AB" w:rsidRPr="00B32098">
        <w:t xml:space="preserve">ST/SG/AC.10/C.3/2023/17–ST/SG/AC.10/C.4/2023/3, which offered three proposals for consideration by the </w:t>
      </w:r>
      <w:r w:rsidR="000662EF">
        <w:t>s</w:t>
      </w:r>
      <w:r w:rsidR="003668AB" w:rsidRPr="00B32098">
        <w:t>ub-</w:t>
      </w:r>
      <w:r w:rsidR="000662EF">
        <w:t>c</w:t>
      </w:r>
      <w:r w:rsidR="003668AB" w:rsidRPr="00B32098">
        <w:t>ommittees.</w:t>
      </w:r>
    </w:p>
    <w:p w14:paraId="1754490D" w14:textId="2F22D350" w:rsidR="003668AB" w:rsidRPr="00B32098" w:rsidRDefault="00384E1A" w:rsidP="00B32098">
      <w:pPr>
        <w:pStyle w:val="SingleTxtG"/>
      </w:pPr>
      <w:r w:rsidRPr="00B32098">
        <w:t>4.</w:t>
      </w:r>
      <w:r w:rsidRPr="00B32098">
        <w:tab/>
      </w:r>
      <w:r w:rsidR="003668AB" w:rsidRPr="00B32098">
        <w:t xml:space="preserve">The AEISG proposals were discussed by the Explosives Working Group (EWG) during the sixty-second session of the TDG Sub-Committee. As noted in its report the EWG recommended acceptance of two of the AEISG proposals </w:t>
      </w:r>
      <w:r w:rsidR="00542207" w:rsidRPr="008D57D8">
        <w:t>(</w:t>
      </w:r>
      <w:r w:rsidR="00542207">
        <w:t xml:space="preserve">see informal document </w:t>
      </w:r>
      <w:r w:rsidR="00542207" w:rsidRPr="008D57D8">
        <w:t>INF.47</w:t>
      </w:r>
      <w:r w:rsidR="00542207">
        <w:t xml:space="preserve"> from that session, section 11 and amendment 3 in Annex 2 to that document</w:t>
      </w:r>
      <w:r w:rsidR="00542207" w:rsidRPr="008D57D8">
        <w:t xml:space="preserve">) </w:t>
      </w:r>
      <w:r w:rsidR="003668AB" w:rsidRPr="00B32098">
        <w:t xml:space="preserve">but could not reach consensus on the third </w:t>
      </w:r>
      <w:r w:rsidR="00BB6A72">
        <w:t>one on</w:t>
      </w:r>
      <w:r w:rsidR="003668AB" w:rsidRPr="00B32098">
        <w:t xml:space="preserve"> the perceived inconsistencies in the classification of explosives. </w:t>
      </w:r>
      <w:r w:rsidR="00BF159B" w:rsidRPr="008D57D8">
        <w:t>The EWG recommendation was subsequently referred to the GHS Sub-Committee at its forty-fourth session</w:t>
      </w:r>
      <w:r w:rsidR="00444611">
        <w:t xml:space="preserve"> (refer to </w:t>
      </w:r>
      <w:r w:rsidR="001F3DB7">
        <w:t xml:space="preserve">informal document </w:t>
      </w:r>
      <w:r w:rsidR="00444611" w:rsidRPr="008D57D8">
        <w:t>INF.22, item 3)</w:t>
      </w:r>
      <w:r w:rsidR="00004259">
        <w:t xml:space="preserve">. The GHS Sub-Committee </w:t>
      </w:r>
      <w:r w:rsidR="00444611">
        <w:t xml:space="preserve">noted the outcome of the discussions on this topic by the TDG sub-Committee and concurred with its decisions (see </w:t>
      </w:r>
      <w:r w:rsidR="00D348C8">
        <w:t xml:space="preserve">report </w:t>
      </w:r>
      <w:r w:rsidR="00444611">
        <w:t xml:space="preserve">ST/SG/AC.10/C.4/88, paragraphs 10 and 11). </w:t>
      </w:r>
      <w:r w:rsidR="003668AB" w:rsidRPr="00B32098">
        <w:t xml:space="preserve">AEISG </w:t>
      </w:r>
      <w:r w:rsidR="00444611">
        <w:t xml:space="preserve">volunteered </w:t>
      </w:r>
      <w:r w:rsidR="003668AB" w:rsidRPr="00B32098">
        <w:t xml:space="preserve">to revise its proposal for a following session, having regard to </w:t>
      </w:r>
      <w:r w:rsidR="00444611">
        <w:t xml:space="preserve">the </w:t>
      </w:r>
      <w:r w:rsidR="003668AB" w:rsidRPr="00B32098">
        <w:t xml:space="preserve">comments </w:t>
      </w:r>
      <w:r w:rsidR="0052507E">
        <w:t>received</w:t>
      </w:r>
      <w:r w:rsidR="003668AB" w:rsidRPr="00B32098">
        <w:t>.</w:t>
      </w:r>
    </w:p>
    <w:p w14:paraId="21788E88" w14:textId="05DC84DF" w:rsidR="003668AB" w:rsidRDefault="00A9038C" w:rsidP="00B32098">
      <w:pPr>
        <w:pStyle w:val="HChG"/>
      </w:pPr>
      <w:r>
        <w:tab/>
      </w:r>
      <w:r w:rsidR="000F22D4">
        <w:t>II.</w:t>
      </w:r>
      <w:r w:rsidR="000F22D4">
        <w:tab/>
      </w:r>
      <w:r w:rsidR="003668AB">
        <w:t xml:space="preserve">Inconsistent </w:t>
      </w:r>
      <w:r>
        <w:t>c</w:t>
      </w:r>
      <w:r w:rsidR="003668AB" w:rsidRPr="00420999">
        <w:t xml:space="preserve">lassification of </w:t>
      </w:r>
      <w:r>
        <w:t>e</w:t>
      </w:r>
      <w:r w:rsidR="003668AB" w:rsidRPr="00420999">
        <w:t>xplosives</w:t>
      </w:r>
    </w:p>
    <w:p w14:paraId="2900CC3A" w14:textId="45E2E727" w:rsidR="003668AB" w:rsidRPr="00A9038C" w:rsidRDefault="00A9038C" w:rsidP="00B32098">
      <w:pPr>
        <w:pStyle w:val="SingleTxtG"/>
      </w:pPr>
      <w:r>
        <w:t>5.</w:t>
      </w:r>
      <w:r w:rsidR="00384E1A" w:rsidRPr="00A9038C">
        <w:tab/>
      </w:r>
      <w:r w:rsidR="003668AB" w:rsidRPr="00A9038C">
        <w:t xml:space="preserve">Chapter 2.17 of the GHS and the associated </w:t>
      </w:r>
      <w:r w:rsidR="00AE68FB">
        <w:t>s</w:t>
      </w:r>
      <w:r w:rsidR="003668AB" w:rsidRPr="00A9038C">
        <w:t xml:space="preserve">ection 51 of the </w:t>
      </w:r>
      <w:r w:rsidR="00AE68FB">
        <w:t>Manual of Tests and Criteria</w:t>
      </w:r>
      <w:r w:rsidR="003668AB" w:rsidRPr="00A9038C">
        <w:t xml:space="preserve"> seek to classify products as desensitised explosives for GHS purposes and to use the </w:t>
      </w:r>
      <w:r w:rsidR="00CF05E2">
        <w:t>b</w:t>
      </w:r>
      <w:r w:rsidR="003668AB" w:rsidRPr="00A9038C">
        <w:t xml:space="preserve">urning </w:t>
      </w:r>
      <w:r w:rsidR="00CF05E2">
        <w:t>r</w:t>
      </w:r>
      <w:r w:rsidR="003668AB" w:rsidRPr="00A9038C">
        <w:t xml:space="preserve">ate </w:t>
      </w:r>
      <w:r w:rsidR="00CF05E2">
        <w:t>t</w:t>
      </w:r>
      <w:r w:rsidR="003668AB" w:rsidRPr="00A9038C">
        <w:t>est (external fire) to place such products into one of four categories.</w:t>
      </w:r>
    </w:p>
    <w:p w14:paraId="1EA7983A" w14:textId="448F7A95" w:rsidR="003668AB" w:rsidRPr="00A9038C" w:rsidRDefault="00A9038C" w:rsidP="00B32098">
      <w:pPr>
        <w:pStyle w:val="SingleTxtG"/>
      </w:pPr>
      <w:r>
        <w:t>6.</w:t>
      </w:r>
      <w:r w:rsidR="00384E1A" w:rsidRPr="00A9038C">
        <w:tab/>
      </w:r>
      <w:r w:rsidR="003668AB" w:rsidRPr="00A9038C">
        <w:t xml:space="preserve">However, as currently written, both </w:t>
      </w:r>
      <w:r w:rsidR="00CF05E2">
        <w:t>c</w:t>
      </w:r>
      <w:r w:rsidR="003668AB" w:rsidRPr="00A9038C">
        <w:t xml:space="preserve">hapter 2.17 of the GHS (see </w:t>
      </w:r>
      <w:r w:rsidR="00CF05E2">
        <w:t>n</w:t>
      </w:r>
      <w:r w:rsidR="003668AB" w:rsidRPr="00A9038C">
        <w:t xml:space="preserve">ote to 2.17.2.2) and </w:t>
      </w:r>
      <w:r w:rsidR="00CF05E2">
        <w:t>s</w:t>
      </w:r>
      <w:r w:rsidR="003668AB" w:rsidRPr="00A9038C">
        <w:t xml:space="preserve">ection 51 of the </w:t>
      </w:r>
      <w:r w:rsidR="00CF05E2">
        <w:t>Manual of Tests and Criteria</w:t>
      </w:r>
      <w:r w:rsidR="003668AB" w:rsidRPr="00A9038C">
        <w:t xml:space="preserve"> (see 51.4.4.3 and 51.4.4.5) declare products to be in the </w:t>
      </w:r>
      <w:r w:rsidR="00CF05E2">
        <w:t>c</w:t>
      </w:r>
      <w:r w:rsidR="003668AB" w:rsidRPr="00A9038C">
        <w:t xml:space="preserve">lass of </w:t>
      </w:r>
      <w:r w:rsidR="00CF05E2">
        <w:t>e</w:t>
      </w:r>
      <w:r w:rsidR="003668AB" w:rsidRPr="00A9038C">
        <w:t xml:space="preserve">xplosives despite the relevant criteria (including the </w:t>
      </w:r>
      <w:r w:rsidR="00CF05E2">
        <w:t>b</w:t>
      </w:r>
      <w:r w:rsidR="003668AB" w:rsidRPr="00A9038C">
        <w:t xml:space="preserve">urning </w:t>
      </w:r>
      <w:r w:rsidR="00CF05E2">
        <w:t>r</w:t>
      </w:r>
      <w:r w:rsidR="003668AB" w:rsidRPr="00A9038C">
        <w:t xml:space="preserve">ate </w:t>
      </w:r>
      <w:r w:rsidR="00CF05E2">
        <w:t>t</w:t>
      </w:r>
      <w:r w:rsidR="003668AB" w:rsidRPr="00A9038C">
        <w:t xml:space="preserve">est) not being part of the explosives classification process nor even referenced in </w:t>
      </w:r>
      <w:r w:rsidR="00CF05E2">
        <w:t>p</w:t>
      </w:r>
      <w:r w:rsidR="003668AB" w:rsidRPr="00A9038C">
        <w:t xml:space="preserve">art 1 of the </w:t>
      </w:r>
      <w:r w:rsidR="00CF05E2">
        <w:t>Manual of Tests and Criteria</w:t>
      </w:r>
      <w:r w:rsidR="003668AB" w:rsidRPr="00A9038C">
        <w:t xml:space="preserve"> which classifies explosives.</w:t>
      </w:r>
    </w:p>
    <w:p w14:paraId="1E87A3AB" w14:textId="26F4F9E7" w:rsidR="003668AB" w:rsidRPr="00A9038C" w:rsidRDefault="00A9038C" w:rsidP="00B32098">
      <w:pPr>
        <w:pStyle w:val="SingleTxtG"/>
      </w:pPr>
      <w:r w:rsidRPr="00C14ACA">
        <w:t>7.</w:t>
      </w:r>
      <w:r w:rsidR="00384E1A" w:rsidRPr="00C14ACA">
        <w:tab/>
      </w:r>
      <w:r w:rsidR="003668AB" w:rsidRPr="00C14ACA">
        <w:t xml:space="preserve">AEISG believes this creates confusion as to the correct classification process for explosives by creating an inconsistency between </w:t>
      </w:r>
      <w:r w:rsidR="00CF05E2" w:rsidRPr="00C14ACA">
        <w:t>c</w:t>
      </w:r>
      <w:r w:rsidR="003668AB" w:rsidRPr="00C14ACA">
        <w:t xml:space="preserve">hapters 2.1 of the GHS (substance is excluded from the </w:t>
      </w:r>
      <w:r w:rsidR="00CF05E2" w:rsidRPr="00C14ACA">
        <w:t>c</w:t>
      </w:r>
      <w:r w:rsidR="003668AB" w:rsidRPr="00C14ACA">
        <w:t xml:space="preserve">lass of </w:t>
      </w:r>
      <w:r w:rsidR="00CF05E2" w:rsidRPr="00C14ACA">
        <w:t>e</w:t>
      </w:r>
      <w:r w:rsidR="003668AB" w:rsidRPr="00C14ACA">
        <w:t xml:space="preserve">xplosives if it passes </w:t>
      </w:r>
      <w:r w:rsidR="00CF05E2" w:rsidRPr="00C14ACA">
        <w:t>t</w:t>
      </w:r>
      <w:r w:rsidR="003668AB" w:rsidRPr="00C14ACA">
        <w:t xml:space="preserve">est </w:t>
      </w:r>
      <w:r w:rsidR="00CF05E2" w:rsidRPr="00C14ACA">
        <w:t>s</w:t>
      </w:r>
      <w:r w:rsidR="003668AB" w:rsidRPr="00C14ACA">
        <w:t xml:space="preserve">eries 2 – refer </w:t>
      </w:r>
      <w:r w:rsidR="00C14ACA" w:rsidRPr="00C14ACA">
        <w:t xml:space="preserve">to </w:t>
      </w:r>
      <w:r w:rsidR="003668AB" w:rsidRPr="00C14ACA">
        <w:t>2.1.1.2.2(c)</w:t>
      </w:r>
      <w:r w:rsidR="00CF05E2" w:rsidRPr="00C14ACA">
        <w:t> </w:t>
      </w:r>
      <w:r w:rsidR="003668AB" w:rsidRPr="00C14ACA">
        <w:t xml:space="preserve">(iv)) and </w:t>
      </w:r>
      <w:r w:rsidR="00CF05E2" w:rsidRPr="00C14ACA">
        <w:t>c</w:t>
      </w:r>
      <w:r w:rsidR="003668AB" w:rsidRPr="00C14ACA">
        <w:t xml:space="preserve">hapter 2.17 of the GHS (substance is classified as explosives even though it passes </w:t>
      </w:r>
      <w:r w:rsidR="00CF05E2" w:rsidRPr="00C14ACA">
        <w:t>t</w:t>
      </w:r>
      <w:r w:rsidR="003668AB" w:rsidRPr="00C14ACA">
        <w:t xml:space="preserve">est </w:t>
      </w:r>
      <w:r w:rsidR="00CF05E2" w:rsidRPr="00C14ACA">
        <w:t>s</w:t>
      </w:r>
      <w:r w:rsidR="003668AB" w:rsidRPr="00C14ACA">
        <w:t>eries</w:t>
      </w:r>
      <w:r w:rsidR="00C14ACA" w:rsidRPr="00C14ACA">
        <w:t> </w:t>
      </w:r>
      <w:r w:rsidR="003668AB" w:rsidRPr="00C14ACA">
        <w:t xml:space="preserve">2 and has a corrected burning rate </w:t>
      </w:r>
      <w:r w:rsidR="00D458BF">
        <w:t>greater</w:t>
      </w:r>
      <w:r w:rsidR="000C3198">
        <w:t xml:space="preserve"> than</w:t>
      </w:r>
      <w:r w:rsidR="00DE771F">
        <w:t xml:space="preserve"> </w:t>
      </w:r>
      <w:r w:rsidR="003668AB" w:rsidRPr="00C14ACA">
        <w:t>1200</w:t>
      </w:r>
      <w:r w:rsidR="000C3198">
        <w:t xml:space="preserve"> </w:t>
      </w:r>
      <w:r w:rsidR="003668AB" w:rsidRPr="00C14ACA">
        <w:t xml:space="preserve">kg/min – refer </w:t>
      </w:r>
      <w:r w:rsidR="00C14ACA" w:rsidRPr="00C14ACA">
        <w:t xml:space="preserve">to </w:t>
      </w:r>
      <w:r w:rsidR="003668AB" w:rsidRPr="00C14ACA">
        <w:t>2.17.2.2</w:t>
      </w:r>
      <w:r w:rsidR="00CF05E2" w:rsidRPr="00C14ACA">
        <w:t> </w:t>
      </w:r>
      <w:r w:rsidR="003668AB" w:rsidRPr="00C14ACA">
        <w:t>(b)</w:t>
      </w:r>
      <w:r w:rsidR="00CF05E2" w:rsidRPr="00C14ACA">
        <w:t> </w:t>
      </w:r>
      <w:r w:rsidR="003668AB" w:rsidRPr="00C14ACA">
        <w:t>(iii), 2.17.2.2</w:t>
      </w:r>
      <w:r w:rsidR="00CF05E2" w:rsidRPr="00C14ACA">
        <w:t> </w:t>
      </w:r>
      <w:r w:rsidR="003668AB" w:rsidRPr="00C14ACA">
        <w:t xml:space="preserve">(c) and </w:t>
      </w:r>
      <w:r w:rsidR="00CF05E2" w:rsidRPr="00C14ACA">
        <w:t>note</w:t>
      </w:r>
      <w:r w:rsidR="003668AB" w:rsidRPr="00C14ACA">
        <w:t>).</w:t>
      </w:r>
    </w:p>
    <w:p w14:paraId="549E8C3F" w14:textId="61C45253" w:rsidR="003668AB" w:rsidRPr="00A9038C" w:rsidRDefault="00A9038C" w:rsidP="00B32098">
      <w:pPr>
        <w:pStyle w:val="SingleTxtG"/>
      </w:pPr>
      <w:r>
        <w:t>8.</w:t>
      </w:r>
      <w:r w:rsidR="00384E1A" w:rsidRPr="00A9038C">
        <w:tab/>
      </w:r>
      <w:r w:rsidR="003668AB" w:rsidRPr="00A9038C">
        <w:t xml:space="preserve">Further, AEISG believes an inconsistency now exists between </w:t>
      </w:r>
      <w:r w:rsidR="00CF05E2">
        <w:t>s</w:t>
      </w:r>
      <w:r w:rsidR="003668AB" w:rsidRPr="00A9038C">
        <w:t xml:space="preserve">ection 51 of the </w:t>
      </w:r>
      <w:r w:rsidR="00CF05E2">
        <w:t>Manual of Tests and Criteria</w:t>
      </w:r>
      <w:r w:rsidR="00CF05E2" w:rsidRPr="00A9038C">
        <w:t xml:space="preserve"> </w:t>
      </w:r>
      <w:r w:rsidR="003668AB" w:rsidRPr="00A9038C">
        <w:t xml:space="preserve">(substances declared to be in the </w:t>
      </w:r>
      <w:r w:rsidR="00CF05E2">
        <w:t>c</w:t>
      </w:r>
      <w:r w:rsidR="003668AB" w:rsidRPr="00A9038C">
        <w:t xml:space="preserve">lass of </w:t>
      </w:r>
      <w:r w:rsidR="00CF05E2">
        <w:t>e</w:t>
      </w:r>
      <w:r w:rsidR="003668AB" w:rsidRPr="00A9038C">
        <w:t xml:space="preserve">xplosives based on its performance in the burning rate test – refer </w:t>
      </w:r>
      <w:r w:rsidR="00C14ACA">
        <w:t xml:space="preserve">to </w:t>
      </w:r>
      <w:r w:rsidR="003668AB" w:rsidRPr="00A9038C">
        <w:t xml:space="preserve">51.4.4.3 and 51.4.4.5) and </w:t>
      </w:r>
      <w:r w:rsidR="00CF05E2">
        <w:t>p</w:t>
      </w:r>
      <w:r w:rsidR="003668AB" w:rsidRPr="00A9038C">
        <w:t xml:space="preserve">art 1 of the </w:t>
      </w:r>
      <w:r w:rsidR="00CF05E2">
        <w:t>Manual of Tests and Criteria</w:t>
      </w:r>
      <w:r w:rsidR="00CF05E2" w:rsidRPr="00A9038C">
        <w:t xml:space="preserve"> </w:t>
      </w:r>
      <w:r w:rsidR="003668AB" w:rsidRPr="00A9038C">
        <w:t>which classifies explosives without reference to a substance’s burning rate.</w:t>
      </w:r>
    </w:p>
    <w:p w14:paraId="61771E68" w14:textId="4761C31B" w:rsidR="003668AB" w:rsidRPr="00A9038C" w:rsidRDefault="00A9038C" w:rsidP="00B32098">
      <w:pPr>
        <w:pStyle w:val="SingleTxtG"/>
      </w:pPr>
      <w:r>
        <w:t>9.</w:t>
      </w:r>
      <w:r w:rsidR="00384E1A" w:rsidRPr="00A9038C">
        <w:tab/>
      </w:r>
      <w:r w:rsidR="003668AB" w:rsidRPr="00A9038C">
        <w:t xml:space="preserve">This perceived inconsistency could be overcome by slight rewording of the </w:t>
      </w:r>
      <w:r w:rsidR="000F0DD7">
        <w:t>n</w:t>
      </w:r>
      <w:r w:rsidR="003668AB" w:rsidRPr="00A9038C">
        <w:t xml:space="preserve">ote to </w:t>
      </w:r>
      <w:r w:rsidR="000F0DD7">
        <w:t>s</w:t>
      </w:r>
      <w:r w:rsidR="003668AB" w:rsidRPr="00A9038C">
        <w:t xml:space="preserve">ection 2.17.2 of </w:t>
      </w:r>
      <w:r w:rsidR="000F0DD7">
        <w:t>c</w:t>
      </w:r>
      <w:r w:rsidR="003668AB" w:rsidRPr="00A9038C">
        <w:t xml:space="preserve">hapter 2.17 </w:t>
      </w:r>
      <w:r w:rsidR="000F0DD7">
        <w:t xml:space="preserve">of the GHS </w:t>
      </w:r>
      <w:r w:rsidR="003668AB" w:rsidRPr="00A9038C">
        <w:t xml:space="preserve">and to sections 51.4.4.3 and 51.4.4.5 of the </w:t>
      </w:r>
      <w:r w:rsidR="000F0DD7">
        <w:t>Manual of Tests and Criteria</w:t>
      </w:r>
      <w:r w:rsidR="000F0DD7" w:rsidRPr="00A9038C">
        <w:t xml:space="preserve"> </w:t>
      </w:r>
      <w:r w:rsidR="003668AB" w:rsidRPr="00A9038C">
        <w:t xml:space="preserve">to bring the wording into line with </w:t>
      </w:r>
      <w:r w:rsidR="000F0DD7">
        <w:t>d</w:t>
      </w:r>
      <w:r w:rsidR="003668AB" w:rsidRPr="00A9038C">
        <w:t>ecision logic 2.17.1 for desensitised explosives outlined in 2.17.4.1 of</w:t>
      </w:r>
      <w:r w:rsidR="000F0DD7">
        <w:t xml:space="preserve"> c</w:t>
      </w:r>
      <w:r w:rsidR="003668AB" w:rsidRPr="00A9038C">
        <w:t>hapter 2.17 of the GHS.</w:t>
      </w:r>
    </w:p>
    <w:p w14:paraId="31D66D99" w14:textId="3019BC89" w:rsidR="003668AB" w:rsidRPr="00397855" w:rsidRDefault="002068D9" w:rsidP="00B32098">
      <w:pPr>
        <w:pStyle w:val="HChG"/>
      </w:pPr>
      <w:r>
        <w:tab/>
      </w:r>
      <w:r w:rsidR="000F22D4">
        <w:t>III.</w:t>
      </w:r>
      <w:r w:rsidR="000F22D4">
        <w:tab/>
      </w:r>
      <w:r w:rsidR="003668AB" w:rsidRPr="00397855">
        <w:t>Proposals</w:t>
      </w:r>
    </w:p>
    <w:p w14:paraId="25A8174F" w14:textId="16266593" w:rsidR="00A9038C" w:rsidRDefault="00A9038C" w:rsidP="00B32098">
      <w:pPr>
        <w:pStyle w:val="SingleTxtG"/>
      </w:pPr>
      <w:r>
        <w:t>10.</w:t>
      </w:r>
      <w:r>
        <w:tab/>
      </w:r>
      <w:r w:rsidR="0089713F">
        <w:t>Proposed a</w:t>
      </w:r>
      <w:r>
        <w:t>mendments to chapter 2.17 of the GHS</w:t>
      </w:r>
    </w:p>
    <w:p w14:paraId="08F986BB" w14:textId="20FD2C4C" w:rsidR="003668AB" w:rsidRDefault="00A9038C" w:rsidP="00B32098">
      <w:pPr>
        <w:pStyle w:val="SingleTxtG"/>
        <w:tabs>
          <w:tab w:val="clear" w:pos="1701"/>
          <w:tab w:val="clear" w:pos="2268"/>
          <w:tab w:val="clear" w:pos="2835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1701"/>
      </w:pPr>
      <w:r>
        <w:t>2.17.2.2</w:t>
      </w:r>
      <w:r>
        <w:tab/>
        <w:t xml:space="preserve">Amend the note as </w:t>
      </w:r>
      <w:r w:rsidR="001C7306">
        <w:t>follows (</w:t>
      </w:r>
      <w:r w:rsidR="0052662A" w:rsidRPr="00B32098">
        <w:rPr>
          <w:i/>
          <w:iCs/>
        </w:rPr>
        <w:t xml:space="preserve">new text is </w:t>
      </w:r>
      <w:r w:rsidR="0052662A" w:rsidRPr="00BD1B9B">
        <w:rPr>
          <w:i/>
          <w:iCs/>
          <w:u w:val="single"/>
        </w:rPr>
        <w:t>underlined</w:t>
      </w:r>
      <w:r w:rsidR="0052662A" w:rsidRPr="00B32098">
        <w:rPr>
          <w:i/>
          <w:iCs/>
        </w:rPr>
        <w:t xml:space="preserve">; deleted text is </w:t>
      </w:r>
      <w:r w:rsidR="0052662A" w:rsidRPr="00BD1B9B">
        <w:rPr>
          <w:i/>
          <w:iCs/>
          <w:strike/>
        </w:rPr>
        <w:t>struck through</w:t>
      </w:r>
      <w:r w:rsidR="001C7306">
        <w:t xml:space="preserve">) </w:t>
      </w:r>
      <w:r w:rsidR="003668AB">
        <w:t>:</w:t>
      </w:r>
    </w:p>
    <w:p w14:paraId="67B26097" w14:textId="18957CB8" w:rsidR="003668AB" w:rsidRPr="00B32098" w:rsidRDefault="00872C8A" w:rsidP="00B32098">
      <w:pPr>
        <w:pStyle w:val="GHStext"/>
        <w:tabs>
          <w:tab w:val="left" w:pos="1418"/>
        </w:tabs>
        <w:ind w:left="1701" w:right="1134"/>
        <w:rPr>
          <w:i/>
          <w:iCs/>
          <w:color w:val="auto"/>
          <w:lang w:val="en-GB"/>
        </w:rPr>
      </w:pPr>
      <w:r>
        <w:rPr>
          <w:b/>
          <w:i/>
          <w:iCs/>
          <w:lang w:val="en-GB"/>
        </w:rPr>
        <w:t>“</w:t>
      </w:r>
      <w:r w:rsidR="003668AB" w:rsidRPr="00B32098">
        <w:rPr>
          <w:b/>
          <w:i/>
          <w:iCs/>
          <w:color w:val="auto"/>
          <w:lang w:val="en-GB"/>
        </w:rPr>
        <w:t xml:space="preserve">NOTE:  </w:t>
      </w:r>
      <w:r w:rsidRPr="00B32098">
        <w:rPr>
          <w:bCs/>
          <w:i/>
          <w:iCs/>
          <w:color w:val="auto"/>
          <w:lang w:val="en-GB"/>
        </w:rPr>
        <w:t>Phlegmati</w:t>
      </w:r>
      <w:r>
        <w:rPr>
          <w:bCs/>
          <w:i/>
          <w:iCs/>
          <w:color w:val="auto"/>
          <w:lang w:val="en-GB"/>
        </w:rPr>
        <w:t>z</w:t>
      </w:r>
      <w:r w:rsidRPr="00B32098">
        <w:rPr>
          <w:bCs/>
          <w:i/>
          <w:iCs/>
          <w:color w:val="auto"/>
          <w:lang w:val="en-GB"/>
        </w:rPr>
        <w:t xml:space="preserve">ed </w:t>
      </w:r>
      <w:r w:rsidR="003668AB" w:rsidRPr="00B32098">
        <w:rPr>
          <w:bCs/>
          <w:i/>
          <w:iCs/>
          <w:color w:val="auto"/>
          <w:lang w:val="en-GB"/>
        </w:rPr>
        <w:t xml:space="preserve">explosives which do not meet the criteria of 2.17.2.2 </w:t>
      </w:r>
      <w:r w:rsidR="003668AB" w:rsidRPr="00B32098">
        <w:rPr>
          <w:bCs/>
          <w:i/>
          <w:iCs/>
          <w:color w:val="auto"/>
          <w:u w:val="single"/>
          <w:lang w:val="en-GB"/>
        </w:rPr>
        <w:t xml:space="preserve">are not classified as </w:t>
      </w:r>
      <w:r w:rsidRPr="00B32098">
        <w:rPr>
          <w:bCs/>
          <w:i/>
          <w:iCs/>
          <w:color w:val="auto"/>
          <w:u w:val="single"/>
          <w:lang w:val="en-GB"/>
        </w:rPr>
        <w:t>desensiti</w:t>
      </w:r>
      <w:r>
        <w:rPr>
          <w:bCs/>
          <w:i/>
          <w:iCs/>
          <w:color w:val="auto"/>
          <w:u w:val="single"/>
          <w:lang w:val="en-GB"/>
        </w:rPr>
        <w:t>z</w:t>
      </w:r>
      <w:r w:rsidRPr="00B32098">
        <w:rPr>
          <w:bCs/>
          <w:i/>
          <w:iCs/>
          <w:color w:val="auto"/>
          <w:u w:val="single"/>
          <w:lang w:val="en-GB"/>
        </w:rPr>
        <w:t xml:space="preserve">ed </w:t>
      </w:r>
      <w:r w:rsidR="003668AB" w:rsidRPr="00B32098">
        <w:rPr>
          <w:bCs/>
          <w:i/>
          <w:iCs/>
          <w:color w:val="auto"/>
          <w:u w:val="single"/>
          <w:lang w:val="en-GB"/>
        </w:rPr>
        <w:t xml:space="preserve">explosives and </w:t>
      </w:r>
      <w:r w:rsidR="003668AB" w:rsidRPr="00B32098">
        <w:rPr>
          <w:bCs/>
          <w:i/>
          <w:iCs/>
          <w:color w:val="auto"/>
          <w:lang w:val="en-GB"/>
        </w:rPr>
        <w:t xml:space="preserve">should be classified </w:t>
      </w:r>
      <w:r w:rsidR="003668AB" w:rsidRPr="00B32098">
        <w:rPr>
          <w:bCs/>
          <w:i/>
          <w:iCs/>
          <w:color w:val="auto"/>
          <w:u w:val="single"/>
          <w:lang w:val="en-GB"/>
        </w:rPr>
        <w:t xml:space="preserve">in accordance with </w:t>
      </w:r>
      <w:r>
        <w:rPr>
          <w:bCs/>
          <w:i/>
          <w:iCs/>
          <w:color w:val="auto"/>
          <w:u w:val="single"/>
          <w:lang w:val="en-GB"/>
        </w:rPr>
        <w:t>c</w:t>
      </w:r>
      <w:r w:rsidR="003668AB" w:rsidRPr="00B32098">
        <w:rPr>
          <w:bCs/>
          <w:i/>
          <w:iCs/>
          <w:color w:val="auto"/>
          <w:u w:val="single"/>
          <w:lang w:val="en-GB"/>
        </w:rPr>
        <w:t>hapter 2.1.</w:t>
      </w:r>
      <w:r w:rsidR="003668AB" w:rsidRPr="00B32098">
        <w:rPr>
          <w:bCs/>
          <w:i/>
          <w:iCs/>
          <w:strike/>
          <w:color w:val="auto"/>
          <w:u w:val="single"/>
          <w:lang w:val="en-GB"/>
        </w:rPr>
        <w:t xml:space="preserve"> as explosives (see chapter 2.1)</w:t>
      </w:r>
      <w:r w:rsidR="003668AB" w:rsidRPr="00E55A1C">
        <w:rPr>
          <w:bCs/>
          <w:i/>
          <w:iCs/>
          <w:strike/>
          <w:color w:val="auto"/>
          <w:lang w:val="en-GB"/>
        </w:rPr>
        <w:t>.</w:t>
      </w:r>
      <w:r>
        <w:rPr>
          <w:bCs/>
          <w:i/>
          <w:iCs/>
          <w:color w:val="auto"/>
          <w:lang w:val="en-GB"/>
        </w:rPr>
        <w:t>”</w:t>
      </w:r>
    </w:p>
    <w:p w14:paraId="08DACAED" w14:textId="77777777" w:rsidR="0089713F" w:rsidRDefault="00EF62A7" w:rsidP="00C14ACA">
      <w:pPr>
        <w:pStyle w:val="SingleTxtG"/>
        <w:keepNext/>
        <w:keepLines/>
      </w:pPr>
      <w:r>
        <w:lastRenderedPageBreak/>
        <w:t>11.</w:t>
      </w:r>
      <w:r>
        <w:tab/>
      </w:r>
      <w:r w:rsidR="0089713F">
        <w:t>Proposed a</w:t>
      </w:r>
      <w:r>
        <w:t xml:space="preserve">mendments to </w:t>
      </w:r>
      <w:r w:rsidR="0089713F">
        <w:t>section 51 of the Manual of Tests and Criteria (</w:t>
      </w:r>
      <w:r w:rsidR="0089713F" w:rsidRPr="008D57D8">
        <w:rPr>
          <w:i/>
          <w:iCs/>
        </w:rPr>
        <w:t xml:space="preserve">new text is </w:t>
      </w:r>
      <w:r w:rsidR="0089713F" w:rsidRPr="00BD1B9B">
        <w:rPr>
          <w:i/>
          <w:iCs/>
          <w:u w:val="single"/>
        </w:rPr>
        <w:t>underlined</w:t>
      </w:r>
      <w:r w:rsidR="0089713F" w:rsidRPr="008D57D8">
        <w:rPr>
          <w:i/>
          <w:iCs/>
        </w:rPr>
        <w:t xml:space="preserve">; deleted text is </w:t>
      </w:r>
      <w:r w:rsidR="0089713F" w:rsidRPr="00BD1B9B">
        <w:rPr>
          <w:i/>
          <w:iCs/>
          <w:strike/>
        </w:rPr>
        <w:t>struck through</w:t>
      </w:r>
      <w:r w:rsidR="0089713F">
        <w:t>)</w:t>
      </w:r>
    </w:p>
    <w:p w14:paraId="41306496" w14:textId="02BA54FD" w:rsidR="003668AB" w:rsidRPr="00872C8A" w:rsidRDefault="003668AB" w:rsidP="00C14ACA">
      <w:pPr>
        <w:pStyle w:val="SingleTxtG"/>
        <w:keepNext/>
        <w:keepLines/>
        <w:tabs>
          <w:tab w:val="clear" w:pos="2268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2250" w:hanging="549"/>
      </w:pPr>
      <w:r w:rsidRPr="00872C8A">
        <w:t>51.4.4.3</w:t>
      </w:r>
      <w:r w:rsidR="002068D9">
        <w:tab/>
        <w:t xml:space="preserve">Amend </w:t>
      </w:r>
      <w:r w:rsidRPr="00872C8A">
        <w:t>as follows:</w:t>
      </w:r>
    </w:p>
    <w:p w14:paraId="788F9F43" w14:textId="415B2CED" w:rsidR="003668AB" w:rsidRPr="00872C8A" w:rsidRDefault="002068D9" w:rsidP="006C0C45">
      <w:pPr>
        <w:pStyle w:val="SingleTxtG"/>
        <w:tabs>
          <w:tab w:val="clear" w:pos="2268"/>
          <w:tab w:val="clear" w:pos="2835"/>
        </w:tabs>
        <w:ind w:left="1701"/>
      </w:pPr>
      <w:r>
        <w:t>“</w:t>
      </w:r>
      <w:r w:rsidR="003668AB" w:rsidRPr="00872C8A">
        <w:t>51.4.4.3</w:t>
      </w:r>
      <w:r>
        <w:tab/>
      </w:r>
      <w:r w:rsidR="003668AB" w:rsidRPr="00872C8A">
        <w:t>If a mass explosion or individual explosions or metallic projections (fragments) occur</w:t>
      </w:r>
      <w:r w:rsidR="00AB3132">
        <w:t>,</w:t>
      </w:r>
      <w:r w:rsidR="003668AB" w:rsidRPr="00872C8A">
        <w:t xml:space="preserve"> the substance or mixture is </w:t>
      </w:r>
      <w:r w:rsidR="003668AB" w:rsidRPr="00B32098">
        <w:rPr>
          <w:u w:val="single"/>
        </w:rPr>
        <w:t xml:space="preserve">not classified as </w:t>
      </w:r>
      <w:r w:rsidR="00AB3132">
        <w:rPr>
          <w:u w:val="single"/>
        </w:rPr>
        <w:t xml:space="preserve">a </w:t>
      </w:r>
      <w:r w:rsidR="003668AB" w:rsidRPr="00B32098">
        <w:rPr>
          <w:u w:val="single"/>
        </w:rPr>
        <w:t>desensiti</w:t>
      </w:r>
      <w:r>
        <w:rPr>
          <w:u w:val="single"/>
        </w:rPr>
        <w:t>z</w:t>
      </w:r>
      <w:r w:rsidR="003668AB" w:rsidRPr="00B32098">
        <w:rPr>
          <w:u w:val="single"/>
        </w:rPr>
        <w:t xml:space="preserve">ed explosive and should be classified in accordance with </w:t>
      </w:r>
      <w:r>
        <w:rPr>
          <w:u w:val="single"/>
        </w:rPr>
        <w:t>c</w:t>
      </w:r>
      <w:r w:rsidR="003668AB" w:rsidRPr="00B32098">
        <w:rPr>
          <w:u w:val="single"/>
        </w:rPr>
        <w:t xml:space="preserve">hapter 2.1 of the GHS </w:t>
      </w:r>
      <w:r w:rsidR="003668AB" w:rsidRPr="00B32098">
        <w:rPr>
          <w:strike/>
          <w:u w:val="single"/>
        </w:rPr>
        <w:t>in the hazard class “explosives”</w:t>
      </w:r>
      <w:r w:rsidR="003668AB" w:rsidRPr="00872C8A">
        <w:t>.</w:t>
      </w:r>
      <w:r>
        <w:t>”</w:t>
      </w:r>
    </w:p>
    <w:p w14:paraId="38DDC633" w14:textId="304666C8" w:rsidR="003668AB" w:rsidRDefault="002068D9" w:rsidP="00B32098">
      <w:pPr>
        <w:pStyle w:val="SingleTxtG"/>
        <w:tabs>
          <w:tab w:val="clear" w:pos="2268"/>
          <w:tab w:val="clear" w:pos="2835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2250" w:hanging="549"/>
      </w:pPr>
      <w:r>
        <w:t>51.4.4.5</w:t>
      </w:r>
      <w:r>
        <w:tab/>
        <w:t>Amend the last sentence as follows:</w:t>
      </w:r>
    </w:p>
    <w:p w14:paraId="2F096BEB" w14:textId="350B780B" w:rsidR="003668AB" w:rsidRPr="002068D9" w:rsidRDefault="002068D9" w:rsidP="006C0C45">
      <w:pPr>
        <w:pStyle w:val="SingleTxtG"/>
        <w:tabs>
          <w:tab w:val="clear" w:pos="2268"/>
          <w:tab w:val="clear" w:pos="2835"/>
        </w:tabs>
        <w:ind w:left="1701"/>
      </w:pPr>
      <w:r>
        <w:t>“</w:t>
      </w:r>
      <w:r w:rsidR="003668AB" w:rsidRPr="002068D9">
        <w:t>Any substance or mixture with a corrected burning rate greater than 1200</w:t>
      </w:r>
      <w:r>
        <w:t> </w:t>
      </w:r>
      <w:r w:rsidR="003668AB" w:rsidRPr="002068D9">
        <w:t xml:space="preserve">kg/min is </w:t>
      </w:r>
      <w:r w:rsidR="003668AB" w:rsidRPr="00B32098">
        <w:rPr>
          <w:u w:val="single"/>
        </w:rPr>
        <w:t xml:space="preserve">not </w:t>
      </w:r>
      <w:r w:rsidR="003668AB" w:rsidRPr="002068D9">
        <w:t xml:space="preserve">classified as </w:t>
      </w:r>
      <w:r w:rsidR="00790541">
        <w:t xml:space="preserve">a </w:t>
      </w:r>
      <w:r w:rsidR="003668AB" w:rsidRPr="00B32098">
        <w:rPr>
          <w:u w:val="single"/>
        </w:rPr>
        <w:t>desensiti</w:t>
      </w:r>
      <w:r>
        <w:rPr>
          <w:u w:val="single"/>
        </w:rPr>
        <w:t>z</w:t>
      </w:r>
      <w:r w:rsidR="003668AB" w:rsidRPr="00B32098">
        <w:rPr>
          <w:u w:val="single"/>
        </w:rPr>
        <w:t>ed explosive and should be classified in accordance with</w:t>
      </w:r>
      <w:r w:rsidR="003668AB" w:rsidRPr="00B32098">
        <w:t xml:space="preserve"> </w:t>
      </w:r>
      <w:r w:rsidR="003668AB" w:rsidRPr="00B32098">
        <w:rPr>
          <w:strike/>
          <w:u w:val="single"/>
        </w:rPr>
        <w:t xml:space="preserve">an explosive (See </w:t>
      </w:r>
      <w:r>
        <w:t>c</w:t>
      </w:r>
      <w:r w:rsidR="003668AB" w:rsidRPr="002068D9">
        <w:t>hapter 2.1 of the GHS</w:t>
      </w:r>
      <w:r w:rsidR="003668AB" w:rsidRPr="00B32098">
        <w:rPr>
          <w:strike/>
          <w:u w:val="single"/>
        </w:rPr>
        <w:t>)</w:t>
      </w:r>
      <w:r w:rsidR="003668AB" w:rsidRPr="002068D9">
        <w:t>.</w:t>
      </w:r>
      <w:r>
        <w:t>”</w:t>
      </w:r>
    </w:p>
    <w:p w14:paraId="694B35C6" w14:textId="3B0D6E23" w:rsidR="00AF5DE1" w:rsidRPr="0091568B" w:rsidRDefault="002068D9" w:rsidP="00B32098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F5DE1" w:rsidRPr="0091568B" w:rsidSect="0091568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7A487" w14:textId="77777777" w:rsidR="0015270B" w:rsidRPr="00C47B2E" w:rsidRDefault="0015270B" w:rsidP="00C47B2E">
      <w:pPr>
        <w:pStyle w:val="Footer"/>
      </w:pPr>
    </w:p>
  </w:endnote>
  <w:endnote w:type="continuationSeparator" w:id="0">
    <w:p w14:paraId="5E8F80C5" w14:textId="77777777" w:rsidR="0015270B" w:rsidRPr="00C47B2E" w:rsidRDefault="0015270B" w:rsidP="00C47B2E">
      <w:pPr>
        <w:pStyle w:val="Footer"/>
      </w:pPr>
    </w:p>
  </w:endnote>
  <w:endnote w:type="continuationNotice" w:id="1">
    <w:p w14:paraId="7402C7BC" w14:textId="77777777" w:rsidR="0015270B" w:rsidRPr="00C47B2E" w:rsidRDefault="0015270B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48D0" w14:textId="7BA4F2B8" w:rsidR="00D94B05" w:rsidRPr="0091568B" w:rsidRDefault="0091568B" w:rsidP="0091568B">
    <w:pPr>
      <w:pStyle w:val="Footer"/>
      <w:tabs>
        <w:tab w:val="right" w:pos="9598"/>
        <w:tab w:val="right" w:pos="9638"/>
      </w:tabs>
      <w:rPr>
        <w:sz w:val="18"/>
      </w:rPr>
    </w:pPr>
    <w:r w:rsidRPr="0091568B">
      <w:rPr>
        <w:b/>
        <w:sz w:val="18"/>
      </w:rPr>
      <w:fldChar w:fldCharType="begin"/>
    </w:r>
    <w:r w:rsidRPr="0091568B">
      <w:rPr>
        <w:b/>
        <w:sz w:val="18"/>
      </w:rPr>
      <w:instrText xml:space="preserve"> PAGE  \* MERGEFORMAT </w:instrText>
    </w:r>
    <w:r w:rsidRPr="0091568B">
      <w:rPr>
        <w:b/>
        <w:sz w:val="18"/>
      </w:rPr>
      <w:fldChar w:fldCharType="separate"/>
    </w:r>
    <w:r w:rsidRPr="0091568B">
      <w:rPr>
        <w:b/>
        <w:noProof/>
        <w:sz w:val="18"/>
      </w:rPr>
      <w:t>2</w:t>
    </w:r>
    <w:r w:rsidRPr="0091568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F33C" w14:textId="1D81EBA9" w:rsidR="00D94B05" w:rsidRPr="0006321D" w:rsidRDefault="0091568B" w:rsidP="0006321D">
    <w:pPr>
      <w:pStyle w:val="Footer"/>
      <w:tabs>
        <w:tab w:val="left" w:pos="4991"/>
        <w:tab w:val="left" w:pos="5775"/>
        <w:tab w:val="right" w:pos="9598"/>
        <w:tab w:val="right" w:pos="9638"/>
      </w:tabs>
      <w:rPr>
        <w:b/>
        <w:bCs/>
        <w:sz w:val="18"/>
      </w:rPr>
    </w:pPr>
    <w:r>
      <w:rPr>
        <w:b/>
        <w:sz w:val="18"/>
      </w:rPr>
      <w:tab/>
    </w:r>
    <w:r w:rsidR="002068D9">
      <w:rPr>
        <w:b/>
        <w:sz w:val="18"/>
      </w:rPr>
      <w:tab/>
    </w:r>
    <w:r w:rsidR="002068D9">
      <w:rPr>
        <w:b/>
        <w:sz w:val="18"/>
      </w:rPr>
      <w:tab/>
    </w:r>
    <w:r w:rsidRPr="0006321D">
      <w:rPr>
        <w:b/>
        <w:bCs/>
        <w:sz w:val="18"/>
      </w:rPr>
      <w:fldChar w:fldCharType="begin"/>
    </w:r>
    <w:r w:rsidRPr="0006321D">
      <w:rPr>
        <w:b/>
        <w:bCs/>
        <w:sz w:val="18"/>
      </w:rPr>
      <w:instrText xml:space="preserve"> PAGE  \* MERGEFORMAT </w:instrText>
    </w:r>
    <w:r w:rsidRPr="0006321D">
      <w:rPr>
        <w:b/>
        <w:bCs/>
        <w:sz w:val="18"/>
      </w:rPr>
      <w:fldChar w:fldCharType="separate"/>
    </w:r>
    <w:r w:rsidRPr="0006321D">
      <w:rPr>
        <w:b/>
        <w:bCs/>
        <w:noProof/>
        <w:sz w:val="18"/>
      </w:rPr>
      <w:t>3</w:t>
    </w:r>
    <w:r w:rsidRPr="0006321D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9C60" w14:textId="55B678CB" w:rsidR="00A80B98" w:rsidRDefault="00A80B98" w:rsidP="00A80B98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444EB99" wp14:editId="730F1CFA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035572" w14:textId="750780F6" w:rsidR="00A80B98" w:rsidRPr="00A80B98" w:rsidRDefault="00A80B98" w:rsidP="00A80B98">
    <w:pPr>
      <w:pStyle w:val="Footer"/>
      <w:ind w:right="1134"/>
      <w:rPr>
        <w:sz w:val="20"/>
      </w:rPr>
    </w:pPr>
    <w:r>
      <w:rPr>
        <w:sz w:val="20"/>
      </w:rPr>
      <w:t>GE.24-06253  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4CFF3D3" wp14:editId="4490013B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71500" cy="5715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CCF73" w14:textId="77777777" w:rsidR="0015270B" w:rsidRPr="00C47B2E" w:rsidRDefault="0015270B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3DF6AD6" w14:textId="77777777" w:rsidR="0015270B" w:rsidRPr="00C47B2E" w:rsidRDefault="0015270B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78A0AC2D" w14:textId="77777777" w:rsidR="0015270B" w:rsidRPr="00C47B2E" w:rsidRDefault="0015270B" w:rsidP="00C47B2E">
      <w:pPr>
        <w:pStyle w:val="Footer"/>
      </w:pPr>
    </w:p>
  </w:footnote>
  <w:footnote w:id="2">
    <w:p w14:paraId="3A656ACB" w14:textId="6662A3DE" w:rsidR="00916E95" w:rsidRPr="00B32098" w:rsidRDefault="00916E95" w:rsidP="00B62CD8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B3209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AB4A72">
        <w:t xml:space="preserve">A/78/6 (Sect. 20), </w:t>
      </w:r>
      <w:r w:rsidRPr="00B62CD8">
        <w:t>table</w:t>
      </w:r>
      <w:r w:rsidRPr="00AB4A72">
        <w:t xml:space="preserve"> 20.5</w:t>
      </w:r>
      <w:r w:rsidR="000F22D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D57" w14:textId="5A584B39" w:rsidR="0091568B" w:rsidRPr="0091568B" w:rsidRDefault="00860CDE">
    <w:pPr>
      <w:pStyle w:val="Header"/>
    </w:pPr>
    <w:fldSimple w:instr=" TITLE  \* MERGEFORMAT ">
      <w:r w:rsidR="0091568B">
        <w:t>ST/SG/AC.10/C.3/2024/25</w:t>
      </w:r>
    </w:fldSimple>
    <w:r w:rsidR="0091568B">
      <w:br/>
    </w:r>
    <w:fldSimple w:instr=" KEYWORDS  \* MERGEFORMAT ">
      <w:r w:rsidR="0091568B">
        <w:t>ST/SG/AC.10/C.4/2024/6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0480" w14:textId="1B057D89" w:rsidR="00D94B05" w:rsidRPr="0091568B" w:rsidRDefault="00860CDE" w:rsidP="0091568B">
    <w:pPr>
      <w:pStyle w:val="Header"/>
      <w:jc w:val="right"/>
    </w:pPr>
    <w:fldSimple w:instr=" TITLE  \* MERGEFORMAT ">
      <w:r w:rsidR="0091568B">
        <w:t>ST/SG/AC.10/C.3/2024/25</w:t>
      </w:r>
    </w:fldSimple>
    <w:r w:rsidR="0091568B">
      <w:br/>
    </w:r>
    <w:fldSimple w:instr=" KEYWORDS  \* MERGEFORMAT ">
      <w:r w:rsidR="0091568B">
        <w:t>ST/SG/AC.10/C.4/2024/6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A1B86"/>
    <w:multiLevelType w:val="hybridMultilevel"/>
    <w:tmpl w:val="FEE09B18"/>
    <w:lvl w:ilvl="0" w:tplc="64E039FA">
      <w:start w:val="1"/>
      <w:numFmt w:val="decimal"/>
      <w:lvlText w:val="%1."/>
      <w:lvlJc w:val="left"/>
      <w:pPr>
        <w:ind w:left="15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626A3"/>
    <w:multiLevelType w:val="hybridMultilevel"/>
    <w:tmpl w:val="D2A0D708"/>
    <w:lvl w:ilvl="0" w:tplc="5204C504">
      <w:start w:val="1"/>
      <w:numFmt w:val="lowerRoman"/>
      <w:lvlText w:val="(%1)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5D3F0DFE"/>
    <w:multiLevelType w:val="hybridMultilevel"/>
    <w:tmpl w:val="3F44694E"/>
    <w:lvl w:ilvl="0" w:tplc="3A1CB3F4">
      <w:start w:val="1"/>
      <w:numFmt w:val="lowerRoman"/>
      <w:lvlText w:val="(%1)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97140971">
    <w:abstractNumId w:val="6"/>
  </w:num>
  <w:num w:numId="2" w16cid:durableId="1410342471">
    <w:abstractNumId w:val="5"/>
  </w:num>
  <w:num w:numId="3" w16cid:durableId="661660701">
    <w:abstractNumId w:val="0"/>
  </w:num>
  <w:num w:numId="4" w16cid:durableId="748043473">
    <w:abstractNumId w:val="9"/>
  </w:num>
  <w:num w:numId="5" w16cid:durableId="2067294098">
    <w:abstractNumId w:val="10"/>
  </w:num>
  <w:num w:numId="6" w16cid:durableId="893273271">
    <w:abstractNumId w:val="12"/>
  </w:num>
  <w:num w:numId="7" w16cid:durableId="35014651">
    <w:abstractNumId w:val="4"/>
  </w:num>
  <w:num w:numId="8" w16cid:durableId="1836453266">
    <w:abstractNumId w:val="1"/>
  </w:num>
  <w:num w:numId="9" w16cid:durableId="2062435459">
    <w:abstractNumId w:val="11"/>
  </w:num>
  <w:num w:numId="10" w16cid:durableId="825777708">
    <w:abstractNumId w:val="1"/>
  </w:num>
  <w:num w:numId="11" w16cid:durableId="1630093350">
    <w:abstractNumId w:val="11"/>
  </w:num>
  <w:num w:numId="12" w16cid:durableId="815292811">
    <w:abstractNumId w:val="2"/>
  </w:num>
  <w:num w:numId="13" w16cid:durableId="461272565">
    <w:abstractNumId w:val="2"/>
  </w:num>
  <w:num w:numId="14" w16cid:durableId="235434530">
    <w:abstractNumId w:val="3"/>
  </w:num>
  <w:num w:numId="15" w16cid:durableId="1424573031">
    <w:abstractNumId w:val="8"/>
  </w:num>
  <w:num w:numId="16" w16cid:durableId="9074940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8B"/>
    <w:rsid w:val="00004259"/>
    <w:rsid w:val="00046E92"/>
    <w:rsid w:val="0006321D"/>
    <w:rsid w:val="00063C90"/>
    <w:rsid w:val="000662EF"/>
    <w:rsid w:val="00070000"/>
    <w:rsid w:val="000C3198"/>
    <w:rsid w:val="000F0DD7"/>
    <w:rsid w:val="000F1711"/>
    <w:rsid w:val="000F22D4"/>
    <w:rsid w:val="00101B98"/>
    <w:rsid w:val="00143B98"/>
    <w:rsid w:val="00146FA9"/>
    <w:rsid w:val="001514D1"/>
    <w:rsid w:val="0015270B"/>
    <w:rsid w:val="001656F0"/>
    <w:rsid w:val="001C7306"/>
    <w:rsid w:val="001E519C"/>
    <w:rsid w:val="001F3DB7"/>
    <w:rsid w:val="002068D9"/>
    <w:rsid w:val="00221B1F"/>
    <w:rsid w:val="00247E2C"/>
    <w:rsid w:val="002A32CB"/>
    <w:rsid w:val="002C7A04"/>
    <w:rsid w:val="002D058D"/>
    <w:rsid w:val="002D5B2C"/>
    <w:rsid w:val="002D6C53"/>
    <w:rsid w:val="002F5595"/>
    <w:rsid w:val="00334F6A"/>
    <w:rsid w:val="00342AC8"/>
    <w:rsid w:val="00343302"/>
    <w:rsid w:val="003668AB"/>
    <w:rsid w:val="00384E1A"/>
    <w:rsid w:val="003979DE"/>
    <w:rsid w:val="003B4550"/>
    <w:rsid w:val="003D2A18"/>
    <w:rsid w:val="003D467C"/>
    <w:rsid w:val="003E2C2D"/>
    <w:rsid w:val="0040192E"/>
    <w:rsid w:val="00413386"/>
    <w:rsid w:val="00444611"/>
    <w:rsid w:val="00461253"/>
    <w:rsid w:val="004858F5"/>
    <w:rsid w:val="004A00F1"/>
    <w:rsid w:val="004A2814"/>
    <w:rsid w:val="004C0622"/>
    <w:rsid w:val="004F73D0"/>
    <w:rsid w:val="00501B35"/>
    <w:rsid w:val="005042C2"/>
    <w:rsid w:val="0052507E"/>
    <w:rsid w:val="0052662A"/>
    <w:rsid w:val="00542207"/>
    <w:rsid w:val="00543A19"/>
    <w:rsid w:val="00553611"/>
    <w:rsid w:val="005642D9"/>
    <w:rsid w:val="005839BF"/>
    <w:rsid w:val="005E716E"/>
    <w:rsid w:val="006309F6"/>
    <w:rsid w:val="006476E1"/>
    <w:rsid w:val="006604DF"/>
    <w:rsid w:val="00671529"/>
    <w:rsid w:val="006A1A70"/>
    <w:rsid w:val="006B665B"/>
    <w:rsid w:val="006C0C45"/>
    <w:rsid w:val="006F1EF5"/>
    <w:rsid w:val="0070489D"/>
    <w:rsid w:val="00716787"/>
    <w:rsid w:val="007200A1"/>
    <w:rsid w:val="007268F9"/>
    <w:rsid w:val="00750282"/>
    <w:rsid w:val="007641A0"/>
    <w:rsid w:val="00764440"/>
    <w:rsid w:val="0077101B"/>
    <w:rsid w:val="00790541"/>
    <w:rsid w:val="00794F5C"/>
    <w:rsid w:val="007A52B5"/>
    <w:rsid w:val="007B5AE2"/>
    <w:rsid w:val="007C52B0"/>
    <w:rsid w:val="007C6033"/>
    <w:rsid w:val="008147C8"/>
    <w:rsid w:val="0081753A"/>
    <w:rsid w:val="00857D23"/>
    <w:rsid w:val="00860CDE"/>
    <w:rsid w:val="00872C8A"/>
    <w:rsid w:val="0089713F"/>
    <w:rsid w:val="008D1280"/>
    <w:rsid w:val="008D518D"/>
    <w:rsid w:val="0091568B"/>
    <w:rsid w:val="00916E95"/>
    <w:rsid w:val="009411B4"/>
    <w:rsid w:val="00946F1D"/>
    <w:rsid w:val="00953AC3"/>
    <w:rsid w:val="009967B4"/>
    <w:rsid w:val="009C5C69"/>
    <w:rsid w:val="009D0139"/>
    <w:rsid w:val="009D717D"/>
    <w:rsid w:val="009F5CDC"/>
    <w:rsid w:val="00A072D7"/>
    <w:rsid w:val="00A325D2"/>
    <w:rsid w:val="00A33240"/>
    <w:rsid w:val="00A775CF"/>
    <w:rsid w:val="00A80B98"/>
    <w:rsid w:val="00A9038C"/>
    <w:rsid w:val="00A90673"/>
    <w:rsid w:val="00AB3132"/>
    <w:rsid w:val="00AD1A9C"/>
    <w:rsid w:val="00AE5BFC"/>
    <w:rsid w:val="00AE68FB"/>
    <w:rsid w:val="00AF5DE1"/>
    <w:rsid w:val="00B06045"/>
    <w:rsid w:val="00B206DD"/>
    <w:rsid w:val="00B25AFB"/>
    <w:rsid w:val="00B32098"/>
    <w:rsid w:val="00B52EF4"/>
    <w:rsid w:val="00B62CD8"/>
    <w:rsid w:val="00B777AD"/>
    <w:rsid w:val="00B82977"/>
    <w:rsid w:val="00BB6A72"/>
    <w:rsid w:val="00BD1B9B"/>
    <w:rsid w:val="00BF159B"/>
    <w:rsid w:val="00C03015"/>
    <w:rsid w:val="00C0358D"/>
    <w:rsid w:val="00C14ACA"/>
    <w:rsid w:val="00C35A27"/>
    <w:rsid w:val="00C47B2E"/>
    <w:rsid w:val="00C62D98"/>
    <w:rsid w:val="00C84F36"/>
    <w:rsid w:val="00C92392"/>
    <w:rsid w:val="00CA5A28"/>
    <w:rsid w:val="00CF05E2"/>
    <w:rsid w:val="00D348C8"/>
    <w:rsid w:val="00D458BF"/>
    <w:rsid w:val="00D63CD2"/>
    <w:rsid w:val="00D668A3"/>
    <w:rsid w:val="00D87DC2"/>
    <w:rsid w:val="00D93887"/>
    <w:rsid w:val="00D94B05"/>
    <w:rsid w:val="00DC7379"/>
    <w:rsid w:val="00DE771F"/>
    <w:rsid w:val="00DF50D4"/>
    <w:rsid w:val="00E02C2B"/>
    <w:rsid w:val="00E21C27"/>
    <w:rsid w:val="00E26BCF"/>
    <w:rsid w:val="00E52109"/>
    <w:rsid w:val="00E55A1C"/>
    <w:rsid w:val="00E75317"/>
    <w:rsid w:val="00EC0CE6"/>
    <w:rsid w:val="00EC7C1D"/>
    <w:rsid w:val="00ED6C48"/>
    <w:rsid w:val="00EE3045"/>
    <w:rsid w:val="00EF62A7"/>
    <w:rsid w:val="00F15D58"/>
    <w:rsid w:val="00F65F5D"/>
    <w:rsid w:val="00F81F99"/>
    <w:rsid w:val="00F86A3A"/>
    <w:rsid w:val="00F95A89"/>
    <w:rsid w:val="00FA42DA"/>
    <w:rsid w:val="00FE2AC5"/>
    <w:rsid w:val="00FF4D2F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7FD29"/>
  <w15:docId w15:val="{CC0593E0-20AC-4D3D-AE6F-00CE521A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79"/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uiPriority w:val="99"/>
    <w:qFormat/>
    <w:rsid w:val="004A281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A42DA"/>
    <w:pPr>
      <w:numPr>
        <w:numId w:val="1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DC7379"/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locked/>
    <w:rsid w:val="003668AB"/>
    <w:rPr>
      <w:b/>
      <w:sz w:val="28"/>
    </w:rPr>
  </w:style>
  <w:style w:type="character" w:customStyle="1" w:styleId="SingleTxtGChar">
    <w:name w:val="_ Single Txt_G Char"/>
    <w:link w:val="SingleTxtG"/>
    <w:uiPriority w:val="99"/>
    <w:qFormat/>
    <w:rsid w:val="003668AB"/>
  </w:style>
  <w:style w:type="paragraph" w:customStyle="1" w:styleId="GHStext">
    <w:name w:val="GHS_text"/>
    <w:basedOn w:val="Normal"/>
    <w:link w:val="GHStextChar"/>
    <w:qFormat/>
    <w:rsid w:val="003668AB"/>
    <w:pPr>
      <w:spacing w:after="240" w:line="240" w:lineRule="auto"/>
      <w:jc w:val="both"/>
    </w:pPr>
    <w:rPr>
      <w:snapToGrid w:val="0"/>
      <w:color w:val="000000"/>
      <w:szCs w:val="22"/>
      <w:lang w:val="es-ES" w:eastAsia="en-US"/>
    </w:rPr>
  </w:style>
  <w:style w:type="character" w:customStyle="1" w:styleId="GHStextChar">
    <w:name w:val="GHS_text Char"/>
    <w:link w:val="GHStext"/>
    <w:rsid w:val="003668AB"/>
    <w:rPr>
      <w:snapToGrid w:val="0"/>
      <w:color w:val="000000"/>
      <w:szCs w:val="22"/>
      <w:lang w:val="es-ES" w:eastAsia="en-US"/>
    </w:rPr>
  </w:style>
  <w:style w:type="paragraph" w:styleId="Revision">
    <w:name w:val="Revision"/>
    <w:hidden/>
    <w:uiPriority w:val="99"/>
    <w:semiHidden/>
    <w:rsid w:val="00C92392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019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192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4019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Couto\United%20Nations\UNOG_DCM-Macros%20-%20UNECE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Rosa Garcia Couto</DisplayName>
        <AccountId>33</AccountId>
        <AccountType/>
      </UserInfo>
      <UserInfo>
        <DisplayName>Alicia Dorca Garcia</DisplayName>
        <AccountId>1313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2250B-B41A-4C78-B29F-70C73BCCCCF0}"/>
</file>

<file path=customXml/itemProps2.xml><?xml version="1.0" encoding="utf-8"?>
<ds:datastoreItem xmlns:ds="http://schemas.openxmlformats.org/officeDocument/2006/customXml" ds:itemID="{0E96D6C7-A69F-4CC1-9C48-E5514C6CF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C699A-3081-464D-8175-18FB791049C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4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0</TotalTime>
  <Pages>3</Pages>
  <Words>1027</Words>
  <Characters>5650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ST/SG/AC.10/C.3/2024/25</vt:lpstr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ST/SG/AC.10/C.3/2024/25</dc:title>
  <dc:subject>2406253</dc:subject>
  <dc:creator>Rosa Garcia-Couto</dc:creator>
  <cp:keywords>ST/SG/AC.10/C.4/2024/6</cp:keywords>
  <dc:description/>
  <cp:lastModifiedBy>Alicia Dorca Garcia</cp:lastModifiedBy>
  <cp:revision>3</cp:revision>
  <dcterms:created xsi:type="dcterms:W3CDTF">2024-04-08T07:01:00Z</dcterms:created>
  <dcterms:modified xsi:type="dcterms:W3CDTF">2024-04-22T07:05:00Z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