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60EE855B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3A832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87416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4A3560" w14:textId="56384985" w:rsidR="00E52109" w:rsidRDefault="00B71743" w:rsidP="00B71743">
            <w:pPr>
              <w:jc w:val="right"/>
            </w:pPr>
            <w:r w:rsidRPr="00B71743">
              <w:rPr>
                <w:sz w:val="40"/>
              </w:rPr>
              <w:t>ST</w:t>
            </w:r>
            <w:r>
              <w:t>/SG/AC.10/C.3/2024/</w:t>
            </w:r>
            <w:r w:rsidR="00581B14">
              <w:t>9</w:t>
            </w:r>
          </w:p>
        </w:tc>
      </w:tr>
      <w:tr w:rsidR="00E52109" w14:paraId="161361BE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97ED9F6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7998EE0" wp14:editId="790ADC9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27C8D67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82B759C" w14:textId="77777777" w:rsidR="00D94B05" w:rsidRDefault="00B71743" w:rsidP="00B71743">
            <w:pPr>
              <w:spacing w:before="240" w:line="240" w:lineRule="exact"/>
            </w:pPr>
            <w:r>
              <w:t>Distr.: General</w:t>
            </w:r>
          </w:p>
          <w:p w14:paraId="5298C957" w14:textId="77777777" w:rsidR="00B71743" w:rsidRDefault="00B71743" w:rsidP="00B71743">
            <w:pPr>
              <w:spacing w:line="240" w:lineRule="exact"/>
            </w:pPr>
            <w:r>
              <w:t>25 March 2024</w:t>
            </w:r>
          </w:p>
          <w:p w14:paraId="6C2A05B3" w14:textId="77777777" w:rsidR="00B71743" w:rsidRDefault="00B71743" w:rsidP="00B71743">
            <w:pPr>
              <w:spacing w:line="240" w:lineRule="exact"/>
            </w:pPr>
          </w:p>
          <w:p w14:paraId="0F499CDC" w14:textId="23299565" w:rsidR="00B71743" w:rsidRDefault="00B71743" w:rsidP="00B71743">
            <w:pPr>
              <w:spacing w:line="240" w:lineRule="exact"/>
            </w:pPr>
            <w:r>
              <w:t>Original: English</w:t>
            </w:r>
          </w:p>
        </w:tc>
      </w:tr>
    </w:tbl>
    <w:p w14:paraId="4E45EE61" w14:textId="77777777" w:rsidR="00B71743" w:rsidRPr="00917619" w:rsidRDefault="00B71743" w:rsidP="004858F5">
      <w:pPr>
        <w:spacing w:before="120"/>
        <w:rPr>
          <w:b/>
          <w:sz w:val="24"/>
          <w:szCs w:val="24"/>
        </w:rPr>
      </w:pPr>
      <w:r w:rsidRPr="00917619">
        <w:rPr>
          <w:b/>
          <w:sz w:val="24"/>
          <w:szCs w:val="24"/>
        </w:rPr>
        <w:t>Committee of Experts on the Transport of Dangerous Goods</w:t>
      </w:r>
      <w:r w:rsidRPr="00917619">
        <w:rPr>
          <w:b/>
          <w:sz w:val="24"/>
          <w:szCs w:val="24"/>
        </w:rPr>
        <w:br/>
        <w:t>and on the Globally Harmonized System of Classification</w:t>
      </w:r>
      <w:r w:rsidRPr="00917619">
        <w:rPr>
          <w:b/>
          <w:sz w:val="24"/>
          <w:szCs w:val="24"/>
        </w:rPr>
        <w:br/>
        <w:t>and Labelling of Chemicals</w:t>
      </w:r>
    </w:p>
    <w:p w14:paraId="6BD6ED61" w14:textId="77777777" w:rsidR="00B71743" w:rsidRPr="00917619" w:rsidRDefault="00B71743" w:rsidP="004858F5">
      <w:pPr>
        <w:spacing w:before="120"/>
        <w:rPr>
          <w:rFonts w:ascii="Helv" w:hAnsi="Helv" w:cs="Helv"/>
          <w:b/>
          <w:color w:val="000000"/>
        </w:rPr>
      </w:pPr>
      <w:r w:rsidRPr="00917619">
        <w:rPr>
          <w:b/>
        </w:rPr>
        <w:t>Sub-Committee of Experts on the Transport of Dangerous Goods</w:t>
      </w:r>
    </w:p>
    <w:p w14:paraId="2F5DA2E4" w14:textId="47B1D506" w:rsidR="00B71743" w:rsidRPr="00917619" w:rsidRDefault="00581B14" w:rsidP="004858F5">
      <w:pPr>
        <w:spacing w:before="120"/>
        <w:rPr>
          <w:b/>
        </w:rPr>
      </w:pPr>
      <w:r w:rsidRPr="00917619">
        <w:rPr>
          <w:b/>
        </w:rPr>
        <w:t>Sixty-fourth</w:t>
      </w:r>
      <w:r w:rsidR="00B71743" w:rsidRPr="00917619">
        <w:rPr>
          <w:b/>
        </w:rPr>
        <w:t xml:space="preserve"> session</w:t>
      </w:r>
    </w:p>
    <w:p w14:paraId="363EDA06" w14:textId="2B2B12B9" w:rsidR="00B71743" w:rsidRPr="00917619" w:rsidRDefault="00B71743" w:rsidP="004858F5">
      <w:r w:rsidRPr="00917619">
        <w:t xml:space="preserve">Geneva, </w:t>
      </w:r>
      <w:r w:rsidR="00581B14" w:rsidRPr="00917619">
        <w:t>24 June-3 July 2024</w:t>
      </w:r>
    </w:p>
    <w:p w14:paraId="243EDFD0" w14:textId="19076778" w:rsidR="00B71743" w:rsidRPr="00917619" w:rsidRDefault="00B71743" w:rsidP="004858F5">
      <w:r w:rsidRPr="00917619">
        <w:t xml:space="preserve">Item </w:t>
      </w:r>
      <w:r w:rsidR="00905803" w:rsidRPr="00917619">
        <w:t>6 (d)</w:t>
      </w:r>
      <w:r w:rsidRPr="00917619">
        <w:t xml:space="preserve"> of the provisional agenda</w:t>
      </w:r>
    </w:p>
    <w:p w14:paraId="4AF31724" w14:textId="22163397" w:rsidR="00AF5DE1" w:rsidRPr="00917619" w:rsidRDefault="00295D01" w:rsidP="004858F5">
      <w:pPr>
        <w:rPr>
          <w:b/>
          <w:bCs/>
        </w:rPr>
      </w:pPr>
      <w:r w:rsidRPr="00917619">
        <w:rPr>
          <w:b/>
          <w:bCs/>
        </w:rPr>
        <w:t>Miscellaneous proposals for amendments to the Model Regulations</w:t>
      </w:r>
      <w:r w:rsidR="00315A1F" w:rsidRPr="00917619">
        <w:rPr>
          <w:b/>
          <w:bCs/>
        </w:rPr>
        <w:br/>
      </w:r>
      <w:r w:rsidRPr="00917619">
        <w:rPr>
          <w:b/>
          <w:bCs/>
        </w:rPr>
        <w:t>on the Transport of Dangerous Goods:</w:t>
      </w:r>
    </w:p>
    <w:p w14:paraId="189CDEA5" w14:textId="34F554EE" w:rsidR="00315A1F" w:rsidRPr="00917619" w:rsidRDefault="00E40161" w:rsidP="004858F5">
      <w:pPr>
        <w:rPr>
          <w:b/>
          <w:bCs/>
        </w:rPr>
      </w:pPr>
      <w:r w:rsidRPr="00917619">
        <w:rPr>
          <w:b/>
          <w:bCs/>
        </w:rPr>
        <w:t>Other miscellaneous proposals</w:t>
      </w:r>
    </w:p>
    <w:p w14:paraId="5AD392F7" w14:textId="2E7A0CF0" w:rsidR="00DB4164" w:rsidRPr="00917619" w:rsidRDefault="00E40161" w:rsidP="00E36D98">
      <w:pPr>
        <w:pStyle w:val="HChG"/>
        <w:rPr>
          <w:lang w:eastAsia="ja-JP"/>
        </w:rPr>
      </w:pPr>
      <w:r w:rsidRPr="00917619">
        <w:tab/>
      </w:r>
      <w:r w:rsidRPr="00917619">
        <w:tab/>
      </w:r>
      <w:r w:rsidR="00DB4164" w:rsidRPr="00917619">
        <w:t>Amendments to the Spanish language version</w:t>
      </w:r>
    </w:p>
    <w:p w14:paraId="01B9F3C9" w14:textId="77777777" w:rsidR="00DB4164" w:rsidRPr="00917619" w:rsidRDefault="00DB4164" w:rsidP="00E36D98">
      <w:pPr>
        <w:pStyle w:val="H1G"/>
      </w:pPr>
      <w:bookmarkStart w:id="0" w:name="_Hlk531350542"/>
      <w:r w:rsidRPr="00917619">
        <w:tab/>
      </w:r>
      <w:r w:rsidRPr="00917619">
        <w:tab/>
        <w:t xml:space="preserve">Transmitted by the </w:t>
      </w:r>
      <w:bookmarkEnd w:id="0"/>
      <w:r w:rsidRPr="00917619">
        <w:t xml:space="preserve">expert from </w:t>
      </w:r>
      <w:proofErr w:type="gramStart"/>
      <w:r w:rsidRPr="00917619">
        <w:t>Spain</w:t>
      </w:r>
      <w:proofErr w:type="gramEnd"/>
    </w:p>
    <w:p w14:paraId="55CA28A1" w14:textId="77777777" w:rsidR="00DB4164" w:rsidRPr="000A3FC1" w:rsidRDefault="00DB4164" w:rsidP="00E36D98">
      <w:pPr>
        <w:pStyle w:val="HChG"/>
      </w:pPr>
      <w:r>
        <w:tab/>
      </w:r>
      <w:r w:rsidRPr="000A3FC1">
        <w:t>I.</w:t>
      </w:r>
      <w:r w:rsidRPr="000A3FC1">
        <w:tab/>
        <w:t>Special packing provision B11</w:t>
      </w:r>
    </w:p>
    <w:p w14:paraId="478594B0" w14:textId="4966446C" w:rsidR="00DB4164" w:rsidRPr="000A3FC1" w:rsidRDefault="00DB4164" w:rsidP="00917619">
      <w:pPr>
        <w:pStyle w:val="SingleTxtG"/>
      </w:pPr>
      <w:r w:rsidRPr="000A3FC1">
        <w:t>1.</w:t>
      </w:r>
      <w:r w:rsidRPr="000A3FC1">
        <w:tab/>
        <w:t xml:space="preserve">As part of the </w:t>
      </w:r>
      <w:r w:rsidRPr="00917619">
        <w:t>amendments</w:t>
      </w:r>
      <w:r w:rsidRPr="000A3FC1">
        <w:t xml:space="preserve"> to the twenty-second revised edition of the </w:t>
      </w:r>
      <w:r w:rsidRPr="00277E77">
        <w:rPr>
          <w:i/>
          <w:iCs/>
        </w:rPr>
        <w:t>Recommendations on the Transport of Dangerous Goods</w:t>
      </w:r>
      <w:r w:rsidR="00CC2B9C">
        <w:rPr>
          <w:i/>
          <w:iCs/>
        </w:rPr>
        <w:t>,</w:t>
      </w:r>
      <w:r w:rsidR="00917619">
        <w:t xml:space="preserve"> </w:t>
      </w:r>
      <w:r w:rsidRPr="000A3FC1">
        <w:t>the following amendments were adopted (ST/SG/AC.10/1/Rev.22):</w:t>
      </w:r>
    </w:p>
    <w:p w14:paraId="6AA5F981" w14:textId="77777777" w:rsidR="00DB4164" w:rsidRPr="000A3FC1" w:rsidRDefault="00DB4164" w:rsidP="00DB4164">
      <w:pPr>
        <w:pStyle w:val="SingleTxtG"/>
      </w:pPr>
      <w:r w:rsidRPr="000A3FC1">
        <w:tab/>
        <w:t>4.1.4.2, IBC03 Amend special packing provision B11 to read as follows:</w:t>
      </w:r>
    </w:p>
    <w:p w14:paraId="7C61B455" w14:textId="3C587DCC" w:rsidR="00DB4164" w:rsidRPr="000A3FC1" w:rsidRDefault="00DB4164" w:rsidP="00DB4164">
      <w:pPr>
        <w:pStyle w:val="SingleTxtG"/>
        <w:ind w:left="1701"/>
      </w:pPr>
      <w:r w:rsidRPr="000A3FC1">
        <w:tab/>
        <w:t>“B11 Notwithstanding the provisions of the second paragraph of 4.1.1.10, UN</w:t>
      </w:r>
      <w:r w:rsidR="00917619">
        <w:t> </w:t>
      </w:r>
      <w:r w:rsidRPr="000A3FC1">
        <w:t>2672 ammonia solution in concentrations not exceeding 25 % may be transported in IBCs.”</w:t>
      </w:r>
    </w:p>
    <w:p w14:paraId="4B50255A" w14:textId="77777777" w:rsidR="00DB4164" w:rsidRPr="000A3FC1" w:rsidRDefault="00DB4164" w:rsidP="00DB4164">
      <w:pPr>
        <w:pStyle w:val="SingleTxtG"/>
      </w:pPr>
      <w:r w:rsidRPr="000A3FC1">
        <w:t>2.</w:t>
      </w:r>
      <w:r w:rsidRPr="000A3FC1">
        <w:tab/>
        <w:t xml:space="preserve">This amendment has not been correctly introduced into the Spanish language version of the </w:t>
      </w:r>
      <w:r w:rsidRPr="00277E77">
        <w:rPr>
          <w:i/>
          <w:iCs/>
        </w:rPr>
        <w:t>Model Regulations</w:t>
      </w:r>
      <w:r w:rsidRPr="000A3FC1">
        <w:t>. The text currently reads:</w:t>
      </w:r>
    </w:p>
    <w:p w14:paraId="5CB5CCEE" w14:textId="5BC092FD" w:rsidR="00DB4164" w:rsidRPr="00917619" w:rsidRDefault="00DB4164" w:rsidP="00DB4164">
      <w:pPr>
        <w:pStyle w:val="SingleTxtG"/>
        <w:ind w:left="1701"/>
        <w:rPr>
          <w:lang w:val="es-ES_tradnl"/>
        </w:rPr>
      </w:pPr>
      <w:r w:rsidRPr="00917619">
        <w:rPr>
          <w:lang w:val="es-ES_tradnl"/>
        </w:rPr>
        <w:tab/>
        <w:t>“B11 Sin perjuicio de lo dispuesto en 4.1.1.10, el número ONU</w:t>
      </w:r>
      <w:r w:rsidR="00917619">
        <w:rPr>
          <w:lang w:val="es-ES_tradnl"/>
        </w:rPr>
        <w:t> </w:t>
      </w:r>
      <w:r w:rsidRPr="00917619">
        <w:rPr>
          <w:lang w:val="es-ES_tradnl"/>
        </w:rPr>
        <w:t xml:space="preserve">2672 amoniaco en solución, en concentraciones no superiores al 25 </w:t>
      </w:r>
      <w:r w:rsidR="00917619">
        <w:rPr>
          <w:lang w:val="es-ES_tradnl"/>
        </w:rPr>
        <w:t xml:space="preserve">% </w:t>
      </w:r>
      <w:r w:rsidRPr="00917619">
        <w:rPr>
          <w:lang w:val="es-ES_tradnl"/>
        </w:rPr>
        <w:t>podrá transportarse en RIG.”</w:t>
      </w:r>
    </w:p>
    <w:p w14:paraId="45839B21" w14:textId="153A57DD" w:rsidR="00DB4164" w:rsidRPr="000A3FC1" w:rsidRDefault="00DB4164" w:rsidP="000A3FC1">
      <w:pPr>
        <w:pStyle w:val="SingleTxtG"/>
      </w:pPr>
      <w:r w:rsidRPr="000A3FC1">
        <w:t>3.</w:t>
      </w:r>
      <w:r w:rsidRPr="000A3FC1">
        <w:tab/>
        <w:t xml:space="preserve">The reference to the </w:t>
      </w:r>
      <w:r w:rsidR="00BD37E6">
        <w:t>“</w:t>
      </w:r>
      <w:r w:rsidRPr="000A3FC1">
        <w:t>second paragraph</w:t>
      </w:r>
      <w:r w:rsidR="00BD37E6">
        <w:t>”</w:t>
      </w:r>
      <w:r w:rsidRPr="000A3FC1">
        <w:t xml:space="preserve"> is missing, </w:t>
      </w:r>
      <w:r w:rsidR="006E756A">
        <w:t xml:space="preserve">and </w:t>
      </w:r>
      <w:r w:rsidRPr="000A3FC1">
        <w:t xml:space="preserve">this </w:t>
      </w:r>
      <w:r w:rsidR="006E756A">
        <w:t xml:space="preserve">omission </w:t>
      </w:r>
      <w:r w:rsidRPr="000A3FC1">
        <w:t>should be corrected. The corresponding text is proposed in proposal 1</w:t>
      </w:r>
      <w:r w:rsidR="006E756A">
        <w:t xml:space="preserve"> below</w:t>
      </w:r>
      <w:r w:rsidRPr="000A3FC1">
        <w:t>.</w:t>
      </w:r>
    </w:p>
    <w:p w14:paraId="64E32491" w14:textId="340C29D0" w:rsidR="00DB4164" w:rsidRPr="000A3FC1" w:rsidRDefault="00DB4164" w:rsidP="00DB4164">
      <w:pPr>
        <w:pStyle w:val="HChG"/>
      </w:pPr>
      <w:r w:rsidRPr="000A3FC1">
        <w:tab/>
        <w:t>II.</w:t>
      </w:r>
      <w:r w:rsidRPr="000A3FC1">
        <w:tab/>
        <w:t>Pallet, palletized, shri</w:t>
      </w:r>
      <w:r w:rsidR="00AD45D5">
        <w:t>n</w:t>
      </w:r>
      <w:r w:rsidRPr="000A3FC1">
        <w:t>k-</w:t>
      </w:r>
      <w:r w:rsidR="00AD45D5">
        <w:t xml:space="preserve"> </w:t>
      </w:r>
      <w:r w:rsidRPr="000A3FC1">
        <w:t>and stretch-wrapped</w:t>
      </w:r>
    </w:p>
    <w:p w14:paraId="78FEB7DF" w14:textId="71194524" w:rsidR="00DB4164" w:rsidRPr="000A3FC1" w:rsidRDefault="00DB4164" w:rsidP="00DB4164">
      <w:pPr>
        <w:pStyle w:val="SingleTxtG"/>
      </w:pPr>
      <w:r w:rsidRPr="000A3FC1">
        <w:t>4.</w:t>
      </w:r>
      <w:r w:rsidRPr="000A3FC1">
        <w:tab/>
        <w:t xml:space="preserve">It has been noted that some expressions </w:t>
      </w:r>
      <w:r w:rsidR="00BB5182">
        <w:t>o</w:t>
      </w:r>
      <w:r w:rsidR="00AD45D5">
        <w:t>f</w:t>
      </w:r>
      <w:r w:rsidRPr="000A3FC1">
        <w:t xml:space="preserve"> the </w:t>
      </w:r>
      <w:proofErr w:type="gramStart"/>
      <w:r w:rsidRPr="000A3FC1">
        <w:t>words</w:t>
      </w:r>
      <w:proofErr w:type="gramEnd"/>
      <w:r w:rsidRPr="000A3FC1">
        <w:t xml:space="preserve"> </w:t>
      </w:r>
      <w:r w:rsidR="00AD45D5">
        <w:t>“</w:t>
      </w:r>
      <w:r w:rsidRPr="000A3FC1">
        <w:t>pallet</w:t>
      </w:r>
      <w:r w:rsidR="000C41A8">
        <w:t>”</w:t>
      </w:r>
      <w:r w:rsidRPr="000A3FC1">
        <w:t xml:space="preserve">, </w:t>
      </w:r>
      <w:r w:rsidR="000C41A8">
        <w:t>“</w:t>
      </w:r>
      <w:r w:rsidRPr="000A3FC1">
        <w:t>palletized</w:t>
      </w:r>
      <w:r w:rsidR="000C41A8">
        <w:t>”</w:t>
      </w:r>
      <w:r w:rsidRPr="000A3FC1">
        <w:t xml:space="preserve">, </w:t>
      </w:r>
      <w:r w:rsidR="000C41A8">
        <w:t>“</w:t>
      </w:r>
      <w:r w:rsidRPr="000A3FC1">
        <w:t>shrink-wrapped</w:t>
      </w:r>
      <w:r w:rsidR="00AD45D5">
        <w:t>”</w:t>
      </w:r>
      <w:r w:rsidRPr="000A3FC1">
        <w:t xml:space="preserve"> and </w:t>
      </w:r>
      <w:r w:rsidR="00AD45D5">
        <w:t>“</w:t>
      </w:r>
      <w:r w:rsidRPr="000A3FC1">
        <w:t>stretch-wrapped</w:t>
      </w:r>
      <w:r w:rsidR="00AD45D5">
        <w:t>”</w:t>
      </w:r>
      <w:r w:rsidRPr="000A3FC1">
        <w:t xml:space="preserve"> have not been translated consistently using the same wording in the Spanish version. This </w:t>
      </w:r>
      <w:r w:rsidR="002C0B56">
        <w:t xml:space="preserve">may </w:t>
      </w:r>
      <w:r w:rsidRPr="000A3FC1">
        <w:t>cause potential misinterpretation</w:t>
      </w:r>
      <w:r w:rsidR="002C0B56">
        <w:t>s</w:t>
      </w:r>
      <w:r w:rsidRPr="000A3FC1">
        <w:t xml:space="preserve"> and</w:t>
      </w:r>
      <w:r w:rsidR="002C0B56">
        <w:t>, therefore,</w:t>
      </w:r>
      <w:r w:rsidRPr="000A3FC1">
        <w:t xml:space="preserve"> </w:t>
      </w:r>
      <w:r w:rsidR="00622DA5">
        <w:t xml:space="preserve">the expressions </w:t>
      </w:r>
      <w:r w:rsidRPr="000A3FC1">
        <w:t>should be corrected.</w:t>
      </w:r>
    </w:p>
    <w:p w14:paraId="5EE0E71D" w14:textId="11DE2556" w:rsidR="00DB4164" w:rsidRPr="000A3FC1" w:rsidRDefault="00DB4164" w:rsidP="00DB4164">
      <w:pPr>
        <w:pStyle w:val="SingleTxtG"/>
      </w:pPr>
      <w:r w:rsidRPr="000A3FC1">
        <w:t>5.</w:t>
      </w:r>
      <w:r w:rsidRPr="000A3FC1">
        <w:tab/>
        <w:t>Amendments concerning this issue can be found in proposals 2, 3, 4 and 5</w:t>
      </w:r>
      <w:r w:rsidR="00E84B10">
        <w:t xml:space="preserve"> below</w:t>
      </w:r>
      <w:r w:rsidRPr="000A3FC1">
        <w:t>.</w:t>
      </w:r>
    </w:p>
    <w:p w14:paraId="6FCC8AF8" w14:textId="77777777" w:rsidR="00DB4164" w:rsidRPr="000A3FC1" w:rsidRDefault="00DB4164" w:rsidP="003D22A8">
      <w:pPr>
        <w:pStyle w:val="HChG"/>
      </w:pPr>
      <w:r w:rsidRPr="000A3FC1">
        <w:lastRenderedPageBreak/>
        <w:tab/>
        <w:t>III.</w:t>
      </w:r>
      <w:r w:rsidRPr="000A3FC1">
        <w:tab/>
        <w:t>Proposal</w:t>
      </w:r>
    </w:p>
    <w:p w14:paraId="14FC47F4" w14:textId="1E6EBD64" w:rsidR="00DB4164" w:rsidRPr="000A3FC1" w:rsidRDefault="00DB4164" w:rsidP="00DB4164">
      <w:pPr>
        <w:pStyle w:val="SingleTxtG"/>
      </w:pPr>
      <w:r w:rsidRPr="000A3FC1">
        <w:t>6.</w:t>
      </w:r>
      <w:r w:rsidRPr="000A3FC1">
        <w:tab/>
        <w:t xml:space="preserve">The following amendments to the Spanish language version are proposed (new text in </w:t>
      </w:r>
      <w:r w:rsidRPr="000A3FC1">
        <w:rPr>
          <w:b/>
          <w:bCs/>
        </w:rPr>
        <w:t xml:space="preserve">bold, </w:t>
      </w:r>
      <w:r w:rsidRPr="00C93D22">
        <w:t xml:space="preserve">deleted text </w:t>
      </w:r>
      <w:r w:rsidR="00C93D22" w:rsidRPr="00C93D22">
        <w:t xml:space="preserve">is </w:t>
      </w:r>
      <w:r w:rsidRPr="00C93D22">
        <w:t>stricken through</w:t>
      </w:r>
      <w:r w:rsidRPr="000A3FC1">
        <w:t>):</w:t>
      </w:r>
    </w:p>
    <w:p w14:paraId="2D6118DC" w14:textId="26A35708" w:rsidR="00DB4164" w:rsidRPr="000A3FC1" w:rsidRDefault="003D22A8" w:rsidP="003D22A8">
      <w:pPr>
        <w:pStyle w:val="H1G"/>
      </w:pPr>
      <w:r w:rsidRPr="000A3FC1">
        <w:tab/>
      </w:r>
      <w:r w:rsidRPr="000A3FC1">
        <w:tab/>
      </w:r>
      <w:r w:rsidR="00DB4164" w:rsidRPr="000A3FC1">
        <w:t>Proposal 1</w:t>
      </w:r>
    </w:p>
    <w:p w14:paraId="010372C3" w14:textId="01226913" w:rsidR="00DB4164" w:rsidRPr="000A3FC1" w:rsidRDefault="00DB4164" w:rsidP="00DB4164">
      <w:pPr>
        <w:pStyle w:val="SingleTxtG"/>
      </w:pPr>
      <w:r w:rsidRPr="000A3FC1">
        <w:t>Add to 4.1.4.2., IBC03</w:t>
      </w:r>
      <w:r w:rsidR="00D42716">
        <w:t>:</w:t>
      </w:r>
    </w:p>
    <w:p w14:paraId="7C565736" w14:textId="0BE6E4DB" w:rsidR="00DB4164" w:rsidRPr="00917619" w:rsidRDefault="00DB4164" w:rsidP="00DB4164">
      <w:pPr>
        <w:pStyle w:val="SingleTxtG"/>
        <w:ind w:left="1701"/>
        <w:rPr>
          <w:lang w:val="es-ES_tradnl"/>
        </w:rPr>
      </w:pPr>
      <w:r w:rsidRPr="000A3FC1">
        <w:t>“</w:t>
      </w:r>
      <w:r w:rsidRPr="00917619">
        <w:rPr>
          <w:lang w:val="es-ES_tradnl"/>
        </w:rPr>
        <w:t xml:space="preserve">B11 Sin perjuicio de lo dispuesto en </w:t>
      </w:r>
      <w:r w:rsidRPr="00917619">
        <w:rPr>
          <w:b/>
          <w:bCs/>
          <w:lang w:val="es-ES_tradnl"/>
        </w:rPr>
        <w:t>la segunda línea de</w:t>
      </w:r>
      <w:r w:rsidRPr="00917619">
        <w:rPr>
          <w:lang w:val="es-ES_tradnl"/>
        </w:rPr>
        <w:t xml:space="preserve"> 4.1.1.10, el número ONU</w:t>
      </w:r>
      <w:r w:rsidR="00917619">
        <w:rPr>
          <w:lang w:val="es-ES_tradnl"/>
        </w:rPr>
        <w:t> </w:t>
      </w:r>
      <w:r w:rsidRPr="00917619">
        <w:rPr>
          <w:lang w:val="es-ES_tradnl"/>
        </w:rPr>
        <w:t>2672 amoniaco en solución, en concentraciones no superiores al 25 % podrá transportarse en RIG.”</w:t>
      </w:r>
    </w:p>
    <w:p w14:paraId="175CB18D" w14:textId="7FEF090F" w:rsidR="00DB4164" w:rsidRPr="000A3FC1" w:rsidRDefault="003D22A8" w:rsidP="003D22A8">
      <w:pPr>
        <w:pStyle w:val="H1G"/>
      </w:pPr>
      <w:r w:rsidRPr="000A3FC1">
        <w:tab/>
      </w:r>
      <w:r w:rsidRPr="000A3FC1">
        <w:tab/>
      </w:r>
      <w:r w:rsidR="00DB4164" w:rsidRPr="000A3FC1">
        <w:t>Proposal 2</w:t>
      </w:r>
    </w:p>
    <w:p w14:paraId="5A1421B2" w14:textId="0DC73E21" w:rsidR="00DB4164" w:rsidRPr="000A3FC1" w:rsidRDefault="00DB4164" w:rsidP="00DB4164">
      <w:pPr>
        <w:pStyle w:val="SingleTxtG"/>
      </w:pPr>
      <w:r w:rsidRPr="000A3FC1">
        <w:t>Amend P650</w:t>
      </w:r>
      <w:r w:rsidR="00C23EC7">
        <w:t xml:space="preserve"> (</w:t>
      </w:r>
      <w:r w:rsidRPr="000A3FC1">
        <w:t>1</w:t>
      </w:r>
      <w:r w:rsidR="00C23EC7">
        <w:t>)</w:t>
      </w:r>
      <w:r w:rsidRPr="000A3FC1">
        <w:t xml:space="preserve"> to read as follows:</w:t>
      </w:r>
    </w:p>
    <w:p w14:paraId="515DA1B3" w14:textId="77777777" w:rsidR="00DB4164" w:rsidRPr="000A3FC1" w:rsidRDefault="00DB4164" w:rsidP="00DB4164">
      <w:pPr>
        <w:pStyle w:val="SingleTxtG"/>
        <w:ind w:left="1701"/>
      </w:pPr>
      <w:r w:rsidRPr="000A3FC1">
        <w:t>“</w:t>
      </w:r>
      <w:r w:rsidRPr="00917619">
        <w:rPr>
          <w:lang w:val="es-ES_tradnl"/>
        </w:rPr>
        <w:t xml:space="preserve">Los embalajes/envases deberán ser de buena calidad, suficientemente fuertes como para resistir los choques y las cargas que pueden producirse normalmente durante el transporte, incluido el transbordo entre distintas unidades de transporte y entre unidades de transporte y almacenes, </w:t>
      </w:r>
      <w:bookmarkStart w:id="1" w:name="_Hlk151455134"/>
      <w:r w:rsidRPr="00917619">
        <w:rPr>
          <w:lang w:val="es-ES_tradnl"/>
        </w:rPr>
        <w:t>así como</w:t>
      </w:r>
      <w:r w:rsidRPr="00917619">
        <w:rPr>
          <w:strike/>
          <w:lang w:val="es-ES_tradnl"/>
        </w:rPr>
        <w:t xml:space="preserve"> el izado de </w:t>
      </w:r>
      <w:bookmarkEnd w:id="1"/>
      <w:r w:rsidRPr="00917619">
        <w:rPr>
          <w:strike/>
          <w:lang w:val="es-ES_tradnl"/>
        </w:rPr>
        <w:t>palés</w:t>
      </w:r>
      <w:r w:rsidRPr="00917619">
        <w:rPr>
          <w:lang w:val="es-ES_tradnl"/>
        </w:rPr>
        <w:t xml:space="preserve"> </w:t>
      </w:r>
      <w:r w:rsidRPr="00917619">
        <w:rPr>
          <w:b/>
          <w:bCs/>
          <w:lang w:val="es-ES_tradnl"/>
        </w:rPr>
        <w:t>su retirada del palé</w:t>
      </w:r>
      <w:r w:rsidRPr="00917619">
        <w:rPr>
          <w:lang w:val="es-ES_tradnl"/>
        </w:rPr>
        <w:t xml:space="preserve"> o </w:t>
      </w:r>
      <w:proofErr w:type="spellStart"/>
      <w:r w:rsidRPr="00917619">
        <w:rPr>
          <w:lang w:val="es-ES_tradnl"/>
        </w:rPr>
        <w:t>sobreembalajes</w:t>
      </w:r>
      <w:proofErr w:type="spellEnd"/>
      <w:r w:rsidRPr="00917619">
        <w:rPr>
          <w:lang w:val="es-ES_tradnl"/>
        </w:rPr>
        <w:t>/</w:t>
      </w:r>
      <w:proofErr w:type="spellStart"/>
      <w:r w:rsidRPr="00917619">
        <w:rPr>
          <w:lang w:val="es-ES_tradnl"/>
        </w:rPr>
        <w:t>sobreenvases</w:t>
      </w:r>
      <w:proofErr w:type="spellEnd"/>
      <w:r w:rsidRPr="00917619">
        <w:rPr>
          <w:lang w:val="es-ES_tradnl"/>
        </w:rPr>
        <w:t xml:space="preserve"> para su ulterior manipulación manual o mecánica</w:t>
      </w:r>
      <w:r w:rsidRPr="000A3FC1">
        <w:t>”</w:t>
      </w:r>
    </w:p>
    <w:p w14:paraId="7D6EBC18" w14:textId="6FE2B951" w:rsidR="00DB4164" w:rsidRPr="000A3FC1" w:rsidRDefault="003D22A8" w:rsidP="003D22A8">
      <w:pPr>
        <w:pStyle w:val="H1G"/>
      </w:pPr>
      <w:r w:rsidRPr="000A3FC1">
        <w:tab/>
      </w:r>
      <w:r w:rsidRPr="000A3FC1">
        <w:tab/>
      </w:r>
      <w:r w:rsidR="00DB4164" w:rsidRPr="000A3FC1">
        <w:t>Proposal 3</w:t>
      </w:r>
    </w:p>
    <w:p w14:paraId="1C32D6D6" w14:textId="77777777" w:rsidR="00DB4164" w:rsidRPr="000A3FC1" w:rsidRDefault="00DB4164" w:rsidP="00DB4164">
      <w:pPr>
        <w:pStyle w:val="SingleTxtG"/>
      </w:pPr>
      <w:r w:rsidRPr="000A3FC1">
        <w:t>Amend PP7 to read as follows:</w:t>
      </w:r>
    </w:p>
    <w:p w14:paraId="65689BCB" w14:textId="77777777" w:rsidR="00DB4164" w:rsidRPr="000A3FC1" w:rsidRDefault="00DB4164" w:rsidP="00DB4164">
      <w:pPr>
        <w:pStyle w:val="SingleTxtG"/>
        <w:ind w:left="1701"/>
        <w:rPr>
          <w:spacing w:val="-2"/>
        </w:rPr>
      </w:pPr>
      <w:r w:rsidRPr="000A3FC1">
        <w:t>“</w:t>
      </w:r>
      <w:r w:rsidRPr="00917619">
        <w:rPr>
          <w:spacing w:val="-2"/>
          <w:lang w:val="es-ES_tradnl"/>
        </w:rPr>
        <w:t xml:space="preserve">En el caso del </w:t>
      </w:r>
      <w:proofErr w:type="spellStart"/>
      <w:r w:rsidRPr="00917619">
        <w:rPr>
          <w:spacing w:val="-2"/>
          <w:lang w:val="es-ES_tradnl"/>
        </w:rPr>
        <w:t>Nº</w:t>
      </w:r>
      <w:proofErr w:type="spellEnd"/>
      <w:r w:rsidRPr="00917619">
        <w:rPr>
          <w:spacing w:val="-2"/>
          <w:lang w:val="es-ES_tradnl"/>
        </w:rPr>
        <w:t xml:space="preserve"> ONU 2000, el celuloide podrá transportarse no embalado en </w:t>
      </w:r>
      <w:r w:rsidRPr="00917619">
        <w:rPr>
          <w:b/>
          <w:bCs/>
          <w:spacing w:val="-2"/>
          <w:lang w:val="es-ES_tradnl"/>
        </w:rPr>
        <w:t>palés</w:t>
      </w:r>
      <w:r w:rsidRPr="00917619">
        <w:rPr>
          <w:strike/>
          <w:spacing w:val="-2"/>
          <w:lang w:val="es-ES_tradnl"/>
        </w:rPr>
        <w:t xml:space="preserve"> embalajes paletizados</w:t>
      </w:r>
      <w:r w:rsidRPr="00917619">
        <w:rPr>
          <w:spacing w:val="-2"/>
          <w:lang w:val="es-ES_tradnl"/>
        </w:rPr>
        <w:t>, envuelto en una funda de plástico y fijado por medios apropiados, tales como bandas de acero, como plena carga en unidades de transporte cerradas.”</w:t>
      </w:r>
    </w:p>
    <w:p w14:paraId="66C397FA" w14:textId="77E3616F" w:rsidR="00DB4164" w:rsidRPr="000A3FC1" w:rsidRDefault="003D22A8" w:rsidP="003D22A8">
      <w:pPr>
        <w:pStyle w:val="H1G"/>
      </w:pPr>
      <w:r w:rsidRPr="000A3FC1">
        <w:tab/>
      </w:r>
      <w:r w:rsidRPr="000A3FC1">
        <w:tab/>
      </w:r>
      <w:r w:rsidR="00DB4164" w:rsidRPr="000A3FC1">
        <w:t>Proposal 4</w:t>
      </w:r>
    </w:p>
    <w:p w14:paraId="78AA4E46" w14:textId="1B2FD23C" w:rsidR="00DB4164" w:rsidRPr="000A3FC1" w:rsidRDefault="00DB4164" w:rsidP="00DB4164">
      <w:pPr>
        <w:pStyle w:val="SingleTxtG"/>
      </w:pPr>
      <w:r w:rsidRPr="000A3FC1">
        <w:t xml:space="preserve">Amend 4.1.6.1.9 </w:t>
      </w:r>
      <w:r w:rsidR="00C23EC7">
        <w:t>(</w:t>
      </w:r>
      <w:r w:rsidRPr="000A3FC1">
        <w:t>a) to read as follows:</w:t>
      </w:r>
    </w:p>
    <w:p w14:paraId="3889C852" w14:textId="77777777" w:rsidR="00DB4164" w:rsidRPr="00917619" w:rsidRDefault="00DB4164" w:rsidP="00DB4164">
      <w:pPr>
        <w:pStyle w:val="SingleTxtG"/>
        <w:ind w:left="1701"/>
        <w:rPr>
          <w:spacing w:val="-2"/>
          <w:lang w:val="es-ES_tradnl"/>
        </w:rPr>
      </w:pPr>
      <w:r w:rsidRPr="000A3FC1">
        <w:rPr>
          <w:spacing w:val="-2"/>
        </w:rPr>
        <w:t>“</w:t>
      </w:r>
      <w:r w:rsidRPr="00917619">
        <w:rPr>
          <w:spacing w:val="-2"/>
          <w:lang w:val="es-ES_tradnl"/>
        </w:rPr>
        <w:t xml:space="preserve">deberán transportarse en un embalaje/envase exterior, como una caja, o un cajón o en bandejas </w:t>
      </w:r>
      <w:r w:rsidRPr="00917619">
        <w:rPr>
          <w:strike/>
          <w:spacing w:val="-2"/>
          <w:lang w:val="es-ES_tradnl"/>
        </w:rPr>
        <w:t>retráctiles o extensibles</w:t>
      </w:r>
      <w:r w:rsidRPr="00917619">
        <w:rPr>
          <w:b/>
          <w:bCs/>
          <w:strike/>
          <w:spacing w:val="-2"/>
          <w:lang w:val="es-ES_tradnl"/>
        </w:rPr>
        <w:t xml:space="preserve"> </w:t>
      </w:r>
      <w:r w:rsidRPr="00917619">
        <w:rPr>
          <w:b/>
          <w:bCs/>
          <w:spacing w:val="-2"/>
          <w:lang w:val="es-ES_tradnl"/>
        </w:rPr>
        <w:t>con envoltura retráctil o estirable</w:t>
      </w:r>
      <w:r w:rsidRPr="00917619">
        <w:rPr>
          <w:spacing w:val="-2"/>
          <w:lang w:val="es-ES_tradnl"/>
        </w:rPr>
        <w:t>;”</w:t>
      </w:r>
    </w:p>
    <w:p w14:paraId="7F9FDB93" w14:textId="421645E3" w:rsidR="00DB4164" w:rsidRPr="000A3FC1" w:rsidRDefault="003D22A8" w:rsidP="003D22A8">
      <w:pPr>
        <w:pStyle w:val="H1G"/>
      </w:pPr>
      <w:r w:rsidRPr="000A3FC1">
        <w:tab/>
      </w:r>
      <w:r w:rsidRPr="000A3FC1">
        <w:tab/>
      </w:r>
      <w:r w:rsidR="00DB4164" w:rsidRPr="000A3FC1">
        <w:t>Proposal 5</w:t>
      </w:r>
    </w:p>
    <w:p w14:paraId="32B79F26" w14:textId="77777777" w:rsidR="00DB4164" w:rsidRPr="000A3FC1" w:rsidRDefault="00DB4164" w:rsidP="00DB4164">
      <w:pPr>
        <w:pStyle w:val="SingleTxtG"/>
      </w:pPr>
      <w:r w:rsidRPr="000A3FC1">
        <w:t>Amend 3.4.3 to read as follows:</w:t>
      </w:r>
    </w:p>
    <w:p w14:paraId="49613B50" w14:textId="77777777" w:rsidR="00DB4164" w:rsidRPr="00917619" w:rsidRDefault="00DB4164" w:rsidP="00DB4164">
      <w:pPr>
        <w:pStyle w:val="SingleTxtG"/>
        <w:ind w:left="1701"/>
        <w:rPr>
          <w:lang w:val="es-ES_tradnl"/>
        </w:rPr>
      </w:pPr>
      <w:r w:rsidRPr="000A3FC1">
        <w:t>“</w:t>
      </w:r>
      <w:r w:rsidRPr="00917619">
        <w:rPr>
          <w:lang w:val="es-ES_tradnl"/>
        </w:rPr>
        <w:t xml:space="preserve">Excepto para los objetos de la división 1.4, grupo de compatibilidad S, las </w:t>
      </w:r>
      <w:r w:rsidRPr="00917619">
        <w:rPr>
          <w:strike/>
          <w:lang w:val="es-ES_tradnl"/>
        </w:rPr>
        <w:t xml:space="preserve">bandejas que estén provistas de ligaduras contráctiles o elásticas y </w:t>
      </w:r>
      <w:r w:rsidRPr="00917619">
        <w:rPr>
          <w:b/>
          <w:bCs/>
          <w:lang w:val="es-ES_tradnl"/>
        </w:rPr>
        <w:t>bandejas con envoltura retráctil o estirable que</w:t>
      </w:r>
      <w:r w:rsidRPr="00917619">
        <w:rPr>
          <w:lang w:val="es-ES_tradnl"/>
        </w:rPr>
        <w:t xml:space="preserve"> se ajusten a lo previsto en 4.1.1.1, 4.1.1.2 y 4.1.1.4 a 4.1.1.8 serán aceptables como embalajes/envases exteriores de objetos o como embalajes/envases interiores que contengan mercancías peligrosas cuyo transporte se efectúe de conformidad con este capítulo.”</w:t>
      </w:r>
    </w:p>
    <w:p w14:paraId="0D6F65A3" w14:textId="77777777" w:rsidR="00DB4164" w:rsidRPr="000A3FC1" w:rsidRDefault="00DB4164" w:rsidP="00917619">
      <w:pPr>
        <w:pStyle w:val="HChG"/>
        <w:spacing w:before="240"/>
      </w:pPr>
      <w:r w:rsidRPr="000A3FC1">
        <w:tab/>
        <w:t>IV.</w:t>
      </w:r>
      <w:r w:rsidRPr="000A3FC1">
        <w:tab/>
        <w:t>Justification</w:t>
      </w:r>
    </w:p>
    <w:p w14:paraId="3FB7021D" w14:textId="5D7EC012" w:rsidR="00E40161" w:rsidRPr="000A3FC1" w:rsidRDefault="00DB4164" w:rsidP="00DB4164">
      <w:pPr>
        <w:pStyle w:val="SingleTxtG"/>
      </w:pPr>
      <w:r w:rsidRPr="000A3FC1">
        <w:rPr>
          <w:lang w:eastAsia="en-US"/>
        </w:rPr>
        <w:t>7.</w:t>
      </w:r>
      <w:r w:rsidRPr="000A3FC1">
        <w:rPr>
          <w:lang w:eastAsia="en-US"/>
        </w:rPr>
        <w:tab/>
        <w:t xml:space="preserve">Ensuring a more systematic approach and a better rationale in the </w:t>
      </w:r>
      <w:r w:rsidRPr="00A17880">
        <w:rPr>
          <w:i/>
          <w:iCs/>
          <w:lang w:eastAsia="en-US"/>
        </w:rPr>
        <w:t>Model Regulations</w:t>
      </w:r>
      <w:r w:rsidRPr="000A3FC1">
        <w:rPr>
          <w:lang w:eastAsia="en-US"/>
        </w:rPr>
        <w:t xml:space="preserve"> helps to create clearer legal texts and to avoid different criteria among different countries and inspection services implementing different language versions, and thus helps to implement </w:t>
      </w:r>
      <w:r w:rsidR="00594542">
        <w:rPr>
          <w:lang w:eastAsia="en-US"/>
        </w:rPr>
        <w:t>goal</w:t>
      </w:r>
      <w:r w:rsidRPr="000A3FC1">
        <w:rPr>
          <w:lang w:eastAsia="en-US"/>
        </w:rPr>
        <w:t xml:space="preserve"> </w:t>
      </w:r>
      <w:r w:rsidRPr="000A3FC1">
        <w:t xml:space="preserve">16 of the 2030 Agenda for sustainable development (Develop effective, </w:t>
      </w:r>
      <w:proofErr w:type="gramStart"/>
      <w:r w:rsidRPr="000A3FC1">
        <w:t>accountable</w:t>
      </w:r>
      <w:proofErr w:type="gramEnd"/>
      <w:r w:rsidRPr="000A3FC1">
        <w:t xml:space="preserve"> and transparent institutions at all levels).</w:t>
      </w:r>
    </w:p>
    <w:p w14:paraId="75F146B5" w14:textId="4432917A" w:rsidR="00DB4164" w:rsidRPr="00DB4164" w:rsidRDefault="00DB4164" w:rsidP="00DB416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4164" w:rsidRPr="00DB4164" w:rsidSect="00B7174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2DEC" w14:textId="77777777" w:rsidR="00F73F2C" w:rsidRPr="00C47B2E" w:rsidRDefault="00F73F2C" w:rsidP="00C47B2E">
      <w:pPr>
        <w:pStyle w:val="Footer"/>
      </w:pPr>
    </w:p>
  </w:endnote>
  <w:endnote w:type="continuationSeparator" w:id="0">
    <w:p w14:paraId="384A56A7" w14:textId="77777777" w:rsidR="00F73F2C" w:rsidRPr="00C47B2E" w:rsidRDefault="00F73F2C" w:rsidP="00C47B2E">
      <w:pPr>
        <w:pStyle w:val="Footer"/>
      </w:pPr>
    </w:p>
  </w:endnote>
  <w:endnote w:type="continuationNotice" w:id="1">
    <w:p w14:paraId="568AE10D" w14:textId="77777777" w:rsidR="00F73F2C" w:rsidRPr="00C47B2E" w:rsidRDefault="00F73F2C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1F52" w14:textId="4D72DAD1" w:rsidR="00D94B05" w:rsidRPr="00B71743" w:rsidRDefault="00B71743" w:rsidP="00D85308">
    <w:pPr>
      <w:pStyle w:val="Footer"/>
      <w:tabs>
        <w:tab w:val="right" w:pos="9639"/>
      </w:tabs>
      <w:rPr>
        <w:sz w:val="18"/>
      </w:rPr>
    </w:pPr>
    <w:r w:rsidRPr="00B71743">
      <w:rPr>
        <w:b/>
        <w:sz w:val="18"/>
      </w:rPr>
      <w:fldChar w:fldCharType="begin"/>
    </w:r>
    <w:r w:rsidRPr="00B71743">
      <w:rPr>
        <w:b/>
        <w:sz w:val="18"/>
      </w:rPr>
      <w:instrText xml:space="preserve"> PAGE  \* MERGEFORMAT </w:instrText>
    </w:r>
    <w:r w:rsidRPr="00B71743">
      <w:rPr>
        <w:b/>
        <w:sz w:val="18"/>
      </w:rPr>
      <w:fldChar w:fldCharType="separate"/>
    </w:r>
    <w:r w:rsidRPr="00B71743">
      <w:rPr>
        <w:b/>
        <w:noProof/>
        <w:sz w:val="18"/>
      </w:rPr>
      <w:t>2</w:t>
    </w:r>
    <w:r w:rsidRPr="00B7174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AF6C" w14:textId="4B727D30" w:rsidR="00D94B05" w:rsidRPr="00B71743" w:rsidRDefault="00B71743" w:rsidP="00D85308">
    <w:pPr>
      <w:pStyle w:val="Footer"/>
      <w:tabs>
        <w:tab w:val="right" w:pos="9639"/>
      </w:tabs>
      <w:rPr>
        <w:b/>
        <w:bCs/>
        <w:sz w:val="18"/>
      </w:rPr>
    </w:pPr>
    <w:r>
      <w:rPr>
        <w:bCs/>
        <w:sz w:val="18"/>
      </w:rPr>
      <w:tab/>
    </w:r>
    <w:r w:rsidRPr="00B71743">
      <w:rPr>
        <w:b/>
        <w:bCs/>
        <w:sz w:val="18"/>
      </w:rPr>
      <w:fldChar w:fldCharType="begin"/>
    </w:r>
    <w:r w:rsidRPr="00B71743">
      <w:rPr>
        <w:b/>
        <w:bCs/>
        <w:sz w:val="18"/>
      </w:rPr>
      <w:instrText xml:space="preserve"> PAGE  \* MERGEFORMAT </w:instrText>
    </w:r>
    <w:r w:rsidRPr="00B71743">
      <w:rPr>
        <w:b/>
        <w:bCs/>
        <w:sz w:val="18"/>
      </w:rPr>
      <w:fldChar w:fldCharType="separate"/>
    </w:r>
    <w:r w:rsidRPr="00B71743">
      <w:rPr>
        <w:b/>
        <w:bCs/>
        <w:noProof/>
        <w:sz w:val="18"/>
      </w:rPr>
      <w:t>3</w:t>
    </w:r>
    <w:r w:rsidRPr="00B71743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28FF" w14:textId="54BF3971" w:rsidR="00D94B05" w:rsidRDefault="00E57D7C" w:rsidP="00E57D7C">
    <w:pPr>
      <w:pStyle w:val="Footer"/>
      <w:rPr>
        <w:rFonts w:asciiTheme="majorBidi" w:hAnsiTheme="majorBidi" w:cstheme="majorBidi"/>
        <w:sz w:val="20"/>
      </w:rPr>
    </w:pPr>
    <w:r w:rsidRPr="00E57D7C">
      <w:rPr>
        <w:rFonts w:asciiTheme="majorBidi" w:hAnsiTheme="majorBidi" w:cstheme="majorBidi"/>
        <w:noProof/>
        <w:sz w:val="20"/>
        <w:lang w:val="en-US"/>
      </w:rPr>
      <w:drawing>
        <wp:anchor distT="0" distB="0" distL="114300" distR="114300" simplePos="0" relativeHeight="251661312" behindDoc="0" locked="1" layoutInCell="1" allowOverlap="1" wp14:anchorId="0E5EEF17" wp14:editId="6B0709EA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A47C56" w14:textId="0BF55219" w:rsidR="00E57D7C" w:rsidRPr="00E57D7C" w:rsidRDefault="00E57D7C" w:rsidP="00E57D7C">
    <w:pPr>
      <w:pStyle w:val="Footer"/>
      <w:ind w:right="1134"/>
      <w:rPr>
        <w:rFonts w:asciiTheme="majorBidi" w:hAnsiTheme="majorBidi" w:cstheme="majorBidi"/>
        <w:sz w:val="20"/>
      </w:rPr>
    </w:pPr>
    <w:r>
      <w:rPr>
        <w:rFonts w:asciiTheme="majorBidi" w:hAnsiTheme="majorBidi" w:cstheme="majorBidi"/>
        <w:sz w:val="20"/>
      </w:rPr>
      <w:t>GE.24-</w:t>
    </w:r>
    <w:proofErr w:type="gramStart"/>
    <w:r>
      <w:rPr>
        <w:rFonts w:asciiTheme="majorBidi" w:hAnsiTheme="majorBidi" w:cstheme="majorBidi"/>
        <w:sz w:val="20"/>
      </w:rPr>
      <w:t>05630  (</w:t>
    </w:r>
    <w:proofErr w:type="gramEnd"/>
    <w:r>
      <w:rPr>
        <w:rFonts w:asciiTheme="majorBidi" w:hAnsiTheme="majorBidi" w:cstheme="majorBidi"/>
        <w:sz w:val="20"/>
      </w:rPr>
      <w:t>E)</w:t>
    </w:r>
    <w:r>
      <w:rPr>
        <w:rFonts w:asciiTheme="majorBidi" w:hAnsiTheme="majorBidi" w:cstheme="majorBidi"/>
        <w:noProof/>
        <w:sz w:val="20"/>
      </w:rPr>
      <w:drawing>
        <wp:anchor distT="0" distB="0" distL="114300" distR="114300" simplePos="0" relativeHeight="251662336" behindDoc="0" locked="0" layoutInCell="1" allowOverlap="1" wp14:anchorId="155424BF" wp14:editId="337ECBC7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71500" cy="5715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F766" w14:textId="77777777" w:rsidR="00F73F2C" w:rsidRPr="00C47B2E" w:rsidRDefault="00F73F2C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095D4799" w14:textId="77777777" w:rsidR="00F73F2C" w:rsidRPr="00C47B2E" w:rsidRDefault="00F73F2C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741ACFC3" w14:textId="77777777" w:rsidR="00F73F2C" w:rsidRPr="00C47B2E" w:rsidRDefault="00F73F2C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C4E0" w14:textId="06A82780" w:rsidR="00B71743" w:rsidRPr="00917619" w:rsidRDefault="00917619">
    <w:pPr>
      <w:pStyle w:val="Header"/>
      <w:rPr>
        <w:lang w:val="fr-CH"/>
      </w:rPr>
    </w:pPr>
    <w:r>
      <w:rPr>
        <w:lang w:val="fr-CH"/>
      </w:rPr>
      <w:t>ST/SG/AC.10/C.3/2024/9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27BA" w14:textId="157DB2B6" w:rsidR="00D94B05" w:rsidRPr="00B71743" w:rsidRDefault="0011395B" w:rsidP="00B7174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71743">
      <w:t>ST/SG/AC.10/C.3/2024/8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16172172">
    <w:abstractNumId w:val="5"/>
  </w:num>
  <w:num w:numId="2" w16cid:durableId="1073159890">
    <w:abstractNumId w:val="4"/>
  </w:num>
  <w:num w:numId="3" w16cid:durableId="551188904">
    <w:abstractNumId w:val="0"/>
  </w:num>
  <w:num w:numId="4" w16cid:durableId="44254624">
    <w:abstractNumId w:val="6"/>
  </w:num>
  <w:num w:numId="5" w16cid:durableId="1816027029">
    <w:abstractNumId w:val="7"/>
  </w:num>
  <w:num w:numId="6" w16cid:durableId="1836190579">
    <w:abstractNumId w:val="9"/>
  </w:num>
  <w:num w:numId="7" w16cid:durableId="634676252">
    <w:abstractNumId w:val="3"/>
  </w:num>
  <w:num w:numId="8" w16cid:durableId="1039166836">
    <w:abstractNumId w:val="1"/>
  </w:num>
  <w:num w:numId="9" w16cid:durableId="644969981">
    <w:abstractNumId w:val="8"/>
  </w:num>
  <w:num w:numId="10" w16cid:durableId="525103391">
    <w:abstractNumId w:val="1"/>
  </w:num>
  <w:num w:numId="11" w16cid:durableId="297342166">
    <w:abstractNumId w:val="8"/>
  </w:num>
  <w:num w:numId="12" w16cid:durableId="1280380300">
    <w:abstractNumId w:val="2"/>
  </w:num>
  <w:num w:numId="13" w16cid:durableId="1988699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43"/>
    <w:rsid w:val="00046E92"/>
    <w:rsid w:val="00063C90"/>
    <w:rsid w:val="00070000"/>
    <w:rsid w:val="000A3FC1"/>
    <w:rsid w:val="000C41A8"/>
    <w:rsid w:val="00101B98"/>
    <w:rsid w:val="0011395B"/>
    <w:rsid w:val="00121FF4"/>
    <w:rsid w:val="001514D1"/>
    <w:rsid w:val="00163D17"/>
    <w:rsid w:val="002362B9"/>
    <w:rsid w:val="00240CB0"/>
    <w:rsid w:val="00247E2C"/>
    <w:rsid w:val="00277E77"/>
    <w:rsid w:val="00295D01"/>
    <w:rsid w:val="002A32CB"/>
    <w:rsid w:val="002B4C09"/>
    <w:rsid w:val="002C0B56"/>
    <w:rsid w:val="002D5B2C"/>
    <w:rsid w:val="002D6C53"/>
    <w:rsid w:val="002F5595"/>
    <w:rsid w:val="00315A1F"/>
    <w:rsid w:val="00334F6A"/>
    <w:rsid w:val="00342AC8"/>
    <w:rsid w:val="00343302"/>
    <w:rsid w:val="003979DE"/>
    <w:rsid w:val="003B1248"/>
    <w:rsid w:val="003B4550"/>
    <w:rsid w:val="003D22A8"/>
    <w:rsid w:val="003D2A18"/>
    <w:rsid w:val="00413386"/>
    <w:rsid w:val="00461253"/>
    <w:rsid w:val="004858F5"/>
    <w:rsid w:val="004A2814"/>
    <w:rsid w:val="004C0622"/>
    <w:rsid w:val="004F73D0"/>
    <w:rsid w:val="005042C2"/>
    <w:rsid w:val="00581B14"/>
    <w:rsid w:val="00594542"/>
    <w:rsid w:val="005E716E"/>
    <w:rsid w:val="00600499"/>
    <w:rsid w:val="00622DA5"/>
    <w:rsid w:val="00624920"/>
    <w:rsid w:val="006476E1"/>
    <w:rsid w:val="006604DF"/>
    <w:rsid w:val="00671529"/>
    <w:rsid w:val="006E756A"/>
    <w:rsid w:val="006F1EF5"/>
    <w:rsid w:val="0070489D"/>
    <w:rsid w:val="007200A1"/>
    <w:rsid w:val="007268F9"/>
    <w:rsid w:val="00750282"/>
    <w:rsid w:val="00764440"/>
    <w:rsid w:val="0077101B"/>
    <w:rsid w:val="007C52B0"/>
    <w:rsid w:val="007C6033"/>
    <w:rsid w:val="008147C8"/>
    <w:rsid w:val="0081753A"/>
    <w:rsid w:val="00857D23"/>
    <w:rsid w:val="00905803"/>
    <w:rsid w:val="00917619"/>
    <w:rsid w:val="009411B4"/>
    <w:rsid w:val="00946F1D"/>
    <w:rsid w:val="009A0A7F"/>
    <w:rsid w:val="009D0139"/>
    <w:rsid w:val="009D717D"/>
    <w:rsid w:val="009F5CDC"/>
    <w:rsid w:val="00A072D7"/>
    <w:rsid w:val="00A17880"/>
    <w:rsid w:val="00A775CF"/>
    <w:rsid w:val="00AD1A9C"/>
    <w:rsid w:val="00AD45D5"/>
    <w:rsid w:val="00AF5DE1"/>
    <w:rsid w:val="00B06045"/>
    <w:rsid w:val="00B206DD"/>
    <w:rsid w:val="00B52EF4"/>
    <w:rsid w:val="00B71743"/>
    <w:rsid w:val="00B777AD"/>
    <w:rsid w:val="00BB5182"/>
    <w:rsid w:val="00BD37E6"/>
    <w:rsid w:val="00C03015"/>
    <w:rsid w:val="00C0358D"/>
    <w:rsid w:val="00C23EC7"/>
    <w:rsid w:val="00C35A27"/>
    <w:rsid w:val="00C47B2E"/>
    <w:rsid w:val="00C609C0"/>
    <w:rsid w:val="00C93D22"/>
    <w:rsid w:val="00CC2B9C"/>
    <w:rsid w:val="00D42716"/>
    <w:rsid w:val="00D63CD2"/>
    <w:rsid w:val="00D85308"/>
    <w:rsid w:val="00D87DC2"/>
    <w:rsid w:val="00D93887"/>
    <w:rsid w:val="00D94B05"/>
    <w:rsid w:val="00DB4164"/>
    <w:rsid w:val="00DC7379"/>
    <w:rsid w:val="00E02C2B"/>
    <w:rsid w:val="00E21C27"/>
    <w:rsid w:val="00E26BCF"/>
    <w:rsid w:val="00E36D98"/>
    <w:rsid w:val="00E40161"/>
    <w:rsid w:val="00E44A8C"/>
    <w:rsid w:val="00E52109"/>
    <w:rsid w:val="00E57D7C"/>
    <w:rsid w:val="00E75317"/>
    <w:rsid w:val="00E84B10"/>
    <w:rsid w:val="00EC0CE6"/>
    <w:rsid w:val="00EC7C1D"/>
    <w:rsid w:val="00ED6C48"/>
    <w:rsid w:val="00EE3045"/>
    <w:rsid w:val="00F26186"/>
    <w:rsid w:val="00F65F5D"/>
    <w:rsid w:val="00F73F2C"/>
    <w:rsid w:val="00F86A3A"/>
    <w:rsid w:val="00FA42DA"/>
    <w:rsid w:val="00FE2AC5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11518"/>
  <w15:docId w15:val="{99842354-7BD9-4F12-97CF-F02509D3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uiPriority w:val="99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qFormat/>
    <w:locked/>
    <w:rsid w:val="00DB4164"/>
    <w:rPr>
      <w:b/>
      <w:sz w:val="28"/>
    </w:rPr>
  </w:style>
  <w:style w:type="character" w:customStyle="1" w:styleId="H1GChar">
    <w:name w:val="_ H_1_G Char"/>
    <w:link w:val="H1G"/>
    <w:locked/>
    <w:rsid w:val="00DB4164"/>
    <w:rPr>
      <w:b/>
      <w:sz w:val="24"/>
    </w:rPr>
  </w:style>
  <w:style w:type="character" w:customStyle="1" w:styleId="SingleTxtGChar">
    <w:name w:val="_ Single Txt_G Char"/>
    <w:basedOn w:val="DefaultParagraphFont"/>
    <w:link w:val="SingleTxtG"/>
    <w:uiPriority w:val="99"/>
    <w:qFormat/>
    <w:rsid w:val="00DB4164"/>
  </w:style>
  <w:style w:type="paragraph" w:styleId="Revision">
    <w:name w:val="Revision"/>
    <w:hidden/>
    <w:uiPriority w:val="99"/>
    <w:semiHidden/>
    <w:rsid w:val="0091761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A-GARCIA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Alicia Dorca Garcia</DisplayName>
        <AccountId>1313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47B0-FC4C-4B7C-A9FA-7E09B2A82C20}"/>
</file>

<file path=customXml/itemProps2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0</TotalTime>
  <Pages>2</Pages>
  <Words>625</Words>
  <Characters>3551</Characters>
  <Application>Microsoft Office Word</Application>
  <DocSecurity>0</DocSecurity>
  <Lines>80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ST/SG/AC.10/C.3/2024/9</vt:lpstr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ST/SG/AC.10/C.3/2024/9</dc:title>
  <dc:subject>2405630</dc:subject>
  <dc:creator>Alicia DORCA-GARCIA</dc:creator>
  <cp:keywords/>
  <dc:description/>
  <cp:lastModifiedBy>Pauline Anne Escalante</cp:lastModifiedBy>
  <cp:revision>2</cp:revision>
  <dcterms:created xsi:type="dcterms:W3CDTF">2024-03-25T13:01:00Z</dcterms:created>
  <dcterms:modified xsi:type="dcterms:W3CDTF">2024-03-25T13:01:00Z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