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31ABFD9" w14:textId="77777777" w:rsidTr="00F01738">
        <w:trPr>
          <w:trHeight w:hRule="exact" w:val="851"/>
        </w:trPr>
        <w:tc>
          <w:tcPr>
            <w:tcW w:w="1276" w:type="dxa"/>
            <w:tcBorders>
              <w:bottom w:val="single" w:sz="4" w:space="0" w:color="auto"/>
            </w:tcBorders>
          </w:tcPr>
          <w:p w14:paraId="0788C549" w14:textId="77777777" w:rsidR="00132EA9" w:rsidRPr="00DB58B5" w:rsidRDefault="00132EA9" w:rsidP="003B0E58"/>
        </w:tc>
        <w:tc>
          <w:tcPr>
            <w:tcW w:w="2268" w:type="dxa"/>
            <w:tcBorders>
              <w:bottom w:val="single" w:sz="4" w:space="0" w:color="auto"/>
            </w:tcBorders>
            <w:vAlign w:val="bottom"/>
          </w:tcPr>
          <w:p w14:paraId="25053D64"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510DDD3" w14:textId="5FA0AAE2" w:rsidR="00132EA9" w:rsidRPr="00DB58B5" w:rsidRDefault="003B0E58" w:rsidP="003B0E58">
            <w:pPr>
              <w:jc w:val="right"/>
            </w:pPr>
            <w:r w:rsidRPr="003B0E58">
              <w:rPr>
                <w:sz w:val="40"/>
              </w:rPr>
              <w:t>ST</w:t>
            </w:r>
            <w:r>
              <w:t>/SG/AC.10/C.3/2024/10</w:t>
            </w:r>
          </w:p>
        </w:tc>
      </w:tr>
      <w:tr w:rsidR="00132EA9" w:rsidRPr="00DB58B5" w14:paraId="1D65EEBF" w14:textId="77777777" w:rsidTr="00F01738">
        <w:trPr>
          <w:trHeight w:hRule="exact" w:val="2835"/>
        </w:trPr>
        <w:tc>
          <w:tcPr>
            <w:tcW w:w="1276" w:type="dxa"/>
            <w:tcBorders>
              <w:top w:val="single" w:sz="4" w:space="0" w:color="auto"/>
              <w:bottom w:val="single" w:sz="12" w:space="0" w:color="auto"/>
            </w:tcBorders>
          </w:tcPr>
          <w:p w14:paraId="343E934B" w14:textId="77777777" w:rsidR="00132EA9" w:rsidRPr="00DB58B5" w:rsidRDefault="00132EA9" w:rsidP="00F01738">
            <w:pPr>
              <w:spacing w:before="120"/>
              <w:jc w:val="center"/>
            </w:pPr>
            <w:r>
              <w:rPr>
                <w:noProof/>
                <w:lang w:eastAsia="fr-CH"/>
              </w:rPr>
              <w:drawing>
                <wp:inline distT="0" distB="0" distL="0" distR="0" wp14:anchorId="05D7F868" wp14:editId="496158B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A56536"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C66DA11" w14:textId="77777777" w:rsidR="00132EA9" w:rsidRDefault="003B0E58" w:rsidP="00F01738">
            <w:pPr>
              <w:spacing w:before="240"/>
            </w:pPr>
            <w:proofErr w:type="spellStart"/>
            <w:r>
              <w:t>Distr</w:t>
            </w:r>
            <w:proofErr w:type="spellEnd"/>
            <w:r>
              <w:t>. générale</w:t>
            </w:r>
          </w:p>
          <w:p w14:paraId="5F40A0BD" w14:textId="77777777" w:rsidR="003B0E58" w:rsidRDefault="003B0E58" w:rsidP="003B0E58">
            <w:pPr>
              <w:spacing w:line="240" w:lineRule="exact"/>
            </w:pPr>
            <w:r>
              <w:t>3 avril 2024</w:t>
            </w:r>
          </w:p>
          <w:p w14:paraId="252C3000" w14:textId="77777777" w:rsidR="003B0E58" w:rsidRDefault="003B0E58" w:rsidP="003B0E58">
            <w:pPr>
              <w:spacing w:line="240" w:lineRule="exact"/>
            </w:pPr>
            <w:r>
              <w:t>Français</w:t>
            </w:r>
          </w:p>
          <w:p w14:paraId="6728A59A" w14:textId="731BF236" w:rsidR="003B0E58" w:rsidRPr="00DB58B5" w:rsidRDefault="003B0E58" w:rsidP="003B0E58">
            <w:pPr>
              <w:spacing w:line="240" w:lineRule="exact"/>
            </w:pPr>
            <w:r>
              <w:t>Original : anglais</w:t>
            </w:r>
          </w:p>
        </w:tc>
      </w:tr>
    </w:tbl>
    <w:p w14:paraId="4DE470C0" w14:textId="77777777" w:rsidR="00266833" w:rsidRPr="00CA0680" w:rsidRDefault="00266833"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4FC65E80" w14:textId="77777777" w:rsidR="00266833" w:rsidRPr="00CA0680" w:rsidRDefault="00266833" w:rsidP="000305D3">
      <w:pPr>
        <w:spacing w:before="120"/>
        <w:rPr>
          <w:b/>
        </w:rPr>
      </w:pPr>
      <w:r w:rsidRPr="00CA0680">
        <w:rPr>
          <w:b/>
        </w:rPr>
        <w:t>Sous</w:t>
      </w:r>
      <w:r>
        <w:rPr>
          <w:b/>
        </w:rPr>
        <w:t>-</w:t>
      </w:r>
      <w:r w:rsidRPr="00CA0680">
        <w:rPr>
          <w:b/>
        </w:rPr>
        <w:t>Comité d’experts du transport des marchandises dangereuses</w:t>
      </w:r>
    </w:p>
    <w:p w14:paraId="22CE0FBB" w14:textId="77777777" w:rsidR="00266833" w:rsidRPr="00244BC5" w:rsidRDefault="00266833" w:rsidP="00266833">
      <w:pPr>
        <w:spacing w:before="120"/>
        <w:rPr>
          <w:b/>
        </w:rPr>
      </w:pPr>
      <w:r>
        <w:rPr>
          <w:b/>
          <w:bCs/>
          <w:lang w:val="fr-FR"/>
        </w:rPr>
        <w:t>Soixante-quatrième session</w:t>
      </w:r>
    </w:p>
    <w:p w14:paraId="563E4D01" w14:textId="77777777" w:rsidR="00266833" w:rsidRPr="00244BC5" w:rsidRDefault="00266833" w:rsidP="00266833">
      <w:r>
        <w:rPr>
          <w:lang w:val="fr-FR"/>
        </w:rPr>
        <w:t>Genève, 24 juin-3 juillet 2024</w:t>
      </w:r>
    </w:p>
    <w:p w14:paraId="2F1CF190" w14:textId="77777777" w:rsidR="00266833" w:rsidRPr="00244BC5" w:rsidRDefault="00266833" w:rsidP="00266833">
      <w:r>
        <w:rPr>
          <w:lang w:val="fr-FR"/>
        </w:rPr>
        <w:t>Point 3 de l’ordre du jour provisoire</w:t>
      </w:r>
    </w:p>
    <w:p w14:paraId="046BDEC2" w14:textId="77777777" w:rsidR="00266833" w:rsidRPr="00244BC5" w:rsidRDefault="00266833" w:rsidP="00266833">
      <w:pPr>
        <w:rPr>
          <w:b/>
          <w:bCs/>
        </w:rPr>
      </w:pPr>
      <w:r>
        <w:rPr>
          <w:b/>
          <w:bCs/>
          <w:lang w:val="fr-FR"/>
        </w:rPr>
        <w:t>Inscription, classement et emballage</w:t>
      </w:r>
    </w:p>
    <w:p w14:paraId="394D69DB" w14:textId="77777777" w:rsidR="00266833" w:rsidRPr="00244BC5" w:rsidRDefault="00266833" w:rsidP="003C764D">
      <w:pPr>
        <w:pStyle w:val="HChG"/>
      </w:pPr>
      <w:r>
        <w:rPr>
          <w:lang w:val="fr-FR"/>
        </w:rPr>
        <w:tab/>
      </w:r>
      <w:r>
        <w:rPr>
          <w:lang w:val="fr-FR"/>
        </w:rPr>
        <w:tab/>
        <w:t>Rubriques consacrées aux tourteaux (Nos ONU 1386 et 2217)</w:t>
      </w:r>
    </w:p>
    <w:p w14:paraId="69E2C4EE" w14:textId="77777777" w:rsidR="00266833" w:rsidRPr="00244BC5" w:rsidRDefault="00266833" w:rsidP="003C764D">
      <w:pPr>
        <w:pStyle w:val="H1G"/>
      </w:pPr>
      <w:r>
        <w:rPr>
          <w:lang w:val="fr-FR"/>
        </w:rPr>
        <w:tab/>
      </w:r>
      <w:r>
        <w:rPr>
          <w:lang w:val="fr-FR"/>
        </w:rPr>
        <w:tab/>
        <w:t xml:space="preserve">Communication de la Grain and </w:t>
      </w:r>
      <w:proofErr w:type="spellStart"/>
      <w:r>
        <w:rPr>
          <w:lang w:val="fr-FR"/>
        </w:rPr>
        <w:t>Feed</w:t>
      </w:r>
      <w:proofErr w:type="spellEnd"/>
      <w:r>
        <w:rPr>
          <w:lang w:val="fr-FR"/>
        </w:rPr>
        <w:t xml:space="preserve"> Trade Association (GAFTA)</w:t>
      </w:r>
      <w:r w:rsidRPr="003C764D">
        <w:rPr>
          <w:rStyle w:val="Appelnotedebasdep"/>
          <w:b w:val="0"/>
          <w:bCs/>
          <w:color w:val="000000" w:themeColor="text1"/>
          <w:sz w:val="20"/>
          <w:vertAlign w:val="baseline"/>
          <w:lang w:val="fr-FR"/>
        </w:rPr>
        <w:footnoteReference w:customMarkFollows="1" w:id="2"/>
        <w:t>*</w:t>
      </w:r>
    </w:p>
    <w:p w14:paraId="3BA9DE84" w14:textId="65A8740C" w:rsidR="00266833" w:rsidRPr="00244BC5" w:rsidRDefault="003C764D" w:rsidP="003C764D">
      <w:pPr>
        <w:pStyle w:val="HChG"/>
      </w:pPr>
      <w:r>
        <w:rPr>
          <w:lang w:val="fr-FR"/>
        </w:rPr>
        <w:tab/>
      </w:r>
      <w:r w:rsidR="00266833">
        <w:rPr>
          <w:lang w:val="fr-FR"/>
        </w:rPr>
        <w:t>I.</w:t>
      </w:r>
      <w:r w:rsidR="00266833">
        <w:rPr>
          <w:lang w:val="fr-FR"/>
        </w:rPr>
        <w:tab/>
        <w:t>Introduction</w:t>
      </w:r>
    </w:p>
    <w:p w14:paraId="7ECA31AF" w14:textId="6445B945" w:rsidR="00266833" w:rsidRPr="00244BC5" w:rsidRDefault="00266833" w:rsidP="00266833">
      <w:pPr>
        <w:pStyle w:val="SingleTxtG"/>
      </w:pPr>
      <w:r>
        <w:rPr>
          <w:lang w:val="fr-FR"/>
        </w:rPr>
        <w:t>1.</w:t>
      </w:r>
      <w:r>
        <w:rPr>
          <w:lang w:val="fr-FR"/>
        </w:rPr>
        <w:tab/>
        <w:t xml:space="preserve">Les tourteaux sont transportés en grandes quantités dans le monde entier par voie maritime </w:t>
      </w:r>
      <w:r w:rsidR="003C764D">
        <w:rPr>
          <w:lang w:val="fr-FR"/>
        </w:rPr>
        <w:t>−</w:t>
      </w:r>
      <w:r>
        <w:rPr>
          <w:lang w:val="fr-FR"/>
        </w:rPr>
        <w:t xml:space="preserve"> plus de 350</w:t>
      </w:r>
      <w:r w:rsidR="003C764D">
        <w:rPr>
          <w:lang w:val="fr-FR"/>
        </w:rPr>
        <w:t> </w:t>
      </w:r>
      <w:r>
        <w:rPr>
          <w:lang w:val="fr-FR"/>
        </w:rPr>
        <w:t>millions de tonnes par an. Les rubriques consacrées aux tourteaux concernent les produits extraits par voie mécanique et par solvant ainsi qu’un large éventail d’intrants, notamment la farine de graines de colza, les granulés de colza, la farine de soja, la farine de graines de coton et la farine de graines de tournesol. En raison du risque d’auto</w:t>
      </w:r>
      <w:r w:rsidR="003C764D">
        <w:rPr>
          <w:lang w:val="fr-FR"/>
        </w:rPr>
        <w:noBreakHyphen/>
      </w:r>
      <w:r>
        <w:rPr>
          <w:lang w:val="fr-FR"/>
        </w:rPr>
        <w:t xml:space="preserve">échauffement qu’ils présentent, les tourteaux étaient déjà considérés comme une marchandise dangereuse dans les premières versions du Règlement type pour le transport des marchandises dangereuses. Le taux d’humidité d’une cargaison de tourteaux est une donnée importante puisqu’un taux élevé favorise l’activité microbiologique, laquelle peut être à l’origine de l’augmentation initiale de température jusqu’à environ 70 °C et de la dégradation de la qualité des tourteaux. Cette activité ne cause pas à elle seule l’inflammation des tourteaux, mais elle accélère l’oxydation de l’huile résiduelle, ce qui peut faire monter la température à un niveau suffisant pour qu’une inflammation spontanée se produise. C’est au moment de l’introduction de numéros ONU dans la deuxième version du </w:t>
      </w:r>
      <w:r w:rsidRPr="0085429A">
        <w:rPr>
          <w:lang w:val="fr-FR"/>
        </w:rPr>
        <w:t>Règlement type</w:t>
      </w:r>
      <w:r>
        <w:rPr>
          <w:lang w:val="fr-FR"/>
        </w:rPr>
        <w:t xml:space="preserve"> que les deux rubriques actuelles consacrées aux tourteaux, qui contiennent des dispositions très similaires, ont été créées. Les deux rubriques diffèrent en ce que le No ONU 1386 est affecté aux tourteaux contenant plus de 1,5</w:t>
      </w:r>
      <w:r w:rsidR="003C764D">
        <w:rPr>
          <w:lang w:val="fr-FR"/>
        </w:rPr>
        <w:t> </w:t>
      </w:r>
      <w:r>
        <w:rPr>
          <w:lang w:val="fr-FR"/>
        </w:rPr>
        <w:t>% (masse) d’huile et ayant 11</w:t>
      </w:r>
      <w:r w:rsidR="003C764D">
        <w:rPr>
          <w:lang w:val="fr-FR"/>
        </w:rPr>
        <w:t> </w:t>
      </w:r>
      <w:r>
        <w:rPr>
          <w:lang w:val="fr-FR"/>
        </w:rPr>
        <w:t>% (masse) d’humidité au maximum, et le No ONU 2217 aux tourteaux contenant au plus 1,5</w:t>
      </w:r>
      <w:r w:rsidR="003C764D">
        <w:rPr>
          <w:lang w:val="fr-FR"/>
        </w:rPr>
        <w:t> </w:t>
      </w:r>
      <w:r>
        <w:rPr>
          <w:lang w:val="fr-FR"/>
        </w:rPr>
        <w:t>% (masse) d’huile et ayant 11</w:t>
      </w:r>
      <w:r w:rsidR="003C764D">
        <w:rPr>
          <w:lang w:val="fr-FR"/>
        </w:rPr>
        <w:t> </w:t>
      </w:r>
      <w:r>
        <w:rPr>
          <w:lang w:val="fr-FR"/>
        </w:rPr>
        <w:t>% (masse) d’humidité au maximum.</w:t>
      </w:r>
    </w:p>
    <w:p w14:paraId="2DE10E92" w14:textId="77777777" w:rsidR="00266833" w:rsidRPr="00244BC5" w:rsidRDefault="00266833" w:rsidP="00266833">
      <w:pPr>
        <w:pStyle w:val="SingleTxtG"/>
      </w:pPr>
      <w:r>
        <w:rPr>
          <w:lang w:val="fr-FR"/>
        </w:rPr>
        <w:t>2.</w:t>
      </w:r>
      <w:r>
        <w:rPr>
          <w:lang w:val="fr-FR"/>
        </w:rPr>
        <w:tab/>
        <w:t>Les changements apportés au fil des ans sont exposés ci-après, aux fins de comparaison. Il convient de noter que le No ONU 2217 était associé à une disposition spéciale qui a été supprimée et que la disposition spéciale 29 a été modifiée.</w:t>
      </w:r>
    </w:p>
    <w:p w14:paraId="2DF8C497" w14:textId="77777777" w:rsidR="00266833" w:rsidRPr="00244BC5" w:rsidRDefault="00266833" w:rsidP="00266833">
      <w:r w:rsidRPr="00244BC5">
        <w:br w:type="page"/>
      </w:r>
    </w:p>
    <w:p w14:paraId="3B9AAE9F" w14:textId="77777777" w:rsidR="00266833" w:rsidRPr="00244BC5" w:rsidRDefault="00266833" w:rsidP="00266833">
      <w:pPr>
        <w:pStyle w:val="SingleTxtG"/>
        <w:spacing w:after="0" w:line="240" w:lineRule="auto"/>
        <w:ind w:left="562" w:right="1138"/>
        <w:jc w:val="left"/>
      </w:pPr>
    </w:p>
    <w:tbl>
      <w:tblPr>
        <w:tblStyle w:val="Grilledutableau"/>
        <w:tblW w:w="9067" w:type="dxa"/>
        <w:tblInd w:w="562" w:type="dxa"/>
        <w:tblLayout w:type="fixed"/>
        <w:tblLook w:val="04A0" w:firstRow="1" w:lastRow="0" w:firstColumn="1" w:lastColumn="0" w:noHBand="0" w:noVBand="1"/>
      </w:tblPr>
      <w:tblGrid>
        <w:gridCol w:w="4459"/>
        <w:gridCol w:w="1455"/>
        <w:gridCol w:w="1498"/>
        <w:gridCol w:w="1655"/>
      </w:tblGrid>
      <w:tr w:rsidR="00266833" w:rsidRPr="0085429A" w14:paraId="2A1764E0" w14:textId="77777777" w:rsidTr="003C764D">
        <w:tc>
          <w:tcPr>
            <w:tcW w:w="7412" w:type="dxa"/>
            <w:gridSpan w:val="3"/>
          </w:tcPr>
          <w:p w14:paraId="3829D477" w14:textId="77777777" w:rsidR="00266833" w:rsidRPr="00244BC5" w:rsidRDefault="00266833" w:rsidP="003C764D">
            <w:pPr>
              <w:pStyle w:val="SingleTxtG"/>
              <w:spacing w:before="60" w:after="60" w:line="240" w:lineRule="auto"/>
              <w:ind w:left="57" w:right="6"/>
              <w:jc w:val="left"/>
              <w:rPr>
                <w:b/>
                <w:bCs/>
              </w:rPr>
            </w:pPr>
            <w:r>
              <w:rPr>
                <w:b/>
                <w:bCs/>
                <w:i/>
                <w:iCs/>
                <w:lang w:val="fr-FR"/>
              </w:rPr>
              <w:t>Règlement type</w:t>
            </w:r>
            <w:r>
              <w:rPr>
                <w:b/>
                <w:bCs/>
                <w:lang w:val="fr-FR"/>
              </w:rPr>
              <w:t>, quatrième édition révisée</w:t>
            </w:r>
          </w:p>
        </w:tc>
        <w:tc>
          <w:tcPr>
            <w:tcW w:w="1655" w:type="dxa"/>
          </w:tcPr>
          <w:p w14:paraId="37C8B6BE" w14:textId="77777777" w:rsidR="00266833" w:rsidRPr="00244BC5" w:rsidRDefault="00266833" w:rsidP="003C764D">
            <w:pPr>
              <w:pStyle w:val="SingleTxtG"/>
              <w:spacing w:before="60" w:after="60" w:line="240" w:lineRule="auto"/>
              <w:ind w:left="57" w:right="6"/>
              <w:jc w:val="left"/>
              <w:rPr>
                <w:b/>
                <w:bCs/>
              </w:rPr>
            </w:pPr>
          </w:p>
        </w:tc>
      </w:tr>
      <w:tr w:rsidR="00266833" w14:paraId="25A9851E" w14:textId="77777777" w:rsidTr="003C764D">
        <w:tc>
          <w:tcPr>
            <w:tcW w:w="4459" w:type="dxa"/>
          </w:tcPr>
          <w:p w14:paraId="5E85B4A6" w14:textId="7E64EAAD" w:rsidR="00266833" w:rsidRPr="00244BC5" w:rsidRDefault="00266833" w:rsidP="003C764D">
            <w:pPr>
              <w:pStyle w:val="SingleTxtG"/>
              <w:spacing w:before="60" w:after="60" w:line="240" w:lineRule="auto"/>
              <w:ind w:left="57" w:right="6"/>
              <w:jc w:val="left"/>
              <w:rPr>
                <w:i/>
                <w:iCs/>
                <w:sz w:val="18"/>
                <w:szCs w:val="18"/>
              </w:rPr>
            </w:pPr>
            <w:r>
              <w:rPr>
                <w:lang w:val="fr-FR"/>
              </w:rPr>
              <w:t xml:space="preserve">1386 Tourteaux </w:t>
            </w:r>
            <w:r>
              <w:rPr>
                <w:i/>
                <w:iCs/>
                <w:lang w:val="fr-FR"/>
              </w:rPr>
              <w:t>contenant plus de 1,5</w:t>
            </w:r>
            <w:r w:rsidR="003C764D">
              <w:rPr>
                <w:i/>
                <w:iCs/>
                <w:lang w:val="fr-FR"/>
              </w:rPr>
              <w:t> </w:t>
            </w:r>
            <w:r>
              <w:rPr>
                <w:i/>
                <w:iCs/>
                <w:lang w:val="fr-FR"/>
              </w:rPr>
              <w:t>% (masse) d’huile et ayant 11</w:t>
            </w:r>
            <w:r w:rsidR="003C764D">
              <w:rPr>
                <w:i/>
                <w:iCs/>
                <w:lang w:val="fr-FR"/>
              </w:rPr>
              <w:t> </w:t>
            </w:r>
            <w:r>
              <w:rPr>
                <w:i/>
                <w:iCs/>
                <w:lang w:val="fr-FR"/>
              </w:rPr>
              <w:t>% (masse) d’humidité au maximum</w:t>
            </w:r>
          </w:p>
        </w:tc>
        <w:tc>
          <w:tcPr>
            <w:tcW w:w="1455" w:type="dxa"/>
          </w:tcPr>
          <w:p w14:paraId="4A7024E3" w14:textId="4DCAAD44" w:rsidR="00266833" w:rsidRPr="00236A28" w:rsidRDefault="00266833" w:rsidP="003C764D">
            <w:pPr>
              <w:pStyle w:val="SingleTxtG"/>
              <w:spacing w:before="60" w:after="60" w:line="240" w:lineRule="auto"/>
              <w:ind w:left="57" w:right="6"/>
              <w:jc w:val="left"/>
              <w:rPr>
                <w:sz w:val="18"/>
                <w:szCs w:val="18"/>
              </w:rPr>
            </w:pPr>
            <w:r>
              <w:rPr>
                <w:lang w:val="fr-FR"/>
              </w:rPr>
              <w:t>4</w:t>
            </w:r>
            <w:r w:rsidR="00F14DEC">
              <w:rPr>
                <w:lang w:val="fr-FR"/>
              </w:rPr>
              <w:t>,</w:t>
            </w:r>
            <w:r>
              <w:rPr>
                <w:lang w:val="fr-FR"/>
              </w:rPr>
              <w:t>2</w:t>
            </w:r>
          </w:p>
        </w:tc>
        <w:tc>
          <w:tcPr>
            <w:tcW w:w="1498" w:type="dxa"/>
          </w:tcPr>
          <w:p w14:paraId="4B43F779" w14:textId="77777777" w:rsidR="00266833" w:rsidRPr="00236A28" w:rsidRDefault="00266833" w:rsidP="003C764D">
            <w:pPr>
              <w:pStyle w:val="SingleTxtG"/>
              <w:spacing w:before="60" w:after="60" w:line="240" w:lineRule="auto"/>
              <w:ind w:left="57" w:right="6"/>
              <w:jc w:val="left"/>
              <w:rPr>
                <w:sz w:val="18"/>
                <w:szCs w:val="18"/>
              </w:rPr>
            </w:pPr>
            <w:r>
              <w:rPr>
                <w:lang w:val="fr-FR"/>
              </w:rPr>
              <w:t>III</w:t>
            </w:r>
          </w:p>
        </w:tc>
        <w:tc>
          <w:tcPr>
            <w:tcW w:w="1655" w:type="dxa"/>
          </w:tcPr>
          <w:p w14:paraId="0979C317" w14:textId="77777777" w:rsidR="00266833" w:rsidRPr="00236A28" w:rsidRDefault="00266833" w:rsidP="003C764D">
            <w:pPr>
              <w:pStyle w:val="SingleTxtG"/>
              <w:spacing w:before="60" w:after="60" w:line="240" w:lineRule="auto"/>
              <w:ind w:left="57" w:right="6"/>
              <w:jc w:val="left"/>
              <w:rPr>
                <w:sz w:val="18"/>
                <w:szCs w:val="18"/>
              </w:rPr>
            </w:pPr>
            <w:r>
              <w:rPr>
                <w:lang w:val="fr-FR"/>
              </w:rPr>
              <w:t>29</w:t>
            </w:r>
          </w:p>
          <w:p w14:paraId="1F3DEC93" w14:textId="77777777" w:rsidR="00266833" w:rsidRPr="00236A28" w:rsidRDefault="00266833" w:rsidP="003C764D">
            <w:pPr>
              <w:pStyle w:val="SingleTxtG"/>
              <w:spacing w:before="60" w:after="60" w:line="240" w:lineRule="auto"/>
              <w:ind w:left="57" w:right="6"/>
              <w:jc w:val="left"/>
              <w:rPr>
                <w:sz w:val="18"/>
                <w:szCs w:val="18"/>
              </w:rPr>
            </w:pPr>
            <w:r>
              <w:rPr>
                <w:lang w:val="fr-FR"/>
              </w:rPr>
              <w:t>36</w:t>
            </w:r>
          </w:p>
        </w:tc>
      </w:tr>
      <w:tr w:rsidR="00266833" w14:paraId="63D7AB87" w14:textId="77777777" w:rsidTr="003C764D">
        <w:tc>
          <w:tcPr>
            <w:tcW w:w="4459" w:type="dxa"/>
          </w:tcPr>
          <w:p w14:paraId="73648ED6" w14:textId="77777777" w:rsidR="00266833" w:rsidRPr="00244BC5" w:rsidRDefault="00266833" w:rsidP="003C764D">
            <w:pPr>
              <w:pStyle w:val="SingleTxtG"/>
              <w:spacing w:before="60" w:after="60" w:line="240" w:lineRule="auto"/>
              <w:ind w:left="57" w:right="6"/>
              <w:jc w:val="left"/>
              <w:rPr>
                <w:sz w:val="18"/>
                <w:szCs w:val="18"/>
              </w:rPr>
            </w:pPr>
            <w:r>
              <w:rPr>
                <w:lang w:val="fr-FR"/>
              </w:rPr>
              <w:t xml:space="preserve">2217 Tourteaux </w:t>
            </w:r>
            <w:r>
              <w:rPr>
                <w:i/>
                <w:iCs/>
                <w:lang w:val="fr-FR"/>
              </w:rPr>
              <w:t>contenant au plus 1,5% (masse) d’huile et ayant 11% (masse) d’humidité au maximum</w:t>
            </w:r>
          </w:p>
        </w:tc>
        <w:tc>
          <w:tcPr>
            <w:tcW w:w="1455" w:type="dxa"/>
          </w:tcPr>
          <w:p w14:paraId="73C897C2" w14:textId="288369E6" w:rsidR="00266833" w:rsidRPr="00236A28" w:rsidRDefault="00266833" w:rsidP="003C764D">
            <w:pPr>
              <w:pStyle w:val="SingleTxtG"/>
              <w:spacing w:before="60" w:after="60" w:line="240" w:lineRule="auto"/>
              <w:ind w:left="57" w:right="6"/>
              <w:jc w:val="left"/>
              <w:rPr>
                <w:sz w:val="18"/>
                <w:szCs w:val="18"/>
              </w:rPr>
            </w:pPr>
            <w:r>
              <w:rPr>
                <w:lang w:val="fr-FR"/>
              </w:rPr>
              <w:t>4</w:t>
            </w:r>
            <w:r w:rsidR="00F14DEC">
              <w:rPr>
                <w:lang w:val="fr-FR"/>
              </w:rPr>
              <w:t>,</w:t>
            </w:r>
            <w:r>
              <w:rPr>
                <w:lang w:val="fr-FR"/>
              </w:rPr>
              <w:t>2</w:t>
            </w:r>
          </w:p>
        </w:tc>
        <w:tc>
          <w:tcPr>
            <w:tcW w:w="1498" w:type="dxa"/>
          </w:tcPr>
          <w:p w14:paraId="7172DC98" w14:textId="77777777" w:rsidR="00266833" w:rsidRPr="00236A28" w:rsidRDefault="00266833" w:rsidP="003C764D">
            <w:pPr>
              <w:pStyle w:val="SingleTxtG"/>
              <w:spacing w:before="60" w:after="60" w:line="240" w:lineRule="auto"/>
              <w:ind w:left="57" w:right="6"/>
              <w:jc w:val="left"/>
              <w:rPr>
                <w:sz w:val="18"/>
                <w:szCs w:val="18"/>
              </w:rPr>
            </w:pPr>
            <w:r>
              <w:rPr>
                <w:lang w:val="fr-FR"/>
              </w:rPr>
              <w:t>III</w:t>
            </w:r>
          </w:p>
        </w:tc>
        <w:tc>
          <w:tcPr>
            <w:tcW w:w="1655" w:type="dxa"/>
          </w:tcPr>
          <w:p w14:paraId="5E859B71" w14:textId="77777777" w:rsidR="00266833" w:rsidRPr="00236A28" w:rsidRDefault="00266833" w:rsidP="003C764D">
            <w:pPr>
              <w:pStyle w:val="SingleTxtG"/>
              <w:spacing w:before="60" w:after="60" w:line="240" w:lineRule="auto"/>
              <w:ind w:left="57" w:right="6"/>
              <w:jc w:val="left"/>
              <w:rPr>
                <w:sz w:val="18"/>
                <w:szCs w:val="18"/>
              </w:rPr>
            </w:pPr>
            <w:r>
              <w:rPr>
                <w:lang w:val="fr-FR"/>
              </w:rPr>
              <w:t>29</w:t>
            </w:r>
          </w:p>
          <w:p w14:paraId="46A9315E" w14:textId="77777777" w:rsidR="00266833" w:rsidRPr="00236A28" w:rsidRDefault="00266833" w:rsidP="003C764D">
            <w:pPr>
              <w:pStyle w:val="SingleTxtG"/>
              <w:spacing w:before="60" w:after="60" w:line="240" w:lineRule="auto"/>
              <w:ind w:left="57" w:right="6"/>
              <w:jc w:val="left"/>
              <w:rPr>
                <w:sz w:val="18"/>
                <w:szCs w:val="18"/>
              </w:rPr>
            </w:pPr>
            <w:r>
              <w:rPr>
                <w:lang w:val="fr-FR"/>
              </w:rPr>
              <w:t>142</w:t>
            </w:r>
          </w:p>
        </w:tc>
      </w:tr>
      <w:tr w:rsidR="00266833" w:rsidRPr="0085429A" w14:paraId="3E3B5F46" w14:textId="77777777" w:rsidTr="003C764D">
        <w:tc>
          <w:tcPr>
            <w:tcW w:w="9067" w:type="dxa"/>
            <w:gridSpan w:val="4"/>
          </w:tcPr>
          <w:p w14:paraId="63DC45B7" w14:textId="2080BAFA" w:rsidR="00266833" w:rsidRPr="00244BC5" w:rsidRDefault="00266833" w:rsidP="003136F3">
            <w:pPr>
              <w:pStyle w:val="SingleTxtG"/>
              <w:tabs>
                <w:tab w:val="left" w:pos="564"/>
              </w:tabs>
              <w:spacing w:before="60" w:after="60" w:line="240" w:lineRule="auto"/>
              <w:ind w:left="57" w:right="57"/>
              <w:jc w:val="left"/>
              <w:rPr>
                <w:sz w:val="18"/>
                <w:szCs w:val="18"/>
              </w:rPr>
            </w:pPr>
            <w:r>
              <w:rPr>
                <w:lang w:val="fr-FR"/>
              </w:rPr>
              <w:t>29</w:t>
            </w:r>
            <w:r w:rsidR="003136F3">
              <w:rPr>
                <w:lang w:val="fr-FR"/>
              </w:rPr>
              <w:tab/>
            </w:r>
            <w:r>
              <w:rPr>
                <w:lang w:val="fr-FR"/>
              </w:rPr>
              <w:t>Cette matière est exemptée des épreuves relatives à l’étiquetage et à l’emballage, mais devrait porter un numéro de classe et de groupe.</w:t>
            </w:r>
          </w:p>
          <w:p w14:paraId="146B57FF" w14:textId="434A9D46" w:rsidR="00266833" w:rsidRPr="00244BC5" w:rsidRDefault="00266833" w:rsidP="003136F3">
            <w:pPr>
              <w:pStyle w:val="SingleTxtG"/>
              <w:tabs>
                <w:tab w:val="left" w:pos="564"/>
              </w:tabs>
              <w:spacing w:before="60" w:after="60" w:line="240" w:lineRule="auto"/>
              <w:ind w:left="57" w:right="57"/>
              <w:jc w:val="left"/>
              <w:rPr>
                <w:sz w:val="18"/>
                <w:szCs w:val="18"/>
              </w:rPr>
            </w:pPr>
            <w:r>
              <w:rPr>
                <w:lang w:val="fr-FR"/>
              </w:rPr>
              <w:t>36</w:t>
            </w:r>
            <w:r w:rsidR="003136F3">
              <w:rPr>
                <w:lang w:val="fr-FR"/>
              </w:rPr>
              <w:tab/>
            </w:r>
            <w:r>
              <w:rPr>
                <w:lang w:val="fr-FR"/>
              </w:rPr>
              <w:t>Cette matière doit être classée sous le No ONU 1373 si elle contient plus de 5 % d’huile animale ou végétale.</w:t>
            </w:r>
          </w:p>
          <w:p w14:paraId="751B954B" w14:textId="7602FF5E" w:rsidR="00266833" w:rsidRPr="00244BC5" w:rsidRDefault="00266833" w:rsidP="003136F3">
            <w:pPr>
              <w:pStyle w:val="SingleTxtG"/>
              <w:tabs>
                <w:tab w:val="left" w:pos="564"/>
              </w:tabs>
              <w:spacing w:before="60" w:after="60" w:line="240" w:lineRule="auto"/>
              <w:ind w:left="57" w:right="57"/>
              <w:jc w:val="left"/>
              <w:rPr>
                <w:sz w:val="18"/>
                <w:szCs w:val="18"/>
              </w:rPr>
            </w:pPr>
            <w:r>
              <w:rPr>
                <w:lang w:val="fr-FR"/>
              </w:rPr>
              <w:t>142</w:t>
            </w:r>
            <w:r w:rsidR="003136F3">
              <w:rPr>
                <w:lang w:val="fr-FR"/>
              </w:rPr>
              <w:tab/>
            </w:r>
            <w:r>
              <w:rPr>
                <w:lang w:val="fr-FR"/>
              </w:rPr>
              <w:t>La farine de graines de soja ayant subi un traitement d’extraction par solvant, contenant au plus 1,5</w:t>
            </w:r>
            <w:r w:rsidR="00F14DEC">
              <w:rPr>
                <w:lang w:val="fr-FR"/>
              </w:rPr>
              <w:t> </w:t>
            </w:r>
            <w:r>
              <w:rPr>
                <w:lang w:val="fr-FR"/>
              </w:rPr>
              <w:t>% d’huile et ayant au plus 11</w:t>
            </w:r>
            <w:r w:rsidR="00F14DEC">
              <w:rPr>
                <w:lang w:val="fr-FR"/>
              </w:rPr>
              <w:t> </w:t>
            </w:r>
            <w:r>
              <w:rPr>
                <w:lang w:val="fr-FR"/>
              </w:rPr>
              <w:t>% d’humidité, et ne contenant pratiquement pas de solvant inflammable, est considérée comme étant non dangereuse.</w:t>
            </w:r>
          </w:p>
        </w:tc>
      </w:tr>
    </w:tbl>
    <w:p w14:paraId="06C2D22E" w14:textId="77777777" w:rsidR="00266833" w:rsidRPr="00244BC5" w:rsidRDefault="00266833" w:rsidP="00266833">
      <w:pPr>
        <w:pStyle w:val="SingleTxtG"/>
        <w:spacing w:after="0" w:line="240" w:lineRule="auto"/>
        <w:ind w:left="562" w:right="1138"/>
        <w:jc w:val="left"/>
        <w:rPr>
          <w:b/>
          <w:bCs/>
        </w:rPr>
      </w:pPr>
    </w:p>
    <w:tbl>
      <w:tblPr>
        <w:tblStyle w:val="Grilledutableau"/>
        <w:tblW w:w="9105" w:type="dxa"/>
        <w:tblInd w:w="562" w:type="dxa"/>
        <w:tblLayout w:type="fixed"/>
        <w:tblLook w:val="04A0" w:firstRow="1" w:lastRow="0" w:firstColumn="1" w:lastColumn="0" w:noHBand="0" w:noVBand="1"/>
      </w:tblPr>
      <w:tblGrid>
        <w:gridCol w:w="609"/>
        <w:gridCol w:w="2254"/>
        <w:gridCol w:w="826"/>
        <w:gridCol w:w="686"/>
        <w:gridCol w:w="783"/>
        <w:gridCol w:w="469"/>
        <w:gridCol w:w="468"/>
        <w:gridCol w:w="1097"/>
        <w:gridCol w:w="939"/>
        <w:gridCol w:w="974"/>
      </w:tblGrid>
      <w:tr w:rsidR="00266833" w:rsidRPr="0085429A" w14:paraId="2CBD31DC" w14:textId="77777777" w:rsidTr="00F14DEC">
        <w:tc>
          <w:tcPr>
            <w:tcW w:w="9104" w:type="dxa"/>
            <w:gridSpan w:val="10"/>
          </w:tcPr>
          <w:p w14:paraId="7B05E8B4" w14:textId="77777777" w:rsidR="00266833" w:rsidRPr="00244BC5" w:rsidRDefault="00266833" w:rsidP="00F14DEC">
            <w:pPr>
              <w:pStyle w:val="SingleTxtG"/>
              <w:spacing w:before="60" w:after="60" w:line="240" w:lineRule="auto"/>
              <w:ind w:left="57" w:right="57"/>
              <w:jc w:val="left"/>
              <w:rPr>
                <w:b/>
                <w:bCs/>
              </w:rPr>
            </w:pPr>
            <w:r>
              <w:rPr>
                <w:b/>
                <w:bCs/>
                <w:i/>
                <w:iCs/>
                <w:lang w:val="fr-FR"/>
              </w:rPr>
              <w:t>Règlement type</w:t>
            </w:r>
            <w:r>
              <w:rPr>
                <w:b/>
                <w:bCs/>
                <w:lang w:val="fr-FR"/>
              </w:rPr>
              <w:t>, vingt-troisième édition révisée</w:t>
            </w:r>
          </w:p>
        </w:tc>
      </w:tr>
      <w:tr w:rsidR="00F14DEC" w:rsidRPr="00720908" w14:paraId="2EC972EB" w14:textId="77777777" w:rsidTr="00F14DEC">
        <w:trPr>
          <w:trHeight w:val="859"/>
        </w:trPr>
        <w:tc>
          <w:tcPr>
            <w:tcW w:w="609" w:type="dxa"/>
          </w:tcPr>
          <w:p w14:paraId="712E911F" w14:textId="77777777" w:rsidR="00266833" w:rsidRPr="00D83E5E" w:rsidRDefault="00266833" w:rsidP="00F14DEC">
            <w:pPr>
              <w:pStyle w:val="SingleTxtG"/>
              <w:spacing w:before="60" w:after="60" w:line="240" w:lineRule="auto"/>
              <w:ind w:left="57" w:right="57"/>
              <w:jc w:val="left"/>
              <w:rPr>
                <w:sz w:val="14"/>
                <w:szCs w:val="14"/>
              </w:rPr>
            </w:pPr>
            <w:r>
              <w:rPr>
                <w:lang w:val="fr-FR"/>
              </w:rPr>
              <w:t>1386</w:t>
            </w:r>
          </w:p>
        </w:tc>
        <w:tc>
          <w:tcPr>
            <w:tcW w:w="2254" w:type="dxa"/>
          </w:tcPr>
          <w:p w14:paraId="2282480D" w14:textId="77777777" w:rsidR="00266833" w:rsidRPr="00244BC5" w:rsidRDefault="00266833" w:rsidP="00F14DEC">
            <w:pPr>
              <w:pStyle w:val="SingleTxtG"/>
              <w:spacing w:before="60" w:after="60" w:line="240" w:lineRule="auto"/>
              <w:ind w:left="57" w:right="57"/>
              <w:jc w:val="left"/>
              <w:rPr>
                <w:sz w:val="14"/>
                <w:szCs w:val="14"/>
              </w:rPr>
            </w:pPr>
            <w:r>
              <w:rPr>
                <w:lang w:val="fr-FR"/>
              </w:rPr>
              <w:t>TOURTEAUX contenant plus de 1,5 % (masse) d’huile et ayant 11 % (masse) d’humidité au maximum</w:t>
            </w:r>
          </w:p>
        </w:tc>
        <w:tc>
          <w:tcPr>
            <w:tcW w:w="826" w:type="dxa"/>
          </w:tcPr>
          <w:p w14:paraId="7B12E2E0" w14:textId="46F9D0A4" w:rsidR="00266833" w:rsidRPr="00236A28" w:rsidRDefault="00266833" w:rsidP="00F14DEC">
            <w:pPr>
              <w:pStyle w:val="SingleTxtG"/>
              <w:spacing w:before="60" w:after="60" w:line="240" w:lineRule="auto"/>
              <w:ind w:left="57" w:right="57"/>
              <w:jc w:val="left"/>
              <w:rPr>
                <w:sz w:val="14"/>
                <w:szCs w:val="14"/>
              </w:rPr>
            </w:pPr>
            <w:r>
              <w:rPr>
                <w:lang w:val="fr-FR"/>
              </w:rPr>
              <w:t>4</w:t>
            </w:r>
            <w:r w:rsidR="00F14DEC">
              <w:rPr>
                <w:lang w:val="fr-FR"/>
              </w:rPr>
              <w:t>,</w:t>
            </w:r>
            <w:r>
              <w:rPr>
                <w:lang w:val="fr-FR"/>
              </w:rPr>
              <w:t>2</w:t>
            </w:r>
          </w:p>
        </w:tc>
        <w:tc>
          <w:tcPr>
            <w:tcW w:w="686" w:type="dxa"/>
          </w:tcPr>
          <w:p w14:paraId="1E96A882" w14:textId="77777777" w:rsidR="00266833" w:rsidRPr="00A163EC" w:rsidRDefault="00266833" w:rsidP="00F14DEC">
            <w:pPr>
              <w:pStyle w:val="SingleTxtG"/>
              <w:spacing w:before="60" w:after="60" w:line="240" w:lineRule="auto"/>
              <w:ind w:left="57" w:right="57"/>
              <w:jc w:val="left"/>
              <w:rPr>
                <w:sz w:val="14"/>
                <w:szCs w:val="14"/>
              </w:rPr>
            </w:pPr>
            <w:r>
              <w:rPr>
                <w:lang w:val="fr-FR"/>
              </w:rPr>
              <w:t>III</w:t>
            </w:r>
          </w:p>
        </w:tc>
        <w:tc>
          <w:tcPr>
            <w:tcW w:w="783" w:type="dxa"/>
          </w:tcPr>
          <w:p w14:paraId="14CB43E5" w14:textId="77777777" w:rsidR="00266833" w:rsidRPr="0097288D" w:rsidRDefault="00266833" w:rsidP="00F14DEC">
            <w:pPr>
              <w:pStyle w:val="SingleTxtG"/>
              <w:spacing w:before="60" w:after="60" w:line="240" w:lineRule="auto"/>
              <w:ind w:left="57" w:right="57"/>
              <w:jc w:val="left"/>
              <w:rPr>
                <w:sz w:val="14"/>
                <w:szCs w:val="14"/>
              </w:rPr>
            </w:pPr>
            <w:r>
              <w:rPr>
                <w:lang w:val="fr-FR"/>
              </w:rPr>
              <w:t>29</w:t>
            </w:r>
          </w:p>
        </w:tc>
        <w:tc>
          <w:tcPr>
            <w:tcW w:w="469" w:type="dxa"/>
          </w:tcPr>
          <w:p w14:paraId="54F8524D" w14:textId="77777777" w:rsidR="00266833" w:rsidRPr="00236A28" w:rsidRDefault="00266833" w:rsidP="00F14DEC">
            <w:pPr>
              <w:pStyle w:val="SingleTxtG"/>
              <w:spacing w:before="60" w:after="60" w:line="240" w:lineRule="auto"/>
              <w:ind w:left="57" w:right="57"/>
              <w:jc w:val="left"/>
              <w:rPr>
                <w:sz w:val="14"/>
                <w:szCs w:val="14"/>
              </w:rPr>
            </w:pPr>
            <w:r>
              <w:rPr>
                <w:lang w:val="fr-FR"/>
              </w:rPr>
              <w:t>0</w:t>
            </w:r>
          </w:p>
        </w:tc>
        <w:tc>
          <w:tcPr>
            <w:tcW w:w="468" w:type="dxa"/>
          </w:tcPr>
          <w:p w14:paraId="557A30F5" w14:textId="77777777" w:rsidR="00266833" w:rsidRPr="00720908" w:rsidRDefault="00266833" w:rsidP="00F14DEC">
            <w:pPr>
              <w:pStyle w:val="SingleTxtG"/>
              <w:spacing w:before="60" w:after="60" w:line="240" w:lineRule="auto"/>
              <w:ind w:left="57" w:right="57"/>
              <w:jc w:val="left"/>
              <w:rPr>
                <w:sz w:val="14"/>
                <w:szCs w:val="14"/>
              </w:rPr>
            </w:pPr>
            <w:r>
              <w:rPr>
                <w:lang w:val="fr-FR"/>
              </w:rPr>
              <w:t>E0</w:t>
            </w:r>
          </w:p>
        </w:tc>
        <w:tc>
          <w:tcPr>
            <w:tcW w:w="1097" w:type="dxa"/>
          </w:tcPr>
          <w:p w14:paraId="4BB510CD" w14:textId="77777777" w:rsidR="00266833" w:rsidRPr="00720908" w:rsidRDefault="00266833" w:rsidP="00F14DEC">
            <w:pPr>
              <w:pStyle w:val="SingleTxtG"/>
              <w:spacing w:before="60" w:after="60" w:line="240" w:lineRule="auto"/>
              <w:ind w:left="57" w:right="57"/>
              <w:jc w:val="left"/>
              <w:rPr>
                <w:sz w:val="14"/>
                <w:szCs w:val="14"/>
              </w:rPr>
            </w:pPr>
            <w:r>
              <w:rPr>
                <w:lang w:val="fr-FR"/>
              </w:rPr>
              <w:t>P003</w:t>
            </w:r>
          </w:p>
          <w:p w14:paraId="7C527497" w14:textId="77777777" w:rsidR="00266833" w:rsidRDefault="00266833" w:rsidP="00F14DEC">
            <w:pPr>
              <w:pStyle w:val="SingleTxtG"/>
              <w:spacing w:before="60" w:after="60" w:line="240" w:lineRule="auto"/>
              <w:ind w:left="57" w:right="57"/>
              <w:jc w:val="left"/>
              <w:rPr>
                <w:sz w:val="14"/>
                <w:szCs w:val="14"/>
              </w:rPr>
            </w:pPr>
            <w:r>
              <w:rPr>
                <w:lang w:val="fr-FR"/>
              </w:rPr>
              <w:t>IBC08</w:t>
            </w:r>
          </w:p>
          <w:p w14:paraId="024FC92F" w14:textId="77777777" w:rsidR="00266833" w:rsidRPr="00720908" w:rsidRDefault="00266833" w:rsidP="00F14DEC">
            <w:pPr>
              <w:pStyle w:val="SingleTxtG"/>
              <w:spacing w:before="60" w:after="60" w:line="240" w:lineRule="auto"/>
              <w:ind w:left="57" w:right="57"/>
              <w:jc w:val="left"/>
              <w:rPr>
                <w:sz w:val="14"/>
                <w:szCs w:val="14"/>
              </w:rPr>
            </w:pPr>
            <w:r>
              <w:rPr>
                <w:lang w:val="fr-FR"/>
              </w:rPr>
              <w:t>LP02</w:t>
            </w:r>
          </w:p>
        </w:tc>
        <w:tc>
          <w:tcPr>
            <w:tcW w:w="939" w:type="dxa"/>
          </w:tcPr>
          <w:p w14:paraId="49E5BB28" w14:textId="77777777" w:rsidR="00266833" w:rsidRPr="00720908" w:rsidRDefault="00266833" w:rsidP="00F14DEC">
            <w:pPr>
              <w:pStyle w:val="SingleTxtG"/>
              <w:spacing w:before="60" w:after="60" w:line="240" w:lineRule="auto"/>
              <w:ind w:left="57" w:right="57"/>
              <w:jc w:val="left"/>
              <w:rPr>
                <w:sz w:val="14"/>
                <w:szCs w:val="14"/>
              </w:rPr>
            </w:pPr>
            <w:r>
              <w:rPr>
                <w:lang w:val="fr-FR"/>
              </w:rPr>
              <w:t>PP20</w:t>
            </w:r>
          </w:p>
          <w:p w14:paraId="0D49D862" w14:textId="77777777" w:rsidR="00266833" w:rsidRPr="00720908" w:rsidRDefault="00266833" w:rsidP="00F14DEC">
            <w:pPr>
              <w:pStyle w:val="SingleTxtG"/>
              <w:spacing w:before="60" w:after="60" w:line="240" w:lineRule="auto"/>
              <w:ind w:left="57" w:right="57"/>
              <w:jc w:val="left"/>
              <w:rPr>
                <w:sz w:val="14"/>
                <w:szCs w:val="14"/>
              </w:rPr>
            </w:pPr>
            <w:r>
              <w:rPr>
                <w:lang w:val="fr-FR"/>
              </w:rPr>
              <w:t>B3</w:t>
            </w:r>
          </w:p>
          <w:p w14:paraId="64FEF2D4" w14:textId="77777777" w:rsidR="00266833" w:rsidRPr="00720908" w:rsidRDefault="00266833" w:rsidP="00F14DEC">
            <w:pPr>
              <w:pStyle w:val="SingleTxtG"/>
              <w:spacing w:before="60" w:after="60" w:line="240" w:lineRule="auto"/>
              <w:ind w:left="57" w:right="57"/>
              <w:jc w:val="left"/>
              <w:rPr>
                <w:sz w:val="14"/>
                <w:szCs w:val="14"/>
              </w:rPr>
            </w:pPr>
            <w:r>
              <w:rPr>
                <w:lang w:val="fr-FR"/>
              </w:rPr>
              <w:t>B6</w:t>
            </w:r>
          </w:p>
        </w:tc>
        <w:tc>
          <w:tcPr>
            <w:tcW w:w="974" w:type="dxa"/>
          </w:tcPr>
          <w:p w14:paraId="23B696F1" w14:textId="77777777" w:rsidR="00266833" w:rsidRPr="00720908" w:rsidRDefault="00266833" w:rsidP="00F14DEC">
            <w:pPr>
              <w:pStyle w:val="SingleTxtG"/>
              <w:spacing w:before="60" w:after="60" w:line="240" w:lineRule="auto"/>
              <w:ind w:left="57" w:right="57"/>
              <w:jc w:val="left"/>
              <w:rPr>
                <w:sz w:val="14"/>
                <w:szCs w:val="14"/>
              </w:rPr>
            </w:pPr>
            <w:r>
              <w:rPr>
                <w:lang w:val="fr-FR"/>
              </w:rPr>
              <w:t>BK2</w:t>
            </w:r>
          </w:p>
        </w:tc>
      </w:tr>
      <w:tr w:rsidR="00F14DEC" w14:paraId="0D08FE18" w14:textId="77777777" w:rsidTr="00F14DEC">
        <w:tc>
          <w:tcPr>
            <w:tcW w:w="609" w:type="dxa"/>
          </w:tcPr>
          <w:p w14:paraId="014A7346" w14:textId="77777777" w:rsidR="00266833" w:rsidRPr="00D83E5E" w:rsidRDefault="00266833" w:rsidP="00F14DEC">
            <w:pPr>
              <w:pStyle w:val="SingleTxtG"/>
              <w:spacing w:before="60" w:after="60" w:line="240" w:lineRule="auto"/>
              <w:ind w:left="57" w:right="57"/>
              <w:jc w:val="left"/>
              <w:rPr>
                <w:sz w:val="14"/>
                <w:szCs w:val="14"/>
              </w:rPr>
            </w:pPr>
            <w:r>
              <w:rPr>
                <w:lang w:val="fr-FR"/>
              </w:rPr>
              <w:t>2217</w:t>
            </w:r>
          </w:p>
        </w:tc>
        <w:tc>
          <w:tcPr>
            <w:tcW w:w="2254" w:type="dxa"/>
          </w:tcPr>
          <w:p w14:paraId="2034E600" w14:textId="37288916" w:rsidR="00266833" w:rsidRPr="00244BC5" w:rsidRDefault="00266833" w:rsidP="00F14DEC">
            <w:pPr>
              <w:pStyle w:val="SingleTxtG"/>
              <w:spacing w:before="60" w:after="60" w:line="240" w:lineRule="auto"/>
              <w:ind w:left="57" w:right="57"/>
              <w:jc w:val="left"/>
              <w:rPr>
                <w:sz w:val="14"/>
                <w:szCs w:val="14"/>
              </w:rPr>
            </w:pPr>
            <w:r>
              <w:rPr>
                <w:lang w:val="fr-FR"/>
              </w:rPr>
              <w:t>TOURTEAUX contenant au plus 1,5 % (masse) d’huile et ayant 11</w:t>
            </w:r>
            <w:r w:rsidR="00F14DEC">
              <w:rPr>
                <w:lang w:val="fr-FR"/>
              </w:rPr>
              <w:t> </w:t>
            </w:r>
            <w:r>
              <w:rPr>
                <w:lang w:val="fr-FR"/>
              </w:rPr>
              <w:t>% (masse) d’humidité au maximum</w:t>
            </w:r>
          </w:p>
        </w:tc>
        <w:tc>
          <w:tcPr>
            <w:tcW w:w="826" w:type="dxa"/>
          </w:tcPr>
          <w:p w14:paraId="28684FDD" w14:textId="5C479E2F" w:rsidR="00266833" w:rsidRPr="00236A28" w:rsidRDefault="00266833" w:rsidP="00F14DEC">
            <w:pPr>
              <w:pStyle w:val="SingleTxtG"/>
              <w:spacing w:before="60" w:after="60" w:line="240" w:lineRule="auto"/>
              <w:ind w:left="57" w:right="57"/>
              <w:jc w:val="left"/>
              <w:rPr>
                <w:sz w:val="14"/>
                <w:szCs w:val="14"/>
              </w:rPr>
            </w:pPr>
            <w:r>
              <w:rPr>
                <w:lang w:val="fr-FR"/>
              </w:rPr>
              <w:t>4</w:t>
            </w:r>
            <w:r w:rsidR="00F14DEC">
              <w:rPr>
                <w:lang w:val="fr-FR"/>
              </w:rPr>
              <w:t>,</w:t>
            </w:r>
            <w:r>
              <w:rPr>
                <w:lang w:val="fr-FR"/>
              </w:rPr>
              <w:t>2</w:t>
            </w:r>
          </w:p>
        </w:tc>
        <w:tc>
          <w:tcPr>
            <w:tcW w:w="686" w:type="dxa"/>
          </w:tcPr>
          <w:p w14:paraId="44CCA9AA" w14:textId="77777777" w:rsidR="00266833" w:rsidRPr="00236A28" w:rsidRDefault="00266833" w:rsidP="00F14DEC">
            <w:pPr>
              <w:pStyle w:val="SingleTxtG"/>
              <w:spacing w:before="60" w:after="60" w:line="240" w:lineRule="auto"/>
              <w:ind w:left="57" w:right="57"/>
              <w:jc w:val="left"/>
              <w:rPr>
                <w:sz w:val="14"/>
                <w:szCs w:val="14"/>
              </w:rPr>
            </w:pPr>
            <w:r>
              <w:rPr>
                <w:lang w:val="fr-FR"/>
              </w:rPr>
              <w:t>III</w:t>
            </w:r>
          </w:p>
        </w:tc>
        <w:tc>
          <w:tcPr>
            <w:tcW w:w="783" w:type="dxa"/>
          </w:tcPr>
          <w:p w14:paraId="7A95AED1" w14:textId="77777777" w:rsidR="00266833" w:rsidRDefault="00266833" w:rsidP="00F14DEC">
            <w:pPr>
              <w:pStyle w:val="SingleTxtG"/>
              <w:spacing w:before="60" w:after="60" w:line="240" w:lineRule="auto"/>
              <w:ind w:left="57" w:right="57"/>
              <w:jc w:val="left"/>
              <w:rPr>
                <w:sz w:val="14"/>
                <w:szCs w:val="14"/>
              </w:rPr>
            </w:pPr>
            <w:r>
              <w:rPr>
                <w:lang w:val="fr-FR"/>
              </w:rPr>
              <w:t>29</w:t>
            </w:r>
          </w:p>
          <w:p w14:paraId="5B60782B" w14:textId="77777777" w:rsidR="00266833" w:rsidRPr="00236A28" w:rsidRDefault="00266833" w:rsidP="00F14DEC">
            <w:pPr>
              <w:pStyle w:val="SingleTxtG"/>
              <w:spacing w:before="60" w:after="60" w:line="240" w:lineRule="auto"/>
              <w:ind w:left="57" w:right="57"/>
              <w:jc w:val="left"/>
              <w:rPr>
                <w:sz w:val="14"/>
                <w:szCs w:val="14"/>
              </w:rPr>
            </w:pPr>
            <w:r>
              <w:rPr>
                <w:lang w:val="fr-FR"/>
              </w:rPr>
              <w:t>142</w:t>
            </w:r>
          </w:p>
        </w:tc>
        <w:tc>
          <w:tcPr>
            <w:tcW w:w="469" w:type="dxa"/>
          </w:tcPr>
          <w:p w14:paraId="1EEEE75C" w14:textId="77777777" w:rsidR="00266833" w:rsidRPr="00236A28" w:rsidRDefault="00266833" w:rsidP="00F14DEC">
            <w:pPr>
              <w:pStyle w:val="SingleTxtG"/>
              <w:spacing w:before="60" w:after="60" w:line="240" w:lineRule="auto"/>
              <w:ind w:left="57" w:right="57"/>
              <w:jc w:val="left"/>
              <w:rPr>
                <w:sz w:val="14"/>
                <w:szCs w:val="14"/>
              </w:rPr>
            </w:pPr>
            <w:r>
              <w:rPr>
                <w:lang w:val="fr-FR"/>
              </w:rPr>
              <w:t>0</w:t>
            </w:r>
          </w:p>
        </w:tc>
        <w:tc>
          <w:tcPr>
            <w:tcW w:w="468" w:type="dxa"/>
          </w:tcPr>
          <w:p w14:paraId="4E2E70D0" w14:textId="77777777" w:rsidR="00266833" w:rsidRPr="00236A28" w:rsidRDefault="00266833" w:rsidP="00F14DEC">
            <w:pPr>
              <w:pStyle w:val="SingleTxtG"/>
              <w:spacing w:before="60" w:after="60" w:line="240" w:lineRule="auto"/>
              <w:ind w:left="57" w:right="57"/>
              <w:jc w:val="left"/>
              <w:rPr>
                <w:sz w:val="16"/>
                <w:szCs w:val="16"/>
              </w:rPr>
            </w:pPr>
            <w:r>
              <w:rPr>
                <w:lang w:val="fr-FR"/>
              </w:rPr>
              <w:t>E0</w:t>
            </w:r>
          </w:p>
        </w:tc>
        <w:tc>
          <w:tcPr>
            <w:tcW w:w="1097" w:type="dxa"/>
          </w:tcPr>
          <w:p w14:paraId="66AAC4D6" w14:textId="77777777" w:rsidR="00266833" w:rsidRPr="00720908" w:rsidRDefault="00266833" w:rsidP="00F14DEC">
            <w:pPr>
              <w:pStyle w:val="SingleTxtG"/>
              <w:spacing w:before="60" w:after="60" w:line="240" w:lineRule="auto"/>
              <w:ind w:left="57" w:right="57"/>
              <w:jc w:val="left"/>
              <w:rPr>
                <w:sz w:val="14"/>
                <w:szCs w:val="14"/>
              </w:rPr>
            </w:pPr>
            <w:r>
              <w:rPr>
                <w:lang w:val="fr-FR"/>
              </w:rPr>
              <w:t>P002</w:t>
            </w:r>
          </w:p>
          <w:p w14:paraId="404E2773" w14:textId="77777777" w:rsidR="00266833" w:rsidRPr="00720908" w:rsidRDefault="00266833" w:rsidP="00F14DEC">
            <w:pPr>
              <w:pStyle w:val="SingleTxtG"/>
              <w:spacing w:before="60" w:after="60" w:line="240" w:lineRule="auto"/>
              <w:ind w:left="57" w:right="57"/>
              <w:jc w:val="left"/>
              <w:rPr>
                <w:sz w:val="14"/>
                <w:szCs w:val="14"/>
              </w:rPr>
            </w:pPr>
            <w:r>
              <w:rPr>
                <w:lang w:val="fr-FR"/>
              </w:rPr>
              <w:t>IBC08</w:t>
            </w:r>
          </w:p>
          <w:p w14:paraId="114C3B3A" w14:textId="77777777" w:rsidR="00266833" w:rsidRPr="00720908" w:rsidRDefault="00266833" w:rsidP="00F14DEC">
            <w:pPr>
              <w:pStyle w:val="SingleTxtG"/>
              <w:spacing w:before="60" w:after="60" w:line="240" w:lineRule="auto"/>
              <w:ind w:left="57" w:right="57"/>
              <w:jc w:val="left"/>
              <w:rPr>
                <w:sz w:val="14"/>
                <w:szCs w:val="14"/>
              </w:rPr>
            </w:pPr>
            <w:r>
              <w:rPr>
                <w:lang w:val="fr-FR"/>
              </w:rPr>
              <w:t>LP02</w:t>
            </w:r>
          </w:p>
        </w:tc>
        <w:tc>
          <w:tcPr>
            <w:tcW w:w="939" w:type="dxa"/>
          </w:tcPr>
          <w:p w14:paraId="3488C862" w14:textId="77777777" w:rsidR="00266833" w:rsidRPr="00720908" w:rsidRDefault="00266833" w:rsidP="00F14DEC">
            <w:pPr>
              <w:pStyle w:val="SingleTxtG"/>
              <w:spacing w:before="60" w:after="60" w:line="240" w:lineRule="auto"/>
              <w:ind w:left="57" w:right="57"/>
              <w:jc w:val="left"/>
              <w:rPr>
                <w:sz w:val="14"/>
                <w:szCs w:val="14"/>
              </w:rPr>
            </w:pPr>
            <w:r>
              <w:rPr>
                <w:lang w:val="fr-FR"/>
              </w:rPr>
              <w:t>PP20</w:t>
            </w:r>
          </w:p>
          <w:p w14:paraId="7E7C26CC" w14:textId="77777777" w:rsidR="00266833" w:rsidRPr="00720908" w:rsidRDefault="00266833" w:rsidP="00F14DEC">
            <w:pPr>
              <w:pStyle w:val="SingleTxtG"/>
              <w:spacing w:before="60" w:after="60" w:line="240" w:lineRule="auto"/>
              <w:ind w:left="57" w:right="57"/>
              <w:jc w:val="left"/>
              <w:rPr>
                <w:sz w:val="14"/>
                <w:szCs w:val="14"/>
              </w:rPr>
            </w:pPr>
            <w:r>
              <w:rPr>
                <w:lang w:val="fr-FR"/>
              </w:rPr>
              <w:t>B3</w:t>
            </w:r>
          </w:p>
          <w:p w14:paraId="7BE96015" w14:textId="77777777" w:rsidR="00266833" w:rsidRPr="00720908" w:rsidRDefault="00266833" w:rsidP="00F14DEC">
            <w:pPr>
              <w:pStyle w:val="SingleTxtG"/>
              <w:spacing w:before="60" w:after="60" w:line="240" w:lineRule="auto"/>
              <w:ind w:left="57" w:right="57"/>
              <w:jc w:val="left"/>
              <w:rPr>
                <w:sz w:val="14"/>
                <w:szCs w:val="14"/>
              </w:rPr>
            </w:pPr>
            <w:r>
              <w:rPr>
                <w:lang w:val="fr-FR"/>
              </w:rPr>
              <w:t>B6</w:t>
            </w:r>
          </w:p>
        </w:tc>
        <w:tc>
          <w:tcPr>
            <w:tcW w:w="974" w:type="dxa"/>
          </w:tcPr>
          <w:p w14:paraId="43180F1F" w14:textId="77777777" w:rsidR="00266833" w:rsidRPr="00720908" w:rsidRDefault="00266833" w:rsidP="00F14DEC">
            <w:pPr>
              <w:pStyle w:val="SingleTxtG"/>
              <w:spacing w:before="60" w:after="60" w:line="240" w:lineRule="auto"/>
              <w:ind w:left="57" w:right="57"/>
              <w:jc w:val="left"/>
              <w:rPr>
                <w:sz w:val="14"/>
                <w:szCs w:val="14"/>
              </w:rPr>
            </w:pPr>
            <w:r>
              <w:rPr>
                <w:lang w:val="fr-FR"/>
              </w:rPr>
              <w:t>BK2</w:t>
            </w:r>
          </w:p>
        </w:tc>
      </w:tr>
      <w:tr w:rsidR="00266833" w:rsidRPr="0085429A" w14:paraId="679E668C" w14:textId="77777777" w:rsidTr="00F14DEC">
        <w:tc>
          <w:tcPr>
            <w:tcW w:w="9104" w:type="dxa"/>
            <w:gridSpan w:val="10"/>
          </w:tcPr>
          <w:p w14:paraId="2D088C6D" w14:textId="64D3825D" w:rsidR="00266833" w:rsidRPr="00244BC5" w:rsidRDefault="00266833" w:rsidP="003136F3">
            <w:pPr>
              <w:pStyle w:val="SingleTxtG"/>
              <w:tabs>
                <w:tab w:val="left" w:pos="564"/>
              </w:tabs>
              <w:spacing w:before="60" w:after="60" w:line="240" w:lineRule="auto"/>
              <w:ind w:left="57" w:right="57"/>
              <w:jc w:val="left"/>
              <w:rPr>
                <w:sz w:val="18"/>
                <w:szCs w:val="18"/>
              </w:rPr>
            </w:pPr>
            <w:r>
              <w:rPr>
                <w:lang w:val="fr-FR"/>
              </w:rPr>
              <w:t>29</w:t>
            </w:r>
            <w:r w:rsidR="003136F3">
              <w:rPr>
                <w:lang w:val="fr-FR"/>
              </w:rPr>
              <w:tab/>
            </w:r>
            <w:r>
              <w:rPr>
                <w:lang w:val="fr-FR"/>
              </w:rPr>
              <w:t>Cette matière n’est pas soumise à l’étiquetage, mais elle doit être marquée du numéro de la classe ou de la division.</w:t>
            </w:r>
          </w:p>
          <w:p w14:paraId="3C0003CB" w14:textId="2BA167CD" w:rsidR="00266833" w:rsidRPr="00244BC5" w:rsidRDefault="00266833" w:rsidP="003136F3">
            <w:pPr>
              <w:pStyle w:val="SingleTxtG"/>
              <w:tabs>
                <w:tab w:val="left" w:pos="564"/>
              </w:tabs>
              <w:spacing w:before="60" w:after="60" w:line="240" w:lineRule="auto"/>
              <w:ind w:left="57" w:right="57"/>
              <w:jc w:val="left"/>
              <w:rPr>
                <w:b/>
                <w:bCs/>
              </w:rPr>
            </w:pPr>
            <w:r>
              <w:rPr>
                <w:lang w:val="fr-FR"/>
              </w:rPr>
              <w:t>142</w:t>
            </w:r>
            <w:r w:rsidR="003136F3">
              <w:rPr>
                <w:lang w:val="fr-FR"/>
              </w:rPr>
              <w:tab/>
            </w:r>
            <w:r>
              <w:rPr>
                <w:lang w:val="fr-FR"/>
              </w:rPr>
              <w:t>La farine de graines de soja ayant subi un traitement d’extraction par solvant, contenant au plus 1,5 % d’huile et ayant au plus 11 % d’humidité, et ne contenant pratiquement pas de solvant inflammable, n’est pas soumise au présent Règlement.</w:t>
            </w:r>
          </w:p>
        </w:tc>
      </w:tr>
    </w:tbl>
    <w:p w14:paraId="6805001A" w14:textId="77777777" w:rsidR="00266833" w:rsidRPr="00244BC5" w:rsidRDefault="00266833" w:rsidP="003136F3">
      <w:pPr>
        <w:pStyle w:val="SingleTxtG"/>
        <w:spacing w:before="120"/>
      </w:pPr>
      <w:r>
        <w:rPr>
          <w:lang w:val="fr-FR"/>
        </w:rPr>
        <w:t>3.</w:t>
      </w:r>
      <w:r>
        <w:rPr>
          <w:lang w:val="fr-FR"/>
        </w:rPr>
        <w:tab/>
        <w:t>La disposition spéciale 142 a été ajoutée spécialement pour la farine de soja.</w:t>
      </w:r>
    </w:p>
    <w:p w14:paraId="22E1E580" w14:textId="269B0B54" w:rsidR="00266833" w:rsidRPr="00244BC5" w:rsidRDefault="00266833" w:rsidP="00266833">
      <w:pPr>
        <w:pStyle w:val="SingleTxtG"/>
      </w:pPr>
      <w:r>
        <w:rPr>
          <w:lang w:val="fr-FR"/>
        </w:rPr>
        <w:t>4.</w:t>
      </w:r>
      <w:r>
        <w:rPr>
          <w:lang w:val="fr-FR"/>
        </w:rPr>
        <w:tab/>
        <w:t xml:space="preserve">Lorsque les rubriques ont été ajoutées, il n’y avait pas d’instructions d’emballage dans le </w:t>
      </w:r>
      <w:r w:rsidRPr="0085429A">
        <w:rPr>
          <w:lang w:val="fr-FR"/>
        </w:rPr>
        <w:t>Règlement type</w:t>
      </w:r>
      <w:r>
        <w:rPr>
          <w:i/>
          <w:iCs/>
          <w:lang w:val="fr-FR"/>
        </w:rPr>
        <w:t>.</w:t>
      </w:r>
      <w:r>
        <w:rPr>
          <w:lang w:val="fr-FR"/>
        </w:rPr>
        <w:t xml:space="preserve"> Ces instructions ont été introduites dans la onzième édition révisée (Rev.11). Actuellement, l’instruction d’emballage P003 (moins restrictive) est affectée au</w:t>
      </w:r>
      <w:r w:rsidR="0065062C">
        <w:rPr>
          <w:lang w:val="fr-FR"/>
        </w:rPr>
        <w:t> </w:t>
      </w:r>
      <w:r>
        <w:rPr>
          <w:lang w:val="fr-FR"/>
        </w:rPr>
        <w:t>No</w:t>
      </w:r>
      <w:r w:rsidR="0065062C">
        <w:rPr>
          <w:lang w:val="fr-FR"/>
        </w:rPr>
        <w:t> </w:t>
      </w:r>
      <w:r>
        <w:rPr>
          <w:lang w:val="fr-FR"/>
        </w:rPr>
        <w:t>ONU 1386 et l’instruction d’emballage P002 (légèrement plus restrictive) au No</w:t>
      </w:r>
      <w:r w:rsidR="0065062C">
        <w:rPr>
          <w:lang w:val="fr-FR"/>
        </w:rPr>
        <w:t> </w:t>
      </w:r>
      <w:r>
        <w:rPr>
          <w:lang w:val="fr-FR"/>
        </w:rPr>
        <w:t>ONU</w:t>
      </w:r>
      <w:r w:rsidR="0065062C">
        <w:rPr>
          <w:lang w:val="fr-FR"/>
        </w:rPr>
        <w:t> </w:t>
      </w:r>
      <w:r>
        <w:rPr>
          <w:lang w:val="fr-FR"/>
        </w:rPr>
        <w:t>2217. Par ailleurs, l’affectation des instructions d’emballage P002 et P003 est difficile à justifier compte tenu des similitudes que présentent les rubriques et étant donné que la plupart des tourteaux sont expédiés en vrac ou dans des conteneurs BK, et non dans de petits emballages.</w:t>
      </w:r>
    </w:p>
    <w:p w14:paraId="4F2E233C" w14:textId="3BA45660" w:rsidR="00266833" w:rsidRPr="00244BC5" w:rsidRDefault="00266833" w:rsidP="00266833">
      <w:pPr>
        <w:pStyle w:val="SingleTxtG"/>
      </w:pPr>
      <w:r>
        <w:rPr>
          <w:i/>
          <w:iCs/>
          <w:lang w:val="fr-FR"/>
        </w:rPr>
        <w:t xml:space="preserve">Note : </w:t>
      </w:r>
      <w:r w:rsidRPr="00B25F16">
        <w:rPr>
          <w:i/>
          <w:iCs/>
          <w:spacing w:val="-2"/>
          <w:lang w:val="fr-FR"/>
        </w:rPr>
        <w:t>Lorsque les motifs d’affectation des instructions d’emballages ont été adoptés (ST/SG/AC.10/C.3/1997/52 et ST/SG/AC.10/C.3/28), les marchandises du groupe d’emballage III de la division 4.2 se sont vues affecter l’instruction d’emballage P002.</w:t>
      </w:r>
      <w:r w:rsidRPr="00B25F16">
        <w:rPr>
          <w:spacing w:val="-2"/>
          <w:lang w:val="fr-FR"/>
        </w:rPr>
        <w:t xml:space="preserve"> </w:t>
      </w:r>
      <w:r w:rsidRPr="00B25F16">
        <w:rPr>
          <w:i/>
          <w:iCs/>
          <w:spacing w:val="-2"/>
          <w:lang w:val="fr-FR"/>
        </w:rPr>
        <w:t>Lorsque la première liste détaillée des affectations a été proposée (ST/SG/AC.10/C.3/1998/22 et ST/SG/AC.10/C.3/30), le No ONU 1386 s’est vu affecter l’instruction d’emballage P409 et le No</w:t>
      </w:r>
      <w:r w:rsidR="00B25F16">
        <w:rPr>
          <w:i/>
          <w:iCs/>
          <w:spacing w:val="-2"/>
          <w:lang w:val="fr-FR"/>
        </w:rPr>
        <w:t> </w:t>
      </w:r>
      <w:r w:rsidRPr="00B25F16">
        <w:rPr>
          <w:i/>
          <w:iCs/>
          <w:spacing w:val="-2"/>
          <w:lang w:val="fr-FR"/>
        </w:rPr>
        <w:t>ONU</w:t>
      </w:r>
      <w:r w:rsidR="00B25F16">
        <w:rPr>
          <w:i/>
          <w:iCs/>
          <w:spacing w:val="-2"/>
          <w:lang w:val="fr-FR"/>
        </w:rPr>
        <w:t> </w:t>
      </w:r>
      <w:r w:rsidRPr="00B25F16">
        <w:rPr>
          <w:i/>
          <w:iCs/>
          <w:spacing w:val="-2"/>
          <w:lang w:val="fr-FR"/>
        </w:rPr>
        <w:t>2217 l’instruction d’emballage P002.</w:t>
      </w:r>
      <w:r w:rsidRPr="00B25F16">
        <w:rPr>
          <w:spacing w:val="-2"/>
          <w:lang w:val="fr-FR"/>
        </w:rPr>
        <w:t xml:space="preserve"> </w:t>
      </w:r>
      <w:r w:rsidRPr="00B25F16">
        <w:rPr>
          <w:i/>
          <w:iCs/>
          <w:spacing w:val="-2"/>
          <w:lang w:val="fr-FR"/>
        </w:rPr>
        <w:t>Lorsque la liste définitive a été publiée (ST/SG/AC.10/25 et ST/SG/AC.10/25/Add.3),l’instruction d’emballage P003</w:t>
      </w:r>
      <w:r w:rsidR="00B25F16">
        <w:rPr>
          <w:i/>
          <w:iCs/>
          <w:spacing w:val="-2"/>
          <w:lang w:val="fr-FR"/>
        </w:rPr>
        <w:t xml:space="preserve"> </w:t>
      </w:r>
      <w:r w:rsidRPr="00B25F16">
        <w:rPr>
          <w:i/>
          <w:iCs/>
          <w:spacing w:val="-2"/>
          <w:lang w:val="fr-FR"/>
        </w:rPr>
        <w:t>a été affectée au No</w:t>
      </w:r>
      <w:r w:rsidR="00B25F16">
        <w:rPr>
          <w:i/>
          <w:iCs/>
          <w:spacing w:val="-2"/>
          <w:lang w:val="fr-FR"/>
        </w:rPr>
        <w:t> </w:t>
      </w:r>
      <w:r w:rsidRPr="00B25F16">
        <w:rPr>
          <w:i/>
          <w:iCs/>
          <w:spacing w:val="-2"/>
          <w:lang w:val="fr-FR"/>
        </w:rPr>
        <w:t>ONU</w:t>
      </w:r>
      <w:r w:rsidR="00B25F16">
        <w:rPr>
          <w:i/>
          <w:iCs/>
          <w:spacing w:val="-2"/>
          <w:lang w:val="fr-FR"/>
        </w:rPr>
        <w:t> </w:t>
      </w:r>
      <w:r w:rsidRPr="00B25F16">
        <w:rPr>
          <w:i/>
          <w:iCs/>
          <w:spacing w:val="-2"/>
          <w:lang w:val="fr-FR"/>
        </w:rPr>
        <w:t>1386 et l’instruction d’emballage P002 au No ONU 2217</w:t>
      </w:r>
      <w:r>
        <w:rPr>
          <w:i/>
          <w:iCs/>
          <w:lang w:val="fr-FR"/>
        </w:rPr>
        <w:t>.</w:t>
      </w:r>
    </w:p>
    <w:p w14:paraId="3AF0D0EC" w14:textId="77777777" w:rsidR="00CB40B4" w:rsidRDefault="00266833" w:rsidP="00266833">
      <w:pPr>
        <w:pStyle w:val="SingleTxtG"/>
        <w:rPr>
          <w:lang w:val="fr-FR"/>
        </w:rPr>
      </w:pPr>
      <w:r w:rsidRPr="00CB40B4">
        <w:rPr>
          <w:lang w:val="fr-FR"/>
        </w:rPr>
        <w:t>5.</w:t>
      </w:r>
      <w:r w:rsidRPr="00CB40B4">
        <w:rPr>
          <w:lang w:val="fr-FR"/>
        </w:rPr>
        <w:tab/>
        <w:t>L’Allemagne s’est penchée sur la question des rubriques consacrées aux tourteaux et a présenté une première proposition d’amendement en 2014 (ST/SG/AC.10/C.3/2014/80). À</w:t>
      </w:r>
      <w:r w:rsidR="00CB40B4">
        <w:rPr>
          <w:lang w:val="fr-FR"/>
        </w:rPr>
        <w:t> </w:t>
      </w:r>
      <w:r w:rsidRPr="00CB40B4">
        <w:rPr>
          <w:lang w:val="fr-FR"/>
        </w:rPr>
        <w:t>partir des observations reçues (ST/SG/AC.10/C.3/92), l’expert de l’Espagne a élaboré une proposition révisée (ST/SG/AC.10/C.3/2015/7) qui a aussi été rejetée parce qu’elle avait été jugée trop large (ST/SG/AC.10/C.3/94). À la cinquantième session du Sous-Comité du</w:t>
      </w:r>
      <w:r>
        <w:rPr>
          <w:lang w:val="fr-FR"/>
        </w:rPr>
        <w:t xml:space="preserve"> </w:t>
      </w:r>
      <w:r>
        <w:rPr>
          <w:lang w:val="fr-FR"/>
        </w:rPr>
        <w:lastRenderedPageBreak/>
        <w:t xml:space="preserve">transport des marchandises dangereuses (Sous-Comité TMD), en 2016, l’Espagne a soumis le document informel INF.4, dans lequel elle soulignait les différences entre le Code maritime international des cargaisons solides en vrac (Code IMSBC) et le Code maritime international des marchandises dangereuses (Code </w:t>
      </w:r>
      <w:r w:rsidR="00CB40B4">
        <w:rPr>
          <w:lang w:val="fr-FR"/>
        </w:rPr>
        <w:t>I</w:t>
      </w:r>
      <w:r>
        <w:rPr>
          <w:lang w:val="fr-FR"/>
        </w:rPr>
        <w:t xml:space="preserve">MDG), d’une part, et le </w:t>
      </w:r>
      <w:r w:rsidRPr="0085429A">
        <w:rPr>
          <w:lang w:val="fr-FR"/>
        </w:rPr>
        <w:t>Règlement type</w:t>
      </w:r>
      <w:r>
        <w:rPr>
          <w:lang w:val="fr-FR"/>
        </w:rPr>
        <w:t>, d’autre part,</w:t>
      </w:r>
      <w:r>
        <w:rPr>
          <w:i/>
          <w:iCs/>
          <w:lang w:val="fr-FR"/>
        </w:rPr>
        <w:t xml:space="preserve"> </w:t>
      </w:r>
      <w:r>
        <w:rPr>
          <w:lang w:val="fr-FR"/>
        </w:rPr>
        <w:t xml:space="preserve">en ce qui concerne le No ONU 1386. </w:t>
      </w:r>
    </w:p>
    <w:p w14:paraId="380A966E" w14:textId="4DAA57AD" w:rsidR="00266833" w:rsidRPr="00244BC5" w:rsidRDefault="00CB40B4" w:rsidP="00266833">
      <w:pPr>
        <w:pStyle w:val="SingleTxtG"/>
      </w:pPr>
      <w:r>
        <w:rPr>
          <w:lang w:val="fr-FR"/>
        </w:rPr>
        <w:t>6.</w:t>
      </w:r>
      <w:r>
        <w:rPr>
          <w:lang w:val="fr-FR"/>
        </w:rPr>
        <w:tab/>
      </w:r>
      <w:r w:rsidR="00266833" w:rsidRPr="00CB40B4">
        <w:rPr>
          <w:lang w:val="fr-FR"/>
        </w:rPr>
        <w:t>La question</w:t>
      </w:r>
      <w:r w:rsidR="00266833">
        <w:rPr>
          <w:lang w:val="fr-FR"/>
        </w:rPr>
        <w:t xml:space="preserve"> des tourteaux a également été abordée lors de réunions récentes du </w:t>
      </w:r>
      <w:r w:rsidR="00BF0C9E">
        <w:rPr>
          <w:lang w:val="fr-FR"/>
        </w:rPr>
        <w:t>Sous-comité</w:t>
      </w:r>
      <w:r w:rsidR="00266833">
        <w:rPr>
          <w:lang w:val="fr-FR"/>
        </w:rPr>
        <w:t xml:space="preserve"> du transport des cargaisons et des conteneurs (</w:t>
      </w:r>
      <w:r w:rsidR="00BF0C9E">
        <w:rPr>
          <w:lang w:val="fr-FR"/>
        </w:rPr>
        <w:t>Sous-comité</w:t>
      </w:r>
      <w:r w:rsidR="00266833">
        <w:rPr>
          <w:lang w:val="fr-FR"/>
        </w:rPr>
        <w:t xml:space="preserve"> CCC) de l’Organisation maritime internationale (OMI). La Chine a d’ailleurs présenté plusieurs propositions aux huitième, neuvième et dixième sessions du </w:t>
      </w:r>
      <w:r w:rsidR="00BF0C9E">
        <w:rPr>
          <w:lang w:val="fr-FR"/>
        </w:rPr>
        <w:t>Sous-comité</w:t>
      </w:r>
      <w:r w:rsidR="00266833">
        <w:rPr>
          <w:lang w:val="fr-FR"/>
        </w:rPr>
        <w:t>. Le</w:t>
      </w:r>
      <w:r>
        <w:rPr>
          <w:lang w:val="fr-FR"/>
        </w:rPr>
        <w:t> </w:t>
      </w:r>
      <w:r w:rsidR="00266833">
        <w:rPr>
          <w:lang w:val="fr-FR"/>
        </w:rPr>
        <w:t xml:space="preserve">Groupe de rédaction et des questions techniques du </w:t>
      </w:r>
      <w:r w:rsidR="00BF0C9E">
        <w:rPr>
          <w:lang w:val="fr-FR"/>
        </w:rPr>
        <w:t>Sous-comité</w:t>
      </w:r>
      <w:r w:rsidR="00266833">
        <w:rPr>
          <w:lang w:val="fr-FR"/>
        </w:rPr>
        <w:t xml:space="preserve"> CCC a conclu que toutes les questions relatives au classement des tourteaux, et en particulier aux rubriques, devaient être examinées par le </w:t>
      </w:r>
      <w:r w:rsidR="00BF0C9E">
        <w:rPr>
          <w:lang w:val="fr-FR"/>
        </w:rPr>
        <w:t>Sous</w:t>
      </w:r>
      <w:r w:rsidR="00BF0C9E">
        <w:rPr>
          <w:lang w:val="fr-FR"/>
        </w:rPr>
        <w:noBreakHyphen/>
        <w:t>comité</w:t>
      </w:r>
      <w:r w:rsidR="00266833">
        <w:rPr>
          <w:lang w:val="fr-FR"/>
        </w:rPr>
        <w:t xml:space="preserve"> TMD. Il s’est récemment penché sur les différences qui existent entre le </w:t>
      </w:r>
      <w:r w:rsidR="00266833" w:rsidRPr="0085429A">
        <w:rPr>
          <w:lang w:val="fr-FR"/>
        </w:rPr>
        <w:t>Règlement type</w:t>
      </w:r>
      <w:r w:rsidR="00266833">
        <w:rPr>
          <w:lang w:val="fr-FR"/>
        </w:rPr>
        <w:t xml:space="preserve"> et le Code IMDG en ce qui concerne les tourteaux.</w:t>
      </w:r>
    </w:p>
    <w:p w14:paraId="0939C771" w14:textId="77777777" w:rsidR="00266833" w:rsidRPr="00244BC5" w:rsidRDefault="00266833" w:rsidP="00266833">
      <w:pPr>
        <w:pStyle w:val="SingleTxtG"/>
      </w:pPr>
      <w:r>
        <w:rPr>
          <w:lang w:val="fr-FR"/>
        </w:rPr>
        <w:t>7.</w:t>
      </w:r>
      <w:r>
        <w:rPr>
          <w:lang w:val="fr-FR"/>
        </w:rPr>
        <w:tab/>
        <w:t xml:space="preserve">Les subdivisions a) et b) du No ONU 1386 qui figurent dans le Code IMDG n’existent pas dans </w:t>
      </w:r>
      <w:r w:rsidRPr="00953ADD">
        <w:rPr>
          <w:lang w:val="fr-FR"/>
        </w:rPr>
        <w:t xml:space="preserve">le </w:t>
      </w:r>
      <w:r w:rsidRPr="0085429A">
        <w:rPr>
          <w:lang w:val="fr-FR"/>
        </w:rPr>
        <w:t>Règlement type</w:t>
      </w:r>
      <w:r>
        <w:rPr>
          <w:lang w:val="fr-FR"/>
        </w:rPr>
        <w:t>.</w:t>
      </w:r>
    </w:p>
    <w:p w14:paraId="08A4E67D" w14:textId="43AE47B3" w:rsidR="00266833" w:rsidRPr="00244BC5" w:rsidRDefault="00266833" w:rsidP="00CB40B4">
      <w:pPr>
        <w:pStyle w:val="SingleTxtG"/>
        <w:ind w:firstLine="567"/>
      </w:pPr>
      <w:r>
        <w:rPr>
          <w:lang w:val="fr-FR"/>
        </w:rPr>
        <w:t>De plus, les teneurs en huile et le taux d’humidité indiqués ne sont pas les mêmes dans les deux instruments. Dans le Code, la rubrique du No ONU 1386 est subdivisée comme suit</w:t>
      </w:r>
      <w:r w:rsidR="00CB40B4">
        <w:rPr>
          <w:lang w:val="fr-FR"/>
        </w:rPr>
        <w:t> </w:t>
      </w:r>
      <w:r>
        <w:rPr>
          <w:lang w:val="fr-FR"/>
        </w:rPr>
        <w:t>:</w:t>
      </w:r>
    </w:p>
    <w:p w14:paraId="392AF1DF" w14:textId="0826FE80" w:rsidR="00266833" w:rsidRPr="00244BC5" w:rsidRDefault="00266833" w:rsidP="00CB40B4">
      <w:pPr>
        <w:pStyle w:val="SingleTxtG"/>
        <w:ind w:firstLine="567"/>
      </w:pPr>
      <w:r>
        <w:rPr>
          <w:lang w:val="fr-FR"/>
        </w:rPr>
        <w:t>a)</w:t>
      </w:r>
      <w:r>
        <w:rPr>
          <w:lang w:val="fr-FR"/>
        </w:rPr>
        <w:tab/>
        <w:t>« Graines triturées par procédé mécanique contenant plus de 10</w:t>
      </w:r>
      <w:r w:rsidR="00CB40B4">
        <w:rPr>
          <w:lang w:val="fr-FR"/>
        </w:rPr>
        <w:t> </w:t>
      </w:r>
      <w:r>
        <w:rPr>
          <w:lang w:val="fr-FR"/>
        </w:rPr>
        <w:t>% d’huile ou plus de 20 % d’huile et d’humidité combinées » ;</w:t>
      </w:r>
    </w:p>
    <w:p w14:paraId="3F8DD526" w14:textId="629E3B82" w:rsidR="00266833" w:rsidRPr="00244BC5" w:rsidRDefault="00266833" w:rsidP="00CB40B4">
      <w:pPr>
        <w:pStyle w:val="SingleTxtG"/>
        <w:ind w:firstLine="567"/>
      </w:pPr>
      <w:r>
        <w:rPr>
          <w:lang w:val="fr-FR"/>
        </w:rPr>
        <w:t>b)</w:t>
      </w:r>
      <w:r>
        <w:rPr>
          <w:lang w:val="fr-FR"/>
        </w:rPr>
        <w:tab/>
        <w:t>« Graines triturées soumises à une extraction par solvant contenant plus de 10</w:t>
      </w:r>
      <w:r w:rsidR="00CB40B4">
        <w:rPr>
          <w:lang w:val="fr-FR"/>
        </w:rPr>
        <w:t> </w:t>
      </w:r>
      <w:r>
        <w:rPr>
          <w:lang w:val="fr-FR"/>
        </w:rPr>
        <w:t>% d’huile et, lorsque le taux d’humidité est supérieur à 10 %, au plus 20</w:t>
      </w:r>
      <w:r w:rsidR="00CB40B4">
        <w:rPr>
          <w:lang w:val="fr-FR"/>
        </w:rPr>
        <w:t> </w:t>
      </w:r>
      <w:r>
        <w:rPr>
          <w:lang w:val="fr-FR"/>
        </w:rPr>
        <w:t>% d’huile et d’humidité combinées ».</w:t>
      </w:r>
    </w:p>
    <w:p w14:paraId="3F36E42D" w14:textId="5D301AFE" w:rsidR="00266833" w:rsidRPr="00244BC5" w:rsidRDefault="00266833" w:rsidP="00D84555">
      <w:pPr>
        <w:pStyle w:val="SingleTxtG"/>
        <w:keepNext/>
      </w:pPr>
      <w:r>
        <w:rPr>
          <w:lang w:val="fr-FR"/>
        </w:rPr>
        <w:t>8.</w:t>
      </w:r>
      <w:r>
        <w:rPr>
          <w:lang w:val="fr-FR"/>
        </w:rPr>
        <w:tab/>
        <w:t>À la trente-neuvième session du Groupe de rédaction et des questions techniques (2</w:t>
      </w:r>
      <w:r w:rsidR="00CB40B4">
        <w:rPr>
          <w:lang w:val="fr-FR"/>
        </w:rPr>
        <w:noBreakHyphen/>
      </w:r>
      <w:r>
        <w:rPr>
          <w:lang w:val="fr-FR"/>
        </w:rPr>
        <w:t>6</w:t>
      </w:r>
      <w:r w:rsidR="00CB40B4">
        <w:rPr>
          <w:lang w:val="fr-FR"/>
        </w:rPr>
        <w:t> </w:t>
      </w:r>
      <w:r>
        <w:rPr>
          <w:lang w:val="fr-FR"/>
        </w:rPr>
        <w:t>octobre 2023), les participants ont conclu ce qui suit :</w:t>
      </w:r>
    </w:p>
    <w:p w14:paraId="37DC763A" w14:textId="006DEDAD" w:rsidR="00266833" w:rsidRPr="00244BC5" w:rsidRDefault="00266833" w:rsidP="00DB630B">
      <w:pPr>
        <w:pStyle w:val="SingleTxtG"/>
        <w:ind w:left="1701" w:firstLine="567"/>
      </w:pPr>
      <w:r>
        <w:rPr>
          <w:lang w:val="fr-FR"/>
        </w:rPr>
        <w:t>« Le transport intermodal d’un engin de transport contenant le No</w:t>
      </w:r>
      <w:r w:rsidR="00DB630B">
        <w:rPr>
          <w:lang w:val="fr-FR"/>
        </w:rPr>
        <w:t> </w:t>
      </w:r>
      <w:r>
        <w:rPr>
          <w:lang w:val="fr-FR"/>
        </w:rPr>
        <w:t>ONU</w:t>
      </w:r>
      <w:r w:rsidR="00DB630B">
        <w:rPr>
          <w:lang w:val="fr-FR"/>
        </w:rPr>
        <w:t> </w:t>
      </w:r>
      <w:r>
        <w:rPr>
          <w:lang w:val="fr-FR"/>
        </w:rPr>
        <w:t>1386</w:t>
      </w:r>
      <w:r w:rsidR="00DB630B">
        <w:rPr>
          <w:lang w:val="fr-FR"/>
        </w:rPr>
        <w:t> </w:t>
      </w:r>
      <w:r>
        <w:rPr>
          <w:lang w:val="fr-FR"/>
        </w:rPr>
        <w:t>a) est donc impossible. En conséquence, le No</w:t>
      </w:r>
      <w:r w:rsidR="00DB630B">
        <w:rPr>
          <w:lang w:val="fr-FR"/>
        </w:rPr>
        <w:t> </w:t>
      </w:r>
      <w:r>
        <w:rPr>
          <w:lang w:val="fr-FR"/>
        </w:rPr>
        <w:t>ONU</w:t>
      </w:r>
      <w:r w:rsidR="00DB630B">
        <w:rPr>
          <w:lang w:val="fr-FR"/>
        </w:rPr>
        <w:t> </w:t>
      </w:r>
      <w:r>
        <w:rPr>
          <w:lang w:val="fr-FR"/>
        </w:rPr>
        <w:t>1386</w:t>
      </w:r>
      <w:r w:rsidR="00DB630B">
        <w:rPr>
          <w:lang w:val="fr-FR"/>
        </w:rPr>
        <w:t> </w:t>
      </w:r>
      <w:r>
        <w:rPr>
          <w:lang w:val="fr-FR"/>
        </w:rPr>
        <w:t xml:space="preserve">a) devrait être supprimé du Code IMDG. En outre, les prescriptions relatives à la teneur en huile et au taux d’humidité maximaux du No 1386 b) ne sont pas les mêmes dans le Code IMDG et le </w:t>
      </w:r>
      <w:r w:rsidRPr="0085429A">
        <w:rPr>
          <w:lang w:val="fr-FR"/>
        </w:rPr>
        <w:t>Règlement type</w:t>
      </w:r>
      <w:r>
        <w:rPr>
          <w:lang w:val="fr-FR"/>
        </w:rPr>
        <w:t xml:space="preserve"> de l’ONU. La différence entre le No ONU</w:t>
      </w:r>
      <w:r w:rsidR="00DB630B">
        <w:rPr>
          <w:lang w:val="fr-FR"/>
        </w:rPr>
        <w:t> </w:t>
      </w:r>
      <w:r>
        <w:rPr>
          <w:lang w:val="fr-FR"/>
        </w:rPr>
        <w:t>1386</w:t>
      </w:r>
      <w:r w:rsidR="00DB630B">
        <w:rPr>
          <w:lang w:val="fr-FR"/>
        </w:rPr>
        <w:t> </w:t>
      </w:r>
      <w:r>
        <w:rPr>
          <w:lang w:val="fr-FR"/>
        </w:rPr>
        <w:t>b) et le No</w:t>
      </w:r>
      <w:r w:rsidR="00DB630B">
        <w:rPr>
          <w:lang w:val="fr-FR"/>
        </w:rPr>
        <w:t> </w:t>
      </w:r>
      <w:r>
        <w:rPr>
          <w:lang w:val="fr-FR"/>
        </w:rPr>
        <w:t>ONU</w:t>
      </w:r>
      <w:r w:rsidR="00DB630B">
        <w:rPr>
          <w:lang w:val="fr-FR"/>
        </w:rPr>
        <w:t> </w:t>
      </w:r>
      <w:r>
        <w:rPr>
          <w:lang w:val="fr-FR"/>
        </w:rPr>
        <w:t>2217 ne concerne que la teneur en huile ; les prescriptions relatives au transport sont identiques. La distinction fondée sur la teneur en huile n’est donc pas utile.</w:t>
      </w:r>
    </w:p>
    <w:p w14:paraId="1FB06DC8" w14:textId="05F1EE45" w:rsidR="00266833" w:rsidRPr="00244BC5" w:rsidRDefault="00266833" w:rsidP="00DB630B">
      <w:pPr>
        <w:pStyle w:val="SingleTxtG"/>
        <w:ind w:left="1701" w:firstLine="567"/>
      </w:pPr>
      <w:r>
        <w:rPr>
          <w:lang w:val="fr-FR"/>
        </w:rPr>
        <w:t xml:space="preserve">L’OMI est convenue que le transport de cargaisons solides de tourteaux en vrac devait être soumis à des prescriptions réglementaires différentes de celles qui visent les marchandises dangereuses en colis (par exemple le classement en tant que matières qui ne sont dangereuses qu’en vrac (MDV), qui existe dans le Code IMSBC, mais pas dans le Code IMDG). Les cargaisons solides en vrac sont donc réglementées par le Code IMSBC, tandis que le Code IMDG et le Règlement type s’appliquent tous les deux aux marchandises dangereuses en colis. L’existence de systèmes de classement différents dans le Code IMSBC et le Code IMDG ne pose pas de problème. Cela étant, les marchandises dangereuses en colis sont transportées de différentes manières (par voie routière, ferroviaire et maritime), et le classement ne devrait pas varier d’un mode de transport à l’autre. Une harmonisation avec le </w:t>
      </w:r>
      <w:r w:rsidRPr="0085429A">
        <w:rPr>
          <w:lang w:val="fr-FR"/>
        </w:rPr>
        <w:t>Règlement type</w:t>
      </w:r>
      <w:r>
        <w:rPr>
          <w:lang w:val="fr-FR"/>
        </w:rPr>
        <w:t xml:space="preserve"> en ce qui concerne les critères de classement </w:t>
      </w:r>
      <w:proofErr w:type="spellStart"/>
      <w:r>
        <w:rPr>
          <w:lang w:val="fr-FR"/>
        </w:rPr>
        <w:t>des</w:t>
      </w:r>
      <w:proofErr w:type="spellEnd"/>
      <w:r>
        <w:rPr>
          <w:lang w:val="fr-FR"/>
        </w:rPr>
        <w:t xml:space="preserve"> Nos ONU 1386 et 2217 faciliterait le transport intermodal de ces marchandises sous forme de colis et pourrait donc être envisagée. »</w:t>
      </w:r>
      <w:r w:rsidR="00DB630B">
        <w:rPr>
          <w:lang w:val="fr-FR"/>
        </w:rPr>
        <w:t>.</w:t>
      </w:r>
    </w:p>
    <w:p w14:paraId="4E705BE9" w14:textId="65D2D603" w:rsidR="00266833" w:rsidRPr="00244BC5" w:rsidRDefault="00266833" w:rsidP="00DB630B">
      <w:pPr>
        <w:pStyle w:val="SingleTxtG"/>
        <w:spacing w:line="242" w:lineRule="atLeast"/>
      </w:pPr>
      <w:r>
        <w:rPr>
          <w:lang w:val="fr-FR"/>
        </w:rPr>
        <w:t>9.</w:t>
      </w:r>
      <w:r>
        <w:rPr>
          <w:lang w:val="fr-FR"/>
        </w:rPr>
        <w:tab/>
        <w:t>La production de tourteaux a beaucoup évolué depuis l’ajout des rubriques ONU</w:t>
      </w:r>
      <w:r w:rsidR="00DB630B">
        <w:rPr>
          <w:lang w:val="fr-FR"/>
        </w:rPr>
        <w:t> </w:t>
      </w:r>
      <w:r>
        <w:rPr>
          <w:lang w:val="fr-FR"/>
        </w:rPr>
        <w:t xml:space="preserve">1386 et 2217 dans le </w:t>
      </w:r>
      <w:r w:rsidRPr="0085429A">
        <w:rPr>
          <w:lang w:val="fr-FR"/>
        </w:rPr>
        <w:t>Règlement type</w:t>
      </w:r>
      <w:r>
        <w:rPr>
          <w:lang w:val="fr-FR"/>
        </w:rPr>
        <w:t>. Les tourteaux résultent de la transformation de graines oléagineuses, notamment les graines de soja, de colza, de coton et de tournesol. La</w:t>
      </w:r>
      <w:r w:rsidR="00DB630B">
        <w:rPr>
          <w:lang w:val="fr-FR"/>
        </w:rPr>
        <w:t> </w:t>
      </w:r>
      <w:r>
        <w:rPr>
          <w:lang w:val="fr-FR"/>
        </w:rPr>
        <w:t xml:space="preserve">transformation de ces graines donne deux produits ; des tourteaux (aussi appelés « farine protéique ») et de l’huile végétale. Les tourteaux sont riches en protéines et servent généralement d’aliments pour les animaux. Les huiles végétales extraites des graines oléagineuses </w:t>
      </w:r>
      <w:r w:rsidR="00DB630B">
        <w:rPr>
          <w:lang w:val="fr-FR"/>
        </w:rPr>
        <w:t>−</w:t>
      </w:r>
      <w:r>
        <w:rPr>
          <w:lang w:val="fr-FR"/>
        </w:rPr>
        <w:t xml:space="preserve"> notamment les huiles de soja, de colza, de coton et de tournesol </w:t>
      </w:r>
      <w:r w:rsidR="00DB630B">
        <w:rPr>
          <w:lang w:val="fr-FR"/>
        </w:rPr>
        <w:t>−</w:t>
      </w:r>
      <w:r>
        <w:rPr>
          <w:lang w:val="fr-FR"/>
        </w:rPr>
        <w:t xml:space="preserve"> sont des produits très intéressants utilisés aux fins de l’alimentation et, de plus en plus, de la </w:t>
      </w:r>
      <w:r>
        <w:rPr>
          <w:lang w:val="fr-FR"/>
        </w:rPr>
        <w:lastRenderedPageBreak/>
        <w:t>production de carburant. La valeur de ces huiles incite donc les producteurs à extraire un maximum d’huile des graines pendant la transformation, ce qui fait que les tourteaux ont une faible teneur en huile.</w:t>
      </w:r>
    </w:p>
    <w:p w14:paraId="4782D3B5" w14:textId="2B8B6015" w:rsidR="00266833" w:rsidRPr="00244BC5" w:rsidRDefault="00266833" w:rsidP="00266833">
      <w:pPr>
        <w:pStyle w:val="SingleTxtG"/>
      </w:pPr>
      <w:r>
        <w:rPr>
          <w:lang w:val="fr-FR"/>
        </w:rPr>
        <w:t>10.</w:t>
      </w:r>
      <w:r>
        <w:rPr>
          <w:lang w:val="fr-FR"/>
        </w:rPr>
        <w:tab/>
        <w:t xml:space="preserve">Les transformateurs s’efforcent aussi de limiter le taux d’humidité de leur produit pour augmenter ses qualités marchandes. Dans des contrats sectoriels largement utilisés, notamment le </w:t>
      </w:r>
      <w:r w:rsidRPr="0085429A">
        <w:rPr>
          <w:lang w:val="fr-FR"/>
        </w:rPr>
        <w:t xml:space="preserve">contrat </w:t>
      </w:r>
      <w:r w:rsidR="00DB630B" w:rsidRPr="00DB630B">
        <w:rPr>
          <w:rFonts w:eastAsia="MS Mincho"/>
          <w:lang w:val="fr-FR"/>
        </w:rPr>
        <w:t>n</w:t>
      </w:r>
      <w:r w:rsidR="00DB630B" w:rsidRPr="00DB630B">
        <w:rPr>
          <w:rFonts w:eastAsia="MS Mincho"/>
          <w:vertAlign w:val="superscript"/>
          <w:lang w:val="fr-FR"/>
        </w:rPr>
        <w:t>o</w:t>
      </w:r>
      <w:r w:rsidR="00DB630B">
        <w:rPr>
          <w:lang w:val="fr-FR"/>
        </w:rPr>
        <w:t> </w:t>
      </w:r>
      <w:r w:rsidRPr="0085429A">
        <w:rPr>
          <w:lang w:val="fr-FR"/>
        </w:rPr>
        <w:t>97 de la GAFTA sur la farine de soja nord-américaine</w:t>
      </w:r>
      <w:r w:rsidRPr="00BA6852">
        <w:rPr>
          <w:lang w:val="fr-FR"/>
        </w:rPr>
        <w:t xml:space="preserve">, le </w:t>
      </w:r>
      <w:r w:rsidRPr="0085429A">
        <w:rPr>
          <w:lang w:val="fr-FR"/>
        </w:rPr>
        <w:t xml:space="preserve">contrat </w:t>
      </w:r>
      <w:r w:rsidR="00DB630B" w:rsidRPr="00DB630B">
        <w:rPr>
          <w:rFonts w:eastAsia="MS Mincho"/>
          <w:lang w:val="fr-FR"/>
        </w:rPr>
        <w:t>n</w:t>
      </w:r>
      <w:r w:rsidR="00DB630B" w:rsidRPr="00DB630B">
        <w:rPr>
          <w:rFonts w:eastAsia="MS Mincho"/>
          <w:vertAlign w:val="superscript"/>
          <w:lang w:val="fr-FR"/>
        </w:rPr>
        <w:t>o</w:t>
      </w:r>
      <w:r w:rsidR="00DB630B">
        <w:rPr>
          <w:lang w:val="fr-FR"/>
        </w:rPr>
        <w:t> </w:t>
      </w:r>
      <w:r w:rsidRPr="0085429A">
        <w:rPr>
          <w:lang w:val="fr-FR"/>
        </w:rPr>
        <w:t>71 de l</w:t>
      </w:r>
      <w:r>
        <w:rPr>
          <w:lang w:val="fr-FR"/>
        </w:rPr>
        <w:t>’</w:t>
      </w:r>
      <w:r w:rsidRPr="0085429A">
        <w:rPr>
          <w:lang w:val="fr-FR"/>
        </w:rPr>
        <w:t>Association brésilienne des exportateurs de graines (ANEC) pour la vente de farine de soja brésilienne</w:t>
      </w:r>
      <w:r w:rsidRPr="00BA6852">
        <w:rPr>
          <w:lang w:val="fr-FR"/>
        </w:rPr>
        <w:t xml:space="preserve"> et les </w:t>
      </w:r>
      <w:r w:rsidRPr="0085429A">
        <w:rPr>
          <w:lang w:val="fr-FR"/>
        </w:rPr>
        <w:t>règles de l</w:t>
      </w:r>
      <w:r>
        <w:rPr>
          <w:lang w:val="fr-FR"/>
        </w:rPr>
        <w:t>’</w:t>
      </w:r>
      <w:r w:rsidRPr="0085429A">
        <w:rPr>
          <w:lang w:val="fr-FR"/>
        </w:rPr>
        <w:t>Association nationale des transformateurs de graines oléagineuses (NOPA) régissant l</w:t>
      </w:r>
      <w:r>
        <w:rPr>
          <w:lang w:val="fr-FR"/>
        </w:rPr>
        <w:t>’</w:t>
      </w:r>
      <w:r w:rsidRPr="0085429A">
        <w:rPr>
          <w:lang w:val="fr-FR"/>
        </w:rPr>
        <w:t>achat et la vente de farine de soja (pour les produits des États-Unis d</w:t>
      </w:r>
      <w:r>
        <w:rPr>
          <w:lang w:val="fr-FR"/>
        </w:rPr>
        <w:t>’</w:t>
      </w:r>
      <w:r w:rsidRPr="0085429A">
        <w:rPr>
          <w:lang w:val="fr-FR"/>
        </w:rPr>
        <w:t>Amérique)</w:t>
      </w:r>
      <w:r w:rsidRPr="00BA6852">
        <w:rPr>
          <w:lang w:val="fr-FR"/>
        </w:rPr>
        <w:t>,</w:t>
      </w:r>
      <w:r>
        <w:rPr>
          <w:lang w:val="fr-FR"/>
        </w:rPr>
        <w:t xml:space="preserve"> le taux d’humidité maximal fixé se situe entre 12 et 13</w:t>
      </w:r>
      <w:r w:rsidR="00DB630B">
        <w:rPr>
          <w:lang w:val="fr-FR"/>
        </w:rPr>
        <w:t> </w:t>
      </w:r>
      <w:r>
        <w:rPr>
          <w:lang w:val="fr-FR"/>
        </w:rPr>
        <w:t>%. Pour les partenaires qui utilisent ces contrats, les produits qui ne satisfont pas à ces dispositions peuvent faire l’objet d’un prix de vente réduit.</w:t>
      </w:r>
    </w:p>
    <w:p w14:paraId="0100AD56" w14:textId="77777777" w:rsidR="00266833" w:rsidRPr="00244BC5" w:rsidRDefault="00266833" w:rsidP="00266833">
      <w:pPr>
        <w:pStyle w:val="SingleTxtG"/>
      </w:pPr>
      <w:r>
        <w:rPr>
          <w:lang w:val="fr-FR"/>
        </w:rPr>
        <w:t>11.</w:t>
      </w:r>
      <w:r>
        <w:rPr>
          <w:lang w:val="fr-FR"/>
        </w:rPr>
        <w:tab/>
        <w:t>Il résulte de ce qui précède que les producteurs et les chargeurs s’efforcent de limiter la teneur en huile et le taux d’humidité des tourteaux pour réduire les coûts au minimum et maximiser la valeur de leurs produits. Les acheteurs veulent des produits uniformes aux spécifications homogènes, et les producteurs tentent de répondre à ces exigences pour augmenter autant que possible la valeur qu’ils tirent de la transformation des graines oléagineuses.</w:t>
      </w:r>
    </w:p>
    <w:p w14:paraId="120662E9" w14:textId="77777777" w:rsidR="00266833" w:rsidRPr="00244BC5" w:rsidRDefault="00266833" w:rsidP="00266833">
      <w:pPr>
        <w:pStyle w:val="SingleTxtG"/>
      </w:pPr>
      <w:r>
        <w:rPr>
          <w:lang w:val="fr-FR"/>
        </w:rPr>
        <w:t>12.</w:t>
      </w:r>
      <w:r>
        <w:rPr>
          <w:lang w:val="fr-FR"/>
        </w:rPr>
        <w:tab/>
        <w:t>Des éléments solides montrent que tous les produits concernés ne correspondent pas à la définition d’une matière dangereuse auto-échauffante de la division 4.2. Par exemple, les producteurs de tourteaux, notamment ceux qui fabriquent de la farine de soja, utilisent un procédé d’extraction par solvant. Le Conseil des États-Unis d’Amérique pour l’exportation du soja (USSEC) a réalisé des épreuves sur 40 échantillons représentatifs issus de sites de production dans tout le pays. La méthode d’épreuve pour les matières auto-échauffantes N.4 a donné un résultat négatif pour tous les échantillons. Les résultats des épreuves figurent en annexe au présent document.</w:t>
      </w:r>
    </w:p>
    <w:p w14:paraId="1A0D2DA2" w14:textId="2ABDF01A" w:rsidR="00266833" w:rsidRPr="00244BC5" w:rsidRDefault="00266833" w:rsidP="00266833">
      <w:pPr>
        <w:pStyle w:val="SingleTxtG"/>
      </w:pPr>
      <w:r>
        <w:rPr>
          <w:lang w:val="fr-FR"/>
        </w:rPr>
        <w:t>13.</w:t>
      </w:r>
      <w:r>
        <w:rPr>
          <w:lang w:val="fr-FR"/>
        </w:rPr>
        <w:tab/>
        <w:t>Le</w:t>
      </w:r>
      <w:r>
        <w:rPr>
          <w:i/>
          <w:iCs/>
          <w:lang w:val="fr-FR"/>
        </w:rPr>
        <w:t xml:space="preserve"> </w:t>
      </w:r>
      <w:r w:rsidRPr="0085429A">
        <w:rPr>
          <w:lang w:val="fr-FR"/>
        </w:rPr>
        <w:t>Règlement type</w:t>
      </w:r>
      <w:r>
        <w:rPr>
          <w:lang w:val="fr-FR"/>
        </w:rPr>
        <w:t xml:space="preserve"> et le Code IMDG contiennent tous deux la disposition spéciale 142 (ci-après) qui concerne directement les farines de soja. Par ailleurs, la GAFTA estime que les limites ne devraient pas uniquement s’appliquer à ces farines. Si la Chine a proposé différentes limites en fonction de l’origine de la graine, la GAFTA est favorable à une approche plus simple et plus prudente pour tous les tourteaux. Les limites fixées pour l’huile et l’humidité diffèrent grandement entre le </w:t>
      </w:r>
      <w:r w:rsidRPr="0085429A">
        <w:rPr>
          <w:lang w:val="fr-FR"/>
        </w:rPr>
        <w:t>Règlement type</w:t>
      </w:r>
      <w:r w:rsidRPr="007F62A1">
        <w:rPr>
          <w:lang w:val="fr-FR"/>
        </w:rPr>
        <w:t xml:space="preserve"> </w:t>
      </w:r>
      <w:r>
        <w:rPr>
          <w:lang w:val="fr-FR"/>
        </w:rPr>
        <w:t xml:space="preserve">et le Code IMDG. Compte tenu de ce qui a été observé en matière de transport et des données tirées des épreuves N.4 menées sur différents tourteaux, la GAFTA est d’avis que les limites fixées pour la teneur en huile et le taux d’humidité devraient être identiques, que le tourteau soit issu d’une extraction par solvant ou par voie mécanique. Le potentiel d’auto-échauffement ne concerne que les tourteaux extraits de graines oléagineuses. La GAFTA propose donc de définir le terme </w:t>
      </w:r>
      <w:r w:rsidR="00DB630B">
        <w:rPr>
          <w:lang w:val="fr-FR"/>
        </w:rPr>
        <w:t>« </w:t>
      </w:r>
      <w:r>
        <w:rPr>
          <w:lang w:val="fr-FR"/>
        </w:rPr>
        <w:t>tourteau</w:t>
      </w:r>
      <w:r w:rsidR="00DB630B">
        <w:rPr>
          <w:lang w:val="fr-FR"/>
        </w:rPr>
        <w:t> »</w:t>
      </w:r>
      <w:r>
        <w:rPr>
          <w:lang w:val="fr-FR"/>
        </w:rPr>
        <w:t xml:space="preserve"> au 1.2.1 et de fixer des limites maximales de 4</w:t>
      </w:r>
      <w:r w:rsidR="00DB630B">
        <w:rPr>
          <w:lang w:val="fr-FR"/>
        </w:rPr>
        <w:t> </w:t>
      </w:r>
      <w:r>
        <w:rPr>
          <w:lang w:val="fr-FR"/>
        </w:rPr>
        <w:t>% pour la teneur en huile et de 15</w:t>
      </w:r>
      <w:r w:rsidR="00DB630B">
        <w:rPr>
          <w:lang w:val="fr-FR"/>
        </w:rPr>
        <w:t> </w:t>
      </w:r>
      <w:r>
        <w:rPr>
          <w:lang w:val="fr-FR"/>
        </w:rPr>
        <w:t>% pour l’huile et l’humidité combinées en ce qui concerne les farines de graines de colza, de soja, de coton et de tournesol.</w:t>
      </w:r>
    </w:p>
    <w:p w14:paraId="069C6C8B" w14:textId="77777777" w:rsidR="00266833" w:rsidRPr="00244BC5" w:rsidRDefault="00266833" w:rsidP="00266833">
      <w:pPr>
        <w:pStyle w:val="SingleTxtG"/>
      </w:pPr>
      <w:r>
        <w:rPr>
          <w:lang w:val="fr-FR"/>
        </w:rPr>
        <w:t>14.</w:t>
      </w:r>
      <w:r>
        <w:rPr>
          <w:lang w:val="fr-FR"/>
        </w:rPr>
        <w:tab/>
        <w:t xml:space="preserve">Enfin, la GAFTA considère qu’il n’est pas nécessaire que le </w:t>
      </w:r>
      <w:r w:rsidRPr="0085429A">
        <w:rPr>
          <w:lang w:val="fr-FR"/>
        </w:rPr>
        <w:t>Règlement type</w:t>
      </w:r>
      <w:r>
        <w:rPr>
          <w:lang w:val="fr-FR"/>
        </w:rPr>
        <w:t xml:space="preserve"> contienne deux rubriques distinctes pour les tourteaux.</w:t>
      </w:r>
    </w:p>
    <w:p w14:paraId="39FCD3AC" w14:textId="4606931F" w:rsidR="00266833" w:rsidRPr="00244BC5" w:rsidRDefault="00DB630B" w:rsidP="00266833">
      <w:pPr>
        <w:pStyle w:val="HChG"/>
      </w:pPr>
      <w:r>
        <w:rPr>
          <w:bCs/>
          <w:lang w:val="fr-FR"/>
        </w:rPr>
        <w:tab/>
      </w:r>
      <w:r w:rsidR="00266833">
        <w:rPr>
          <w:bCs/>
          <w:lang w:val="fr-FR"/>
        </w:rPr>
        <w:t>II.</w:t>
      </w:r>
      <w:r w:rsidR="00266833">
        <w:rPr>
          <w:lang w:val="fr-FR"/>
        </w:rPr>
        <w:tab/>
      </w:r>
      <w:r w:rsidR="00266833">
        <w:rPr>
          <w:bCs/>
          <w:lang w:val="fr-FR"/>
        </w:rPr>
        <w:t>Proposition</w:t>
      </w:r>
    </w:p>
    <w:p w14:paraId="33512E09" w14:textId="77777777" w:rsidR="00266833" w:rsidRPr="00244BC5" w:rsidRDefault="00266833" w:rsidP="00266833">
      <w:pPr>
        <w:pStyle w:val="SingleTxtG"/>
      </w:pPr>
      <w:r>
        <w:rPr>
          <w:lang w:val="fr-FR"/>
        </w:rPr>
        <w:t>15.</w:t>
      </w:r>
      <w:r>
        <w:rPr>
          <w:lang w:val="fr-FR"/>
        </w:rPr>
        <w:tab/>
        <w:t>Le présent document a pour objet de proposer ce qui suit :</w:t>
      </w:r>
    </w:p>
    <w:p w14:paraId="4C5FE86F" w14:textId="3177D3DE" w:rsidR="00266833" w:rsidRPr="00244BC5" w:rsidRDefault="00266833" w:rsidP="00DB630B">
      <w:pPr>
        <w:pStyle w:val="SingleTxtG"/>
        <w:ind w:firstLine="567"/>
      </w:pPr>
      <w:r>
        <w:rPr>
          <w:lang w:val="fr-FR"/>
        </w:rPr>
        <w:t>a)</w:t>
      </w:r>
      <w:r>
        <w:rPr>
          <w:lang w:val="fr-FR"/>
        </w:rPr>
        <w:tab/>
        <w:t xml:space="preserve">Ajouter une définition de </w:t>
      </w:r>
      <w:r w:rsidR="00BF0C9E">
        <w:rPr>
          <w:lang w:val="fr-FR"/>
        </w:rPr>
        <w:t>« </w:t>
      </w:r>
      <w:r>
        <w:rPr>
          <w:lang w:val="fr-FR"/>
        </w:rPr>
        <w:t>tourteau</w:t>
      </w:r>
      <w:r w:rsidR="00BF0C9E">
        <w:rPr>
          <w:lang w:val="fr-FR"/>
        </w:rPr>
        <w:t> »</w:t>
      </w:r>
      <w:r>
        <w:rPr>
          <w:lang w:val="fr-FR"/>
        </w:rPr>
        <w:t xml:space="preserve"> au 1.2.1, libellée comme suit :</w:t>
      </w:r>
    </w:p>
    <w:p w14:paraId="1664CA03" w14:textId="4C753D86" w:rsidR="00266833" w:rsidRPr="00244BC5" w:rsidRDefault="00BF0C9E" w:rsidP="00BF0C9E">
      <w:pPr>
        <w:pStyle w:val="SingleTxtG"/>
        <w:ind w:left="2268"/>
      </w:pPr>
      <w:r>
        <w:rPr>
          <w:lang w:val="fr-FR"/>
        </w:rPr>
        <w:t>« </w:t>
      </w:r>
      <w:r w:rsidR="00266833" w:rsidRPr="0085429A">
        <w:rPr>
          <w:i/>
          <w:iCs/>
          <w:lang w:val="fr-FR"/>
        </w:rPr>
        <w:t>Tourteau</w:t>
      </w:r>
      <w:r w:rsidR="00266833">
        <w:rPr>
          <w:lang w:val="fr-FR"/>
        </w:rPr>
        <w:t>, le sous-produit de l’extraction par voie mécanique ou par solvant de l’huile et de l’humidité de graines oléagineuses telles que les graines de colza, les graines de soja, les graines de coton et les graines de tournesol</w:t>
      </w:r>
      <w:r>
        <w:rPr>
          <w:lang w:val="fr-FR"/>
        </w:rPr>
        <w:t>. »</w:t>
      </w:r>
      <w:r w:rsidR="00266833">
        <w:rPr>
          <w:lang w:val="fr-FR"/>
        </w:rPr>
        <w:t> ;</w:t>
      </w:r>
    </w:p>
    <w:p w14:paraId="33A686D8" w14:textId="77777777" w:rsidR="00266833" w:rsidRPr="00244BC5" w:rsidRDefault="00266833" w:rsidP="00DB630B">
      <w:pPr>
        <w:pStyle w:val="SingleTxtG"/>
        <w:ind w:firstLine="567"/>
      </w:pPr>
      <w:r>
        <w:rPr>
          <w:lang w:val="fr-FR"/>
        </w:rPr>
        <w:t>b)</w:t>
      </w:r>
      <w:r>
        <w:rPr>
          <w:lang w:val="fr-FR"/>
        </w:rPr>
        <w:tab/>
        <w:t>Dans la Liste des marchandises dangereuses et l’index, supprimer la rubrique consacrée au No ONU 2217 ;</w:t>
      </w:r>
    </w:p>
    <w:p w14:paraId="168FD753" w14:textId="182BB3B7" w:rsidR="00266833" w:rsidRPr="00244BC5" w:rsidRDefault="00266833" w:rsidP="00DB630B">
      <w:pPr>
        <w:pStyle w:val="SingleTxtG"/>
        <w:ind w:firstLine="567"/>
      </w:pPr>
      <w:r>
        <w:rPr>
          <w:lang w:val="fr-FR"/>
        </w:rPr>
        <w:lastRenderedPageBreak/>
        <w:t>c)</w:t>
      </w:r>
      <w:r>
        <w:rPr>
          <w:lang w:val="fr-FR"/>
        </w:rPr>
        <w:tab/>
        <w:t xml:space="preserve">Dans la Liste des marchandises dangereuses et l’index, supprimer la mention </w:t>
      </w:r>
      <w:r w:rsidR="00BF0C9E">
        <w:rPr>
          <w:lang w:val="fr-FR"/>
        </w:rPr>
        <w:t>« </w:t>
      </w:r>
      <w:r>
        <w:rPr>
          <w:lang w:val="fr-FR"/>
        </w:rPr>
        <w:t>contenant plus de 1,5</w:t>
      </w:r>
      <w:r w:rsidR="00BF0C9E">
        <w:rPr>
          <w:lang w:val="fr-FR"/>
        </w:rPr>
        <w:t> </w:t>
      </w:r>
      <w:r>
        <w:rPr>
          <w:lang w:val="fr-FR"/>
        </w:rPr>
        <w:t>% (masse) d’huile et ayant 11</w:t>
      </w:r>
      <w:r w:rsidR="00BF0C9E">
        <w:rPr>
          <w:lang w:val="fr-FR"/>
        </w:rPr>
        <w:t> </w:t>
      </w:r>
      <w:r>
        <w:rPr>
          <w:lang w:val="fr-FR"/>
        </w:rPr>
        <w:t>% (masse) d’humidité au maximum</w:t>
      </w:r>
      <w:r w:rsidR="00BF0C9E">
        <w:rPr>
          <w:lang w:val="fr-FR"/>
        </w:rPr>
        <w:t> »</w:t>
      </w:r>
      <w:r>
        <w:rPr>
          <w:lang w:val="fr-FR"/>
        </w:rPr>
        <w:t xml:space="preserve"> de la rubrique consacrée au No ONU 1386 ;</w:t>
      </w:r>
    </w:p>
    <w:p w14:paraId="2744503D" w14:textId="77777777" w:rsidR="00266833" w:rsidRPr="00244BC5" w:rsidRDefault="00266833" w:rsidP="00BF0C9E">
      <w:pPr>
        <w:pStyle w:val="SingleTxtG"/>
        <w:keepNext/>
        <w:ind w:firstLine="567"/>
      </w:pPr>
      <w:r>
        <w:rPr>
          <w:lang w:val="fr-FR"/>
        </w:rPr>
        <w:t>d)</w:t>
      </w:r>
      <w:r>
        <w:rPr>
          <w:lang w:val="fr-FR"/>
        </w:rPr>
        <w:tab/>
        <w:t>Réviser la disposition spéciale 142 de sorte qu’elle se lise comme suit et l’affecter au No ONU 1386 :</w:t>
      </w:r>
    </w:p>
    <w:p w14:paraId="02C6F9C6" w14:textId="68F34262" w:rsidR="00266833" w:rsidRPr="00244BC5" w:rsidRDefault="00BF0C9E" w:rsidP="00BF0C9E">
      <w:pPr>
        <w:pStyle w:val="SingleTxtG"/>
        <w:tabs>
          <w:tab w:val="clear" w:pos="2835"/>
          <w:tab w:val="left" w:pos="2977"/>
        </w:tabs>
        <w:ind w:left="2268"/>
      </w:pPr>
      <w:r>
        <w:rPr>
          <w:lang w:val="fr-FR"/>
        </w:rPr>
        <w:t>« </w:t>
      </w:r>
      <w:r w:rsidR="00266833">
        <w:rPr>
          <w:lang w:val="fr-FR"/>
        </w:rPr>
        <w:t>142</w:t>
      </w:r>
      <w:r>
        <w:rPr>
          <w:lang w:val="fr-FR"/>
        </w:rPr>
        <w:tab/>
      </w:r>
      <w:r w:rsidR="00266833" w:rsidRPr="00337612">
        <w:rPr>
          <w:lang w:val="fr-FR"/>
        </w:rPr>
        <w:t>L</w:t>
      </w:r>
      <w:r w:rsidR="00266833" w:rsidRPr="0085429A">
        <w:rPr>
          <w:lang w:val="fr-FR"/>
        </w:rPr>
        <w:t xml:space="preserve">es tourteaux </w:t>
      </w:r>
      <w:r w:rsidR="00266833" w:rsidRPr="00337612">
        <w:rPr>
          <w:lang w:val="fr-FR"/>
        </w:rPr>
        <w:t xml:space="preserve">contenant au plus </w:t>
      </w:r>
      <w:r w:rsidR="00266833" w:rsidRPr="0085429A">
        <w:rPr>
          <w:lang w:val="fr-FR"/>
        </w:rPr>
        <w:t>4</w:t>
      </w:r>
      <w:r>
        <w:rPr>
          <w:lang w:val="fr-FR"/>
        </w:rPr>
        <w:t> </w:t>
      </w:r>
      <w:r w:rsidR="00266833" w:rsidRPr="00337612">
        <w:rPr>
          <w:lang w:val="fr-FR"/>
        </w:rPr>
        <w:t>% d</w:t>
      </w:r>
      <w:r w:rsidR="00266833">
        <w:rPr>
          <w:lang w:val="fr-FR"/>
        </w:rPr>
        <w:t>’</w:t>
      </w:r>
      <w:r w:rsidR="00266833" w:rsidRPr="00337612">
        <w:rPr>
          <w:lang w:val="fr-FR"/>
        </w:rPr>
        <w:t>huile et ayant au plus 1</w:t>
      </w:r>
      <w:r w:rsidR="00266833" w:rsidRPr="0085429A">
        <w:rPr>
          <w:lang w:val="fr-FR"/>
        </w:rPr>
        <w:t>5</w:t>
      </w:r>
      <w:r>
        <w:rPr>
          <w:lang w:val="fr-FR"/>
        </w:rPr>
        <w:t> </w:t>
      </w:r>
      <w:r w:rsidR="00266833" w:rsidRPr="00337612">
        <w:rPr>
          <w:lang w:val="fr-FR"/>
        </w:rPr>
        <w:t xml:space="preserve">% </w:t>
      </w:r>
      <w:r w:rsidR="00266833" w:rsidRPr="0085429A">
        <w:rPr>
          <w:lang w:val="fr-FR"/>
        </w:rPr>
        <w:t>d</w:t>
      </w:r>
      <w:r w:rsidR="00266833">
        <w:rPr>
          <w:lang w:val="fr-FR"/>
        </w:rPr>
        <w:t>’</w:t>
      </w:r>
      <w:r w:rsidR="00266833" w:rsidRPr="0085429A">
        <w:rPr>
          <w:lang w:val="fr-FR"/>
        </w:rPr>
        <w:t xml:space="preserve">huile et </w:t>
      </w:r>
      <w:r w:rsidR="00266833" w:rsidRPr="00337612">
        <w:rPr>
          <w:lang w:val="fr-FR"/>
        </w:rPr>
        <w:t>d</w:t>
      </w:r>
      <w:r w:rsidR="00266833">
        <w:rPr>
          <w:lang w:val="fr-FR"/>
        </w:rPr>
        <w:t>’</w:t>
      </w:r>
      <w:r w:rsidR="00266833" w:rsidRPr="00337612">
        <w:rPr>
          <w:lang w:val="fr-FR"/>
        </w:rPr>
        <w:t>humidité</w:t>
      </w:r>
      <w:r w:rsidR="00266833" w:rsidRPr="0085429A">
        <w:rPr>
          <w:lang w:val="fr-FR"/>
        </w:rPr>
        <w:t xml:space="preserve"> combinées</w:t>
      </w:r>
      <w:r w:rsidR="00266833" w:rsidRPr="00337612">
        <w:rPr>
          <w:lang w:val="fr-FR"/>
        </w:rPr>
        <w:t xml:space="preserve">, et ne contenant pratiquement pas de solvant inflammable, ne </w:t>
      </w:r>
      <w:r w:rsidR="00266833" w:rsidRPr="0085429A">
        <w:rPr>
          <w:lang w:val="fr-FR"/>
        </w:rPr>
        <w:t>sont</w:t>
      </w:r>
      <w:r w:rsidR="00266833">
        <w:rPr>
          <w:lang w:val="fr-FR"/>
        </w:rPr>
        <w:t xml:space="preserve"> pas soumis au présent Règlement.</w:t>
      </w:r>
      <w:r>
        <w:rPr>
          <w:lang w:val="fr-FR"/>
        </w:rPr>
        <w:t> »</w:t>
      </w:r>
      <w:r w:rsidR="00266833">
        <w:rPr>
          <w:lang w:val="fr-FR"/>
        </w:rPr>
        <w:t>.</w:t>
      </w:r>
    </w:p>
    <w:p w14:paraId="2668CA97" w14:textId="57505D27" w:rsidR="00266833" w:rsidRPr="00244BC5" w:rsidRDefault="00266833" w:rsidP="00266833">
      <w:pPr>
        <w:pStyle w:val="SingleTxtG"/>
        <w:rPr>
          <w:i/>
          <w:iCs/>
        </w:rPr>
      </w:pPr>
      <w:r>
        <w:rPr>
          <w:i/>
          <w:iCs/>
          <w:lang w:val="fr-FR"/>
        </w:rPr>
        <w:t>Note : Ces limites concordent avec celles du Code ISMBC</w:t>
      </w:r>
      <w:r w:rsidR="00D84555">
        <w:rPr>
          <w:i/>
          <w:iCs/>
          <w:lang w:val="fr-FR"/>
        </w:rPr>
        <w:t> </w:t>
      </w:r>
      <w:r w:rsidR="00D84555">
        <w:rPr>
          <w:lang w:val="fr-FR"/>
        </w:rPr>
        <w:t>;</w:t>
      </w:r>
    </w:p>
    <w:p w14:paraId="1D30DC66" w14:textId="77777777" w:rsidR="00266833" w:rsidRPr="00244BC5" w:rsidRDefault="00266833" w:rsidP="00DB630B">
      <w:pPr>
        <w:pStyle w:val="SingleTxtG"/>
        <w:ind w:firstLine="567"/>
      </w:pPr>
      <w:r>
        <w:rPr>
          <w:lang w:val="fr-FR"/>
        </w:rPr>
        <w:t>e)</w:t>
      </w:r>
      <w:r>
        <w:rPr>
          <w:lang w:val="fr-FR"/>
        </w:rPr>
        <w:tab/>
        <w:t>Dans l’instruction d’emballage P002, supprimer la mention PP20.</w:t>
      </w:r>
    </w:p>
    <w:p w14:paraId="768401DA" w14:textId="77777777" w:rsidR="00266833" w:rsidRPr="0085429A" w:rsidRDefault="00266833" w:rsidP="00266833">
      <w:r w:rsidRPr="0085429A">
        <w:br w:type="page"/>
      </w:r>
    </w:p>
    <w:p w14:paraId="41480F5E" w14:textId="77777777" w:rsidR="00266833" w:rsidRPr="00244BC5" w:rsidRDefault="00266833" w:rsidP="00266833">
      <w:pPr>
        <w:pStyle w:val="HChG"/>
      </w:pPr>
      <w:r>
        <w:rPr>
          <w:bCs/>
          <w:lang w:val="fr-FR"/>
        </w:rPr>
        <w:lastRenderedPageBreak/>
        <w:t>Annexe</w:t>
      </w:r>
    </w:p>
    <w:p w14:paraId="5A116257" w14:textId="048256B4" w:rsidR="00446FE5" w:rsidRDefault="00266833" w:rsidP="00266833">
      <w:pPr>
        <w:pStyle w:val="SingleTxtG"/>
        <w:jc w:val="right"/>
        <w:rPr>
          <w:lang w:val="fr-FR"/>
        </w:rPr>
      </w:pPr>
      <w:r>
        <w:rPr>
          <w:lang w:val="fr-FR"/>
        </w:rPr>
        <w:t>[</w:t>
      </w:r>
      <w:r w:rsidRPr="00266833">
        <w:rPr>
          <w:i/>
          <w:iCs/>
          <w:lang w:val="fr-FR"/>
        </w:rPr>
        <w:t>Anglais seulement</w:t>
      </w:r>
      <w:r>
        <w:rPr>
          <w:lang w:val="fr-FR"/>
        </w:rPr>
        <w:t>]</w:t>
      </w:r>
    </w:p>
    <w:p w14:paraId="4DE5F504" w14:textId="77777777" w:rsidR="00246FB0" w:rsidRPr="00974627" w:rsidRDefault="00246FB0" w:rsidP="00246FB0">
      <w:pPr>
        <w:pStyle w:val="HChG"/>
        <w:rPr>
          <w:lang w:val="en-US"/>
        </w:rPr>
      </w:pPr>
      <w:r>
        <w:tab/>
      </w:r>
      <w:r>
        <w:tab/>
      </w:r>
      <w:proofErr w:type="spellStart"/>
      <w:r w:rsidRPr="00974627">
        <w:t>Soybean</w:t>
      </w:r>
      <w:proofErr w:type="spellEnd"/>
      <w:r w:rsidRPr="00974627">
        <w:t xml:space="preserve"> </w:t>
      </w:r>
      <w:proofErr w:type="spellStart"/>
      <w:r w:rsidRPr="00974627">
        <w:t>Meal</w:t>
      </w:r>
      <w:proofErr w:type="spellEnd"/>
      <w:r w:rsidRPr="00974627">
        <w:t xml:space="preserve"> Test </w:t>
      </w:r>
      <w:proofErr w:type="spellStart"/>
      <w:r w:rsidRPr="00974627">
        <w:t>Results</w:t>
      </w:r>
      <w:proofErr w:type="spellEnd"/>
    </w:p>
    <w:p w14:paraId="09F57652" w14:textId="77777777" w:rsidR="00246FB0" w:rsidRDefault="00246FB0" w:rsidP="00246FB0">
      <w:pPr>
        <w:pStyle w:val="SingleTxtG"/>
        <w:ind w:left="567"/>
        <w:rPr>
          <w:lang w:val="en-US"/>
        </w:rPr>
      </w:pPr>
      <w:r w:rsidRPr="009C4FF1">
        <w:rPr>
          <w:noProof/>
        </w:rPr>
        <w:drawing>
          <wp:inline distT="0" distB="0" distL="0" distR="0" wp14:anchorId="3ACA65CF" wp14:editId="01B08E8B">
            <wp:extent cx="5701798" cy="7277100"/>
            <wp:effectExtent l="0" t="0" r="0" b="0"/>
            <wp:docPr id="796113462" name="Picture 1" descr="A document with a number of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113462" name="Picture 1" descr="A document with a number of text&#10;&#10;Description automatically generated with medium confidence"/>
                    <pic:cNvPicPr/>
                  </pic:nvPicPr>
                  <pic:blipFill>
                    <a:blip r:embed="rId8"/>
                    <a:stretch>
                      <a:fillRect/>
                    </a:stretch>
                  </pic:blipFill>
                  <pic:spPr>
                    <a:xfrm>
                      <a:off x="0" y="0"/>
                      <a:ext cx="5721675" cy="7302469"/>
                    </a:xfrm>
                    <a:prstGeom prst="rect">
                      <a:avLst/>
                    </a:prstGeom>
                  </pic:spPr>
                </pic:pic>
              </a:graphicData>
            </a:graphic>
          </wp:inline>
        </w:drawing>
      </w:r>
    </w:p>
    <w:p w14:paraId="28C8CF6E" w14:textId="77777777" w:rsidR="00246FB0" w:rsidRDefault="00246FB0" w:rsidP="00246FB0">
      <w:pPr>
        <w:pStyle w:val="SingleTxtG"/>
        <w:ind w:left="567"/>
        <w:rPr>
          <w:lang w:val="en-US"/>
        </w:rPr>
      </w:pPr>
      <w:r w:rsidRPr="009C4FF1">
        <w:rPr>
          <w:noProof/>
        </w:rPr>
        <w:lastRenderedPageBreak/>
        <w:drawing>
          <wp:inline distT="0" distB="0" distL="0" distR="0" wp14:anchorId="6D5923E4" wp14:editId="0FC2C0EB">
            <wp:extent cx="5943600" cy="3625555"/>
            <wp:effectExtent l="0" t="0" r="0" b="0"/>
            <wp:docPr id="376151859" name="Picture 1" descr="A certificate of quality testing resul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151859" name="Picture 1" descr="A certificate of quality testing results&#10;&#10;Description automatically generated"/>
                    <pic:cNvPicPr/>
                  </pic:nvPicPr>
                  <pic:blipFill rotWithShape="1">
                    <a:blip r:embed="rId9"/>
                    <a:srcRect t="1730"/>
                    <a:stretch/>
                  </pic:blipFill>
                  <pic:spPr bwMode="auto">
                    <a:xfrm>
                      <a:off x="0" y="0"/>
                      <a:ext cx="5943600" cy="3625555"/>
                    </a:xfrm>
                    <a:prstGeom prst="rect">
                      <a:avLst/>
                    </a:prstGeom>
                    <a:ln>
                      <a:noFill/>
                    </a:ln>
                    <a:extLst>
                      <a:ext uri="{53640926-AAD7-44D8-BBD7-CCE9431645EC}">
                        <a14:shadowObscured xmlns:a14="http://schemas.microsoft.com/office/drawing/2010/main"/>
                      </a:ext>
                    </a:extLst>
                  </pic:spPr>
                </pic:pic>
              </a:graphicData>
            </a:graphic>
          </wp:inline>
        </w:drawing>
      </w:r>
    </w:p>
    <w:p w14:paraId="4C2AD85A" w14:textId="187B6A36" w:rsidR="00266833" w:rsidRPr="00246FB0" w:rsidRDefault="00246FB0" w:rsidP="00246FB0">
      <w:pPr>
        <w:pStyle w:val="SingleTxtG"/>
        <w:spacing w:before="240" w:after="0"/>
        <w:jc w:val="center"/>
        <w:rPr>
          <w:u w:val="single"/>
        </w:rPr>
      </w:pPr>
      <w:r>
        <w:rPr>
          <w:u w:val="single"/>
        </w:rPr>
        <w:tab/>
      </w:r>
      <w:r>
        <w:rPr>
          <w:u w:val="single"/>
        </w:rPr>
        <w:tab/>
      </w:r>
      <w:r>
        <w:rPr>
          <w:u w:val="single"/>
        </w:rPr>
        <w:tab/>
      </w:r>
    </w:p>
    <w:sectPr w:rsidR="00266833" w:rsidRPr="00246FB0" w:rsidSect="003B0E58">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EF29DA" w14:textId="77777777" w:rsidR="00657BA6" w:rsidRDefault="00657BA6" w:rsidP="00F95C08">
      <w:pPr>
        <w:spacing w:line="240" w:lineRule="auto"/>
      </w:pPr>
    </w:p>
  </w:endnote>
  <w:endnote w:type="continuationSeparator" w:id="0">
    <w:p w14:paraId="60848268" w14:textId="77777777" w:rsidR="00657BA6" w:rsidRPr="00AC3823" w:rsidRDefault="00657BA6" w:rsidP="00AC3823">
      <w:pPr>
        <w:pStyle w:val="Pieddepage"/>
      </w:pPr>
    </w:p>
  </w:endnote>
  <w:endnote w:type="continuationNotice" w:id="1">
    <w:p w14:paraId="4BAE541E" w14:textId="77777777" w:rsidR="00657BA6" w:rsidRDefault="00657B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07C6F" w14:textId="5291B851" w:rsidR="003B0E58" w:rsidRPr="003B0E58" w:rsidRDefault="003B0E58" w:rsidP="003B0E58">
    <w:pPr>
      <w:pStyle w:val="Pieddepage"/>
      <w:tabs>
        <w:tab w:val="right" w:pos="9638"/>
      </w:tabs>
    </w:pPr>
    <w:r w:rsidRPr="003B0E58">
      <w:rPr>
        <w:b/>
        <w:sz w:val="18"/>
      </w:rPr>
      <w:fldChar w:fldCharType="begin"/>
    </w:r>
    <w:r w:rsidRPr="003B0E58">
      <w:rPr>
        <w:b/>
        <w:sz w:val="18"/>
      </w:rPr>
      <w:instrText xml:space="preserve"> PAGE  \* MERGEFORMAT </w:instrText>
    </w:r>
    <w:r w:rsidRPr="003B0E58">
      <w:rPr>
        <w:b/>
        <w:sz w:val="18"/>
      </w:rPr>
      <w:fldChar w:fldCharType="separate"/>
    </w:r>
    <w:r w:rsidRPr="003B0E58">
      <w:rPr>
        <w:b/>
        <w:noProof/>
        <w:sz w:val="18"/>
      </w:rPr>
      <w:t>2</w:t>
    </w:r>
    <w:r w:rsidRPr="003B0E58">
      <w:rPr>
        <w:b/>
        <w:sz w:val="18"/>
      </w:rPr>
      <w:fldChar w:fldCharType="end"/>
    </w:r>
    <w:r>
      <w:rPr>
        <w:b/>
        <w:sz w:val="18"/>
      </w:rPr>
      <w:tab/>
    </w:r>
    <w:r>
      <w:t>GE.24-06097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D5787" w14:textId="53BD130A" w:rsidR="003B0E58" w:rsidRPr="003B0E58" w:rsidRDefault="003B0E58" w:rsidP="003B0E58">
    <w:pPr>
      <w:pStyle w:val="Pieddepage"/>
      <w:tabs>
        <w:tab w:val="right" w:pos="9638"/>
      </w:tabs>
      <w:rPr>
        <w:b/>
        <w:sz w:val="18"/>
      </w:rPr>
    </w:pPr>
    <w:r>
      <w:t>GE.24-06097</w:t>
    </w:r>
    <w:r>
      <w:tab/>
    </w:r>
    <w:r w:rsidRPr="003B0E58">
      <w:rPr>
        <w:b/>
        <w:sz w:val="18"/>
      </w:rPr>
      <w:fldChar w:fldCharType="begin"/>
    </w:r>
    <w:r w:rsidRPr="003B0E58">
      <w:rPr>
        <w:b/>
        <w:sz w:val="18"/>
      </w:rPr>
      <w:instrText xml:space="preserve"> PAGE  \* MERGEFORMAT </w:instrText>
    </w:r>
    <w:r w:rsidRPr="003B0E58">
      <w:rPr>
        <w:b/>
        <w:sz w:val="18"/>
      </w:rPr>
      <w:fldChar w:fldCharType="separate"/>
    </w:r>
    <w:r w:rsidRPr="003B0E58">
      <w:rPr>
        <w:b/>
        <w:noProof/>
        <w:sz w:val="18"/>
      </w:rPr>
      <w:t>3</w:t>
    </w:r>
    <w:r w:rsidRPr="003B0E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C58DE" w14:textId="5CE7DDFA" w:rsidR="0068456F" w:rsidRPr="003B0E58" w:rsidRDefault="003B0E58" w:rsidP="003B0E58">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5AEE09A5" wp14:editId="716B701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24-06097  (F)</w:t>
    </w:r>
    <w:r>
      <w:rPr>
        <w:noProof/>
        <w:sz w:val="20"/>
      </w:rPr>
      <w:drawing>
        <wp:anchor distT="0" distB="0" distL="114300" distR="114300" simplePos="0" relativeHeight="251660288" behindDoc="0" locked="0" layoutInCell="1" allowOverlap="1" wp14:anchorId="05503FB9" wp14:editId="353EE0A9">
          <wp:simplePos x="0" y="0"/>
          <wp:positionH relativeFrom="margin">
            <wp:posOffset>5489575</wp:posOffset>
          </wp:positionH>
          <wp:positionV relativeFrom="margin">
            <wp:posOffset>8891905</wp:posOffset>
          </wp:positionV>
          <wp:extent cx="628650" cy="628650"/>
          <wp:effectExtent l="0" t="0" r="0" b="0"/>
          <wp:wrapNone/>
          <wp:docPr id="64749419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300424    300424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FA7C29" w14:textId="77777777" w:rsidR="00657BA6" w:rsidRPr="00AC3823" w:rsidRDefault="00657BA6" w:rsidP="00AC3823">
      <w:pPr>
        <w:pStyle w:val="Pieddepage"/>
        <w:tabs>
          <w:tab w:val="right" w:pos="2155"/>
        </w:tabs>
        <w:spacing w:after="80" w:line="240" w:lineRule="atLeast"/>
        <w:ind w:left="680"/>
        <w:rPr>
          <w:u w:val="single"/>
        </w:rPr>
      </w:pPr>
      <w:r>
        <w:rPr>
          <w:u w:val="single"/>
        </w:rPr>
        <w:tab/>
      </w:r>
    </w:p>
  </w:footnote>
  <w:footnote w:type="continuationSeparator" w:id="0">
    <w:p w14:paraId="3C965B84" w14:textId="77777777" w:rsidR="00657BA6" w:rsidRPr="00AC3823" w:rsidRDefault="00657BA6" w:rsidP="00AC3823">
      <w:pPr>
        <w:pStyle w:val="Pieddepage"/>
        <w:tabs>
          <w:tab w:val="right" w:pos="2155"/>
        </w:tabs>
        <w:spacing w:after="80" w:line="240" w:lineRule="atLeast"/>
        <w:ind w:left="680"/>
        <w:rPr>
          <w:u w:val="single"/>
        </w:rPr>
      </w:pPr>
      <w:r>
        <w:rPr>
          <w:u w:val="single"/>
        </w:rPr>
        <w:tab/>
      </w:r>
    </w:p>
  </w:footnote>
  <w:footnote w:type="continuationNotice" w:id="1">
    <w:p w14:paraId="45679615" w14:textId="77777777" w:rsidR="00657BA6" w:rsidRPr="00AC3823" w:rsidRDefault="00657BA6">
      <w:pPr>
        <w:spacing w:line="240" w:lineRule="auto"/>
        <w:rPr>
          <w:sz w:val="2"/>
          <w:szCs w:val="2"/>
        </w:rPr>
      </w:pPr>
    </w:p>
  </w:footnote>
  <w:footnote w:id="2">
    <w:p w14:paraId="1744EACB" w14:textId="77777777" w:rsidR="00266833" w:rsidRPr="006F75C7" w:rsidRDefault="00266833" w:rsidP="00266833">
      <w:pPr>
        <w:pStyle w:val="Notedebasdepage"/>
      </w:pPr>
      <w:r>
        <w:rPr>
          <w:lang w:val="fr-FR"/>
        </w:rPr>
        <w:tab/>
        <w:t>*</w:t>
      </w:r>
      <w:r>
        <w:rPr>
          <w:lang w:val="fr-FR"/>
        </w:rPr>
        <w:tab/>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77D26" w14:textId="5680D2D5" w:rsidR="003B0E58" w:rsidRPr="003B0E58" w:rsidRDefault="003B0E58">
    <w:pPr>
      <w:pStyle w:val="En-tte"/>
    </w:pPr>
    <w:fldSimple w:instr=" TITLE  \* MERGEFORMAT ">
      <w:r>
        <w:t>ST/SG/AC.10/C.3/2024/10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5078C" w14:textId="1FCB329E" w:rsidR="003B0E58" w:rsidRPr="003B0E58" w:rsidRDefault="003B0E58" w:rsidP="003B0E58">
    <w:pPr>
      <w:pStyle w:val="En-tte"/>
      <w:jc w:val="right"/>
    </w:pPr>
    <w:fldSimple w:instr=" TITLE  \* MERGEFORMAT ">
      <w:r>
        <w:t>ST/SG/AC.10/C.3/2024/10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86812680">
    <w:abstractNumId w:val="12"/>
  </w:num>
  <w:num w:numId="2" w16cid:durableId="982268665">
    <w:abstractNumId w:val="11"/>
  </w:num>
  <w:num w:numId="3" w16cid:durableId="537359519">
    <w:abstractNumId w:val="10"/>
  </w:num>
  <w:num w:numId="4" w16cid:durableId="781614749">
    <w:abstractNumId w:val="8"/>
  </w:num>
  <w:num w:numId="5" w16cid:durableId="1957910676">
    <w:abstractNumId w:val="3"/>
  </w:num>
  <w:num w:numId="6" w16cid:durableId="1000504228">
    <w:abstractNumId w:val="2"/>
  </w:num>
  <w:num w:numId="7" w16cid:durableId="1030032778">
    <w:abstractNumId w:val="1"/>
  </w:num>
  <w:num w:numId="8" w16cid:durableId="583606907">
    <w:abstractNumId w:val="0"/>
  </w:num>
  <w:num w:numId="9" w16cid:durableId="1694531517">
    <w:abstractNumId w:val="9"/>
  </w:num>
  <w:num w:numId="10" w16cid:durableId="841286898">
    <w:abstractNumId w:val="7"/>
  </w:num>
  <w:num w:numId="11" w16cid:durableId="414474288">
    <w:abstractNumId w:val="6"/>
  </w:num>
  <w:num w:numId="12" w16cid:durableId="879125905">
    <w:abstractNumId w:val="5"/>
  </w:num>
  <w:num w:numId="13" w16cid:durableId="2058579918">
    <w:abstractNumId w:val="4"/>
  </w:num>
  <w:num w:numId="14" w16cid:durableId="482163576">
    <w:abstractNumId w:val="12"/>
  </w:num>
  <w:num w:numId="15" w16cid:durableId="1682009041">
    <w:abstractNumId w:val="11"/>
  </w:num>
  <w:num w:numId="16" w16cid:durableId="795216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A6"/>
    <w:rsid w:val="00017F94"/>
    <w:rsid w:val="00023842"/>
    <w:rsid w:val="000305D3"/>
    <w:rsid w:val="000334F9"/>
    <w:rsid w:val="0007796D"/>
    <w:rsid w:val="000B7790"/>
    <w:rsid w:val="00111F2F"/>
    <w:rsid w:val="00113798"/>
    <w:rsid w:val="00132EA9"/>
    <w:rsid w:val="0014365E"/>
    <w:rsid w:val="00172E49"/>
    <w:rsid w:val="00176178"/>
    <w:rsid w:val="001F525A"/>
    <w:rsid w:val="00223272"/>
    <w:rsid w:val="00246FB0"/>
    <w:rsid w:val="0024779E"/>
    <w:rsid w:val="00266833"/>
    <w:rsid w:val="00283190"/>
    <w:rsid w:val="002832AC"/>
    <w:rsid w:val="002D7C93"/>
    <w:rsid w:val="003136F3"/>
    <w:rsid w:val="003B0E58"/>
    <w:rsid w:val="003C764D"/>
    <w:rsid w:val="00441C3B"/>
    <w:rsid w:val="00446FE5"/>
    <w:rsid w:val="00452396"/>
    <w:rsid w:val="004E468C"/>
    <w:rsid w:val="005505B7"/>
    <w:rsid w:val="00573BE5"/>
    <w:rsid w:val="00584DC4"/>
    <w:rsid w:val="00586ED3"/>
    <w:rsid w:val="00596AA9"/>
    <w:rsid w:val="0065062C"/>
    <w:rsid w:val="00657BA6"/>
    <w:rsid w:val="0068456F"/>
    <w:rsid w:val="0071601D"/>
    <w:rsid w:val="007A62E6"/>
    <w:rsid w:val="0080684C"/>
    <w:rsid w:val="008123E0"/>
    <w:rsid w:val="00871C75"/>
    <w:rsid w:val="008776DC"/>
    <w:rsid w:val="008B40CD"/>
    <w:rsid w:val="009705C8"/>
    <w:rsid w:val="009C1CF4"/>
    <w:rsid w:val="00A30353"/>
    <w:rsid w:val="00A67D43"/>
    <w:rsid w:val="00A81281"/>
    <w:rsid w:val="00AC3823"/>
    <w:rsid w:val="00AE323C"/>
    <w:rsid w:val="00B00181"/>
    <w:rsid w:val="00B00B0D"/>
    <w:rsid w:val="00B25F16"/>
    <w:rsid w:val="00B765F7"/>
    <w:rsid w:val="00BA0CA9"/>
    <w:rsid w:val="00BF0C9E"/>
    <w:rsid w:val="00C02897"/>
    <w:rsid w:val="00CB40B4"/>
    <w:rsid w:val="00D3439C"/>
    <w:rsid w:val="00D84555"/>
    <w:rsid w:val="00DB1831"/>
    <w:rsid w:val="00DB630B"/>
    <w:rsid w:val="00DD3BFD"/>
    <w:rsid w:val="00DF6678"/>
    <w:rsid w:val="00EF2E22"/>
    <w:rsid w:val="00F01738"/>
    <w:rsid w:val="00F14DEC"/>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D70E1"/>
  <w15:docId w15:val="{BEDD97F4-F5F9-4F80-8DA0-9E77803D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qFormat/>
    <w:locked/>
    <w:rsid w:val="00266833"/>
    <w:rPr>
      <w:rFonts w:ascii="Times New Roman" w:eastAsiaTheme="minorHAnsi" w:hAnsi="Times New Roman" w:cs="Times New Roman"/>
      <w:b/>
      <w:sz w:val="28"/>
      <w:szCs w:val="20"/>
      <w:lang w:eastAsia="en-US"/>
    </w:rPr>
  </w:style>
  <w:style w:type="character" w:customStyle="1" w:styleId="H1GChar">
    <w:name w:val="_ H_1_G Char"/>
    <w:link w:val="H1G"/>
    <w:locked/>
    <w:rsid w:val="00266833"/>
    <w:rPr>
      <w:rFonts w:ascii="Times New Roman" w:eastAsiaTheme="minorHAnsi" w:hAnsi="Times New Roman" w:cs="Times New Roman"/>
      <w:b/>
      <w:sz w:val="24"/>
      <w:szCs w:val="20"/>
      <w:lang w:eastAsia="en-US"/>
    </w:rPr>
  </w:style>
  <w:style w:type="character" w:customStyle="1" w:styleId="SingleTxtGChar">
    <w:name w:val="_ Single Txt_G Char"/>
    <w:basedOn w:val="Policepardfaut"/>
    <w:link w:val="SingleTxtG"/>
    <w:rsid w:val="0026683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F2560F-7A2A-4ED2-9725-A1C8A79D838A}"/>
</file>

<file path=customXml/itemProps2.xml><?xml version="1.0" encoding="utf-8"?>
<ds:datastoreItem xmlns:ds="http://schemas.openxmlformats.org/officeDocument/2006/customXml" ds:itemID="{3031C686-3EDB-41CF-92C5-F518033F73D8}"/>
</file>

<file path=docProps/app.xml><?xml version="1.0" encoding="utf-8"?>
<Properties xmlns="http://schemas.openxmlformats.org/officeDocument/2006/extended-properties" xmlns:vt="http://schemas.openxmlformats.org/officeDocument/2006/docPropsVTypes">
  <Template>ST.dotm</Template>
  <TotalTime>0</TotalTime>
  <Pages>7</Pages>
  <Words>1696</Words>
  <Characters>12998</Characters>
  <Application>Microsoft Office Word</Application>
  <DocSecurity>0</DocSecurity>
  <Lines>4332</Lines>
  <Paragraphs>1224</Paragraphs>
  <ScaleCrop>false</ScaleCrop>
  <HeadingPairs>
    <vt:vector size="2" baseType="variant">
      <vt:variant>
        <vt:lpstr>Titre</vt:lpstr>
      </vt:variant>
      <vt:variant>
        <vt:i4>1</vt:i4>
      </vt:variant>
    </vt:vector>
  </HeadingPairs>
  <TitlesOfParts>
    <vt:vector size="1" baseType="lpstr">
      <vt:lpstr>ST/SG/AC.10/C.3/2024/10</vt:lpstr>
    </vt:vector>
  </TitlesOfParts>
  <Company>DCM</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ST/SG/AC.10/C.3/2024/10</dc:title>
  <dc:subject/>
  <dc:creator>Nathalie VITTOZ</dc:creator>
  <cp:keywords/>
  <cp:lastModifiedBy>Nathalie VITTOZ</cp:lastModifiedBy>
  <cp:revision>2</cp:revision>
  <cp:lastPrinted>2014-05-14T10:59:00Z</cp:lastPrinted>
  <dcterms:created xsi:type="dcterms:W3CDTF">2024-04-30T11:21:00Z</dcterms:created>
  <dcterms:modified xsi:type="dcterms:W3CDTF">2024-04-30T11:21:00Z</dcterms:modified>
</cp:coreProperties>
</file>