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2F4204" w14:paraId="6E90206E" w14:textId="77777777" w:rsidTr="00F01738">
        <w:trPr>
          <w:trHeight w:hRule="exact" w:val="851"/>
        </w:trPr>
        <w:tc>
          <w:tcPr>
            <w:tcW w:w="1276" w:type="dxa"/>
            <w:tcBorders>
              <w:bottom w:val="single" w:sz="4" w:space="0" w:color="auto"/>
            </w:tcBorders>
          </w:tcPr>
          <w:p w14:paraId="1106639B" w14:textId="77777777" w:rsidR="00132EA9" w:rsidRPr="002F4204" w:rsidRDefault="00132EA9" w:rsidP="002F4204">
            <w:pPr>
              <w:rPr>
                <w:rFonts w:asciiTheme="majorBidi" w:hAnsiTheme="majorBidi" w:cstheme="majorBidi"/>
              </w:rPr>
            </w:pPr>
          </w:p>
        </w:tc>
        <w:tc>
          <w:tcPr>
            <w:tcW w:w="2268" w:type="dxa"/>
            <w:tcBorders>
              <w:bottom w:val="single" w:sz="4" w:space="0" w:color="auto"/>
            </w:tcBorders>
            <w:vAlign w:val="bottom"/>
          </w:tcPr>
          <w:p w14:paraId="3D27F618" w14:textId="77777777" w:rsidR="00132EA9" w:rsidRPr="002F4204" w:rsidRDefault="00132EA9" w:rsidP="00F01738">
            <w:pPr>
              <w:spacing w:after="80" w:line="300" w:lineRule="exact"/>
              <w:rPr>
                <w:rFonts w:asciiTheme="majorBidi" w:hAnsiTheme="majorBidi" w:cstheme="majorBidi"/>
                <w:sz w:val="28"/>
              </w:rPr>
            </w:pPr>
            <w:r w:rsidRPr="002F4204">
              <w:rPr>
                <w:rFonts w:asciiTheme="majorBidi" w:hAnsiTheme="majorBidi" w:cstheme="majorBidi"/>
                <w:sz w:val="28"/>
              </w:rPr>
              <w:t>Nations Unies</w:t>
            </w:r>
          </w:p>
        </w:tc>
        <w:tc>
          <w:tcPr>
            <w:tcW w:w="6095" w:type="dxa"/>
            <w:gridSpan w:val="2"/>
            <w:tcBorders>
              <w:bottom w:val="single" w:sz="4" w:space="0" w:color="auto"/>
            </w:tcBorders>
            <w:vAlign w:val="bottom"/>
          </w:tcPr>
          <w:p w14:paraId="4118C6D1" w14:textId="4AD39408" w:rsidR="00132EA9" w:rsidRPr="002F4204" w:rsidRDefault="002F4204" w:rsidP="002F4204">
            <w:pPr>
              <w:jc w:val="right"/>
              <w:rPr>
                <w:rFonts w:asciiTheme="majorBidi" w:hAnsiTheme="majorBidi" w:cstheme="majorBidi"/>
              </w:rPr>
            </w:pPr>
            <w:r w:rsidRPr="002F4204">
              <w:rPr>
                <w:rFonts w:asciiTheme="majorBidi" w:hAnsiTheme="majorBidi" w:cstheme="majorBidi"/>
                <w:sz w:val="40"/>
              </w:rPr>
              <w:t>ST</w:t>
            </w:r>
            <w:r w:rsidRPr="002F4204">
              <w:rPr>
                <w:rFonts w:asciiTheme="majorBidi" w:hAnsiTheme="majorBidi" w:cstheme="majorBidi"/>
              </w:rPr>
              <w:t>/SG/AC.10/C.3/2024/34</w:t>
            </w:r>
          </w:p>
        </w:tc>
      </w:tr>
      <w:tr w:rsidR="00132EA9" w:rsidRPr="002F4204" w14:paraId="15087D99" w14:textId="77777777" w:rsidTr="00F01738">
        <w:trPr>
          <w:trHeight w:hRule="exact" w:val="2835"/>
        </w:trPr>
        <w:tc>
          <w:tcPr>
            <w:tcW w:w="1276" w:type="dxa"/>
            <w:tcBorders>
              <w:top w:val="single" w:sz="4" w:space="0" w:color="auto"/>
              <w:bottom w:val="single" w:sz="12" w:space="0" w:color="auto"/>
            </w:tcBorders>
          </w:tcPr>
          <w:p w14:paraId="2A391A5E" w14:textId="77777777" w:rsidR="00132EA9" w:rsidRPr="002F4204" w:rsidRDefault="00132EA9" w:rsidP="00F01738">
            <w:pPr>
              <w:spacing w:before="120"/>
              <w:jc w:val="center"/>
              <w:rPr>
                <w:rFonts w:asciiTheme="majorBidi" w:hAnsiTheme="majorBidi" w:cstheme="majorBidi"/>
              </w:rPr>
            </w:pPr>
            <w:r w:rsidRPr="002F4204">
              <w:rPr>
                <w:rFonts w:asciiTheme="majorBidi" w:hAnsiTheme="majorBidi" w:cstheme="majorBidi"/>
                <w:noProof/>
                <w:lang w:eastAsia="fr-CH"/>
              </w:rPr>
              <w:drawing>
                <wp:inline distT="0" distB="0" distL="0" distR="0" wp14:anchorId="4D0D4548" wp14:editId="1127C7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B54C1B" w14:textId="77777777" w:rsidR="00132EA9" w:rsidRPr="002F4204" w:rsidRDefault="00132EA9" w:rsidP="00F01738">
            <w:pPr>
              <w:spacing w:before="120" w:line="420" w:lineRule="exact"/>
              <w:rPr>
                <w:rFonts w:asciiTheme="majorBidi" w:hAnsiTheme="majorBidi" w:cstheme="majorBidi"/>
                <w:b/>
                <w:sz w:val="40"/>
                <w:szCs w:val="40"/>
              </w:rPr>
            </w:pPr>
            <w:r w:rsidRPr="002F4204">
              <w:rPr>
                <w:rFonts w:asciiTheme="majorBidi" w:hAnsiTheme="majorBidi" w:cstheme="majorBidi"/>
                <w:b/>
                <w:sz w:val="40"/>
                <w:szCs w:val="40"/>
              </w:rPr>
              <w:t>Secrétariat</w:t>
            </w:r>
          </w:p>
        </w:tc>
        <w:tc>
          <w:tcPr>
            <w:tcW w:w="2835" w:type="dxa"/>
            <w:tcBorders>
              <w:top w:val="single" w:sz="4" w:space="0" w:color="auto"/>
              <w:bottom w:val="single" w:sz="12" w:space="0" w:color="auto"/>
            </w:tcBorders>
          </w:tcPr>
          <w:p w14:paraId="0B565FA6" w14:textId="77777777" w:rsidR="00132EA9" w:rsidRPr="002F4204" w:rsidRDefault="002F4204" w:rsidP="00F01738">
            <w:pPr>
              <w:spacing w:before="240"/>
              <w:rPr>
                <w:rFonts w:asciiTheme="majorBidi" w:hAnsiTheme="majorBidi" w:cstheme="majorBidi"/>
              </w:rPr>
            </w:pPr>
            <w:r w:rsidRPr="002F4204">
              <w:rPr>
                <w:rFonts w:asciiTheme="majorBidi" w:hAnsiTheme="majorBidi" w:cstheme="majorBidi"/>
              </w:rPr>
              <w:t>Distr. générale</w:t>
            </w:r>
          </w:p>
          <w:p w14:paraId="3222613B" w14:textId="77777777" w:rsidR="002F4204" w:rsidRPr="002F4204" w:rsidRDefault="002F4204" w:rsidP="002F4204">
            <w:pPr>
              <w:spacing w:line="240" w:lineRule="exact"/>
              <w:rPr>
                <w:rFonts w:asciiTheme="majorBidi" w:hAnsiTheme="majorBidi" w:cstheme="majorBidi"/>
              </w:rPr>
            </w:pPr>
            <w:r w:rsidRPr="002F4204">
              <w:rPr>
                <w:rFonts w:asciiTheme="majorBidi" w:hAnsiTheme="majorBidi" w:cstheme="majorBidi"/>
              </w:rPr>
              <w:t>11 avril 2024</w:t>
            </w:r>
          </w:p>
          <w:p w14:paraId="0278696F" w14:textId="77777777" w:rsidR="002F4204" w:rsidRPr="002F4204" w:rsidRDefault="002F4204" w:rsidP="002F4204">
            <w:pPr>
              <w:spacing w:line="240" w:lineRule="exact"/>
              <w:rPr>
                <w:rFonts w:asciiTheme="majorBidi" w:hAnsiTheme="majorBidi" w:cstheme="majorBidi"/>
              </w:rPr>
            </w:pPr>
            <w:r w:rsidRPr="002F4204">
              <w:rPr>
                <w:rFonts w:asciiTheme="majorBidi" w:hAnsiTheme="majorBidi" w:cstheme="majorBidi"/>
              </w:rPr>
              <w:t>Français</w:t>
            </w:r>
          </w:p>
          <w:p w14:paraId="25359E59" w14:textId="2DEF4F37" w:rsidR="002F4204" w:rsidRPr="002F4204" w:rsidRDefault="002F4204" w:rsidP="002F4204">
            <w:pPr>
              <w:spacing w:line="240" w:lineRule="exact"/>
              <w:rPr>
                <w:rFonts w:asciiTheme="majorBidi" w:hAnsiTheme="majorBidi" w:cstheme="majorBidi"/>
              </w:rPr>
            </w:pPr>
            <w:r w:rsidRPr="002F4204">
              <w:rPr>
                <w:rFonts w:asciiTheme="majorBidi" w:hAnsiTheme="majorBidi" w:cstheme="majorBidi"/>
              </w:rPr>
              <w:t>Original : anglais</w:t>
            </w:r>
          </w:p>
        </w:tc>
      </w:tr>
    </w:tbl>
    <w:p w14:paraId="63A65B18" w14:textId="16B3745F" w:rsidR="002F4204" w:rsidRPr="002F4204" w:rsidRDefault="002F4204" w:rsidP="002F4204">
      <w:pPr>
        <w:spacing w:before="120"/>
        <w:rPr>
          <w:rFonts w:asciiTheme="majorBidi" w:hAnsiTheme="majorBidi" w:cstheme="majorBidi"/>
          <w:b/>
          <w:bCs/>
          <w:sz w:val="24"/>
          <w:szCs w:val="24"/>
          <w:lang w:val="fr-FR"/>
        </w:rPr>
      </w:pPr>
      <w:bookmarkStart w:id="0" w:name="_GoBack"/>
      <w:bookmarkEnd w:id="0"/>
      <w:r w:rsidRPr="002F4204">
        <w:rPr>
          <w:rFonts w:asciiTheme="majorBidi" w:hAnsiTheme="majorBidi" w:cstheme="majorBidi"/>
          <w:b/>
          <w:bCs/>
          <w:sz w:val="24"/>
          <w:szCs w:val="24"/>
          <w:lang w:val="fr-FR"/>
        </w:rPr>
        <w:t xml:space="preserve">Comité d’experts du transport des marchandises dangereuses </w:t>
      </w:r>
      <w:r w:rsidRPr="002F4204">
        <w:rPr>
          <w:rFonts w:asciiTheme="majorBidi" w:hAnsiTheme="majorBidi" w:cstheme="majorBidi"/>
          <w:b/>
          <w:bCs/>
          <w:sz w:val="24"/>
          <w:szCs w:val="24"/>
          <w:lang w:val="fr-FR"/>
        </w:rPr>
        <w:br/>
      </w:r>
      <w:r w:rsidRPr="002F4204">
        <w:rPr>
          <w:rFonts w:asciiTheme="majorBidi" w:hAnsiTheme="majorBidi" w:cstheme="majorBidi"/>
          <w:b/>
          <w:bCs/>
          <w:sz w:val="24"/>
          <w:szCs w:val="24"/>
          <w:lang w:val="fr-FR"/>
        </w:rPr>
        <w:t xml:space="preserve">et du Système général harmonisé de classification </w:t>
      </w:r>
      <w:r w:rsidRPr="002F4204">
        <w:rPr>
          <w:rFonts w:asciiTheme="majorBidi" w:hAnsiTheme="majorBidi" w:cstheme="majorBidi"/>
          <w:b/>
          <w:bCs/>
          <w:sz w:val="24"/>
          <w:szCs w:val="24"/>
          <w:lang w:val="fr-FR"/>
        </w:rPr>
        <w:br/>
      </w:r>
      <w:r w:rsidRPr="002F4204">
        <w:rPr>
          <w:rFonts w:asciiTheme="majorBidi" w:hAnsiTheme="majorBidi" w:cstheme="majorBidi"/>
          <w:b/>
          <w:bCs/>
          <w:sz w:val="24"/>
          <w:szCs w:val="24"/>
          <w:lang w:val="fr-FR"/>
        </w:rPr>
        <w:t>et d’étiquetage des produits chimiques</w:t>
      </w:r>
    </w:p>
    <w:p w14:paraId="00019019" w14:textId="77777777" w:rsidR="002F4204" w:rsidRPr="002F4204" w:rsidRDefault="002F4204" w:rsidP="002F4204">
      <w:pPr>
        <w:spacing w:before="120"/>
        <w:rPr>
          <w:rFonts w:asciiTheme="majorBidi" w:hAnsiTheme="majorBidi" w:cstheme="majorBidi"/>
          <w:b/>
          <w:color w:val="000000"/>
          <w:lang w:val="fr-FR"/>
        </w:rPr>
      </w:pPr>
      <w:r w:rsidRPr="002F4204">
        <w:rPr>
          <w:rFonts w:asciiTheme="majorBidi" w:hAnsiTheme="majorBidi" w:cstheme="majorBidi"/>
          <w:b/>
          <w:bCs/>
          <w:lang w:val="fr-FR"/>
        </w:rPr>
        <w:t>Sous-Comité d’experts du transport des marchandises dangereuses</w:t>
      </w:r>
    </w:p>
    <w:p w14:paraId="5701C388" w14:textId="77777777" w:rsidR="002F4204" w:rsidRPr="002F4204" w:rsidRDefault="002F4204" w:rsidP="002F4204">
      <w:pPr>
        <w:spacing w:before="120"/>
        <w:rPr>
          <w:rFonts w:asciiTheme="majorBidi" w:hAnsiTheme="majorBidi" w:cstheme="majorBidi"/>
          <w:b/>
          <w:lang w:val="fr-FR"/>
        </w:rPr>
      </w:pPr>
      <w:r w:rsidRPr="002F4204">
        <w:rPr>
          <w:rFonts w:asciiTheme="majorBidi" w:hAnsiTheme="majorBidi" w:cstheme="majorBidi"/>
          <w:b/>
          <w:bCs/>
          <w:lang w:val="fr-FR"/>
        </w:rPr>
        <w:t>Soixante-quatrième session</w:t>
      </w:r>
    </w:p>
    <w:p w14:paraId="79B717F0" w14:textId="77777777" w:rsidR="002F4204" w:rsidRPr="002F4204" w:rsidRDefault="002F4204" w:rsidP="002F4204">
      <w:pPr>
        <w:rPr>
          <w:rFonts w:asciiTheme="majorBidi" w:hAnsiTheme="majorBidi" w:cstheme="majorBidi"/>
          <w:lang w:val="fr-FR"/>
        </w:rPr>
      </w:pPr>
      <w:r w:rsidRPr="002F4204">
        <w:rPr>
          <w:rFonts w:asciiTheme="majorBidi" w:hAnsiTheme="majorBidi" w:cstheme="majorBidi"/>
          <w:lang w:val="fr-FR"/>
        </w:rPr>
        <w:t>Genève, 24 juin-3 juillet 2024</w:t>
      </w:r>
    </w:p>
    <w:p w14:paraId="001E5099" w14:textId="77777777" w:rsidR="002F4204" w:rsidRPr="002F4204" w:rsidRDefault="002F4204" w:rsidP="002F4204">
      <w:pPr>
        <w:rPr>
          <w:rFonts w:asciiTheme="majorBidi" w:hAnsiTheme="majorBidi" w:cstheme="majorBidi"/>
          <w:lang w:val="fr-FR"/>
        </w:rPr>
      </w:pPr>
      <w:r w:rsidRPr="002F4204">
        <w:rPr>
          <w:rFonts w:asciiTheme="majorBidi" w:hAnsiTheme="majorBidi" w:cstheme="majorBidi"/>
          <w:lang w:val="fr-FR"/>
        </w:rPr>
        <w:t>Point 6 a) de l’ordre du jour provisoire</w:t>
      </w:r>
    </w:p>
    <w:p w14:paraId="3EADEAF7" w14:textId="2E3572B7" w:rsidR="002F4204" w:rsidRPr="002F4204" w:rsidRDefault="002F4204" w:rsidP="002F4204">
      <w:pPr>
        <w:pStyle w:val="Body"/>
        <w:rPr>
          <w:rFonts w:asciiTheme="majorBidi" w:hAnsiTheme="majorBidi" w:cstheme="majorBidi"/>
          <w:b/>
          <w:bCs/>
          <w:sz w:val="22"/>
          <w:szCs w:val="22"/>
          <w:lang w:val="fr-FR"/>
        </w:rPr>
      </w:pPr>
      <w:r w:rsidRPr="002F4204">
        <w:rPr>
          <w:rFonts w:asciiTheme="majorBidi" w:hAnsiTheme="majorBidi" w:cstheme="majorBidi"/>
          <w:b/>
          <w:bCs/>
          <w:lang w:val="fr-FR"/>
        </w:rPr>
        <w:t>Propositions diverses d’amendements au Règlement type</w:t>
      </w:r>
      <w:r>
        <w:rPr>
          <w:rFonts w:asciiTheme="majorBidi" w:hAnsiTheme="majorBidi" w:cstheme="majorBidi"/>
          <w:b/>
          <w:bCs/>
          <w:lang w:val="fr-FR"/>
        </w:rPr>
        <w:br/>
      </w:r>
      <w:r w:rsidRPr="002F4204">
        <w:rPr>
          <w:rFonts w:asciiTheme="majorBidi" w:hAnsiTheme="majorBidi" w:cstheme="majorBidi"/>
          <w:b/>
          <w:bCs/>
          <w:lang w:val="fr-FR"/>
        </w:rPr>
        <w:t>pour le transport des marchandises dangereuses</w:t>
      </w:r>
      <w:r w:rsidRPr="002F4204">
        <w:rPr>
          <w:rFonts w:asciiTheme="majorBidi" w:hAnsiTheme="majorBidi" w:cstheme="majorBidi"/>
          <w:b/>
          <w:bCs/>
          <w:lang w:val="fr-FR"/>
        </w:rPr>
        <w:t> :</w:t>
      </w:r>
      <w:r>
        <w:rPr>
          <w:rFonts w:asciiTheme="majorBidi" w:hAnsiTheme="majorBidi" w:cstheme="majorBidi"/>
          <w:b/>
          <w:bCs/>
          <w:lang w:val="fr-FR"/>
        </w:rPr>
        <w:br/>
      </w:r>
      <w:r w:rsidRPr="002F4204">
        <w:rPr>
          <w:rFonts w:asciiTheme="majorBidi" w:hAnsiTheme="majorBidi" w:cstheme="majorBidi"/>
          <w:b/>
          <w:bCs/>
          <w:lang w:val="fr-FR"/>
        </w:rPr>
        <w:t>Marquage et étiquetage</w:t>
      </w:r>
    </w:p>
    <w:p w14:paraId="311BD4DB" w14:textId="77777777" w:rsidR="002F4204" w:rsidRPr="002F4204" w:rsidRDefault="002F4204" w:rsidP="002F4204">
      <w:pPr>
        <w:pStyle w:val="HChG"/>
        <w:rPr>
          <w:rFonts w:asciiTheme="majorBidi" w:hAnsiTheme="majorBidi" w:cstheme="majorBidi"/>
          <w:lang w:val="fr-FR"/>
        </w:rPr>
      </w:pPr>
      <w:r w:rsidRPr="002F4204">
        <w:rPr>
          <w:rFonts w:asciiTheme="majorBidi" w:hAnsiTheme="majorBidi" w:cstheme="majorBidi"/>
          <w:lang w:val="fr-FR"/>
        </w:rPr>
        <w:tab/>
      </w:r>
      <w:r w:rsidRPr="002F4204">
        <w:rPr>
          <w:rFonts w:asciiTheme="majorBidi" w:hAnsiTheme="majorBidi" w:cstheme="majorBidi"/>
          <w:lang w:val="fr-FR"/>
        </w:rPr>
        <w:tab/>
        <w:t>Variations du modèle de signe conventionnel représentant une flamme</w:t>
      </w:r>
    </w:p>
    <w:p w14:paraId="13C1A835" w14:textId="77777777" w:rsidR="002F4204" w:rsidRPr="002F4204" w:rsidRDefault="002F4204" w:rsidP="002F4204">
      <w:pPr>
        <w:pStyle w:val="H1G"/>
        <w:rPr>
          <w:rFonts w:asciiTheme="majorBidi" w:hAnsiTheme="majorBidi" w:cstheme="majorBidi"/>
          <w:lang w:val="fr-FR"/>
        </w:rPr>
      </w:pPr>
      <w:r w:rsidRPr="002F4204">
        <w:rPr>
          <w:rFonts w:asciiTheme="majorBidi" w:hAnsiTheme="majorBidi" w:cstheme="majorBidi"/>
          <w:lang w:val="fr-FR"/>
        </w:rPr>
        <w:tab/>
      </w:r>
      <w:r w:rsidRPr="002F4204">
        <w:rPr>
          <w:rFonts w:asciiTheme="majorBidi" w:hAnsiTheme="majorBidi" w:cstheme="majorBidi"/>
          <w:lang w:val="fr-FR"/>
        </w:rPr>
        <w:tab/>
      </w:r>
      <w:r w:rsidRPr="002F4204">
        <w:rPr>
          <w:rFonts w:asciiTheme="majorBidi" w:hAnsiTheme="majorBidi" w:cstheme="majorBidi"/>
          <w:lang w:val="fr-FR"/>
        </w:rPr>
        <w:tab/>
        <w:t xml:space="preserve">Communication du </w:t>
      </w:r>
      <w:r w:rsidRPr="002F4204">
        <w:rPr>
          <w:rFonts w:asciiTheme="majorBidi" w:hAnsiTheme="majorBidi" w:cstheme="majorBidi"/>
          <w:lang w:val="en-US"/>
        </w:rPr>
        <w:t>Council on Safe Transportation of Hazardous Articles</w:t>
      </w:r>
      <w:r w:rsidRPr="002F4204">
        <w:rPr>
          <w:rFonts w:asciiTheme="majorBidi" w:hAnsiTheme="majorBidi" w:cstheme="majorBidi"/>
          <w:lang w:val="fr-FR"/>
        </w:rPr>
        <w:t xml:space="preserve"> (COSTHA)</w:t>
      </w:r>
      <w:r w:rsidRPr="002F4204">
        <w:rPr>
          <w:rStyle w:val="Appelnotedebasdep"/>
          <w:rFonts w:asciiTheme="majorBidi" w:eastAsia="Times New Roman" w:hAnsiTheme="majorBidi" w:cstheme="majorBidi"/>
          <w:b w:val="0"/>
          <w:color w:val="000000" w:themeColor="text1"/>
          <w:sz w:val="20"/>
          <w:szCs w:val="24"/>
          <w:lang w:val="fr-FR"/>
        </w:rPr>
        <w:footnoteReference w:customMarkFollows="1" w:id="2"/>
        <w:t>*</w:t>
      </w:r>
    </w:p>
    <w:p w14:paraId="075EBA25" w14:textId="77777777" w:rsidR="002F4204" w:rsidRPr="002F4204" w:rsidRDefault="002F4204" w:rsidP="002F4204">
      <w:pPr>
        <w:pStyle w:val="HChG"/>
        <w:rPr>
          <w:rFonts w:asciiTheme="majorBidi" w:hAnsiTheme="majorBidi" w:cstheme="majorBidi"/>
          <w:sz w:val="22"/>
          <w:szCs w:val="22"/>
          <w:lang w:val="fr-FR"/>
        </w:rPr>
      </w:pPr>
      <w:r w:rsidRPr="002F4204">
        <w:rPr>
          <w:rFonts w:asciiTheme="majorBidi" w:hAnsiTheme="majorBidi" w:cstheme="majorBidi"/>
          <w:bCs/>
          <w:lang w:val="fr-FR"/>
        </w:rPr>
        <w:tab/>
        <w:t>I.</w:t>
      </w:r>
      <w:r w:rsidRPr="002F4204">
        <w:rPr>
          <w:rFonts w:asciiTheme="majorBidi" w:hAnsiTheme="majorBidi" w:cstheme="majorBidi"/>
          <w:lang w:val="fr-FR"/>
        </w:rPr>
        <w:tab/>
      </w:r>
      <w:r w:rsidRPr="002F4204">
        <w:rPr>
          <w:rFonts w:asciiTheme="majorBidi" w:hAnsiTheme="majorBidi" w:cstheme="majorBidi"/>
          <w:bCs/>
          <w:lang w:val="fr-FR"/>
        </w:rPr>
        <w:t>Introduction</w:t>
      </w:r>
    </w:p>
    <w:p w14:paraId="5817DC74" w14:textId="77777777" w:rsidR="002F4204" w:rsidRPr="002F4204" w:rsidRDefault="002F4204" w:rsidP="002F4204">
      <w:pPr>
        <w:pStyle w:val="SingleTxtG"/>
        <w:tabs>
          <w:tab w:val="clear" w:pos="1701"/>
          <w:tab w:val="clear" w:pos="2268"/>
          <w:tab w:val="clear" w:pos="2835"/>
        </w:tabs>
        <w:rPr>
          <w:rFonts w:asciiTheme="majorBidi" w:hAnsiTheme="majorBidi" w:cstheme="majorBidi"/>
          <w:lang w:val="fr-FR"/>
        </w:rPr>
      </w:pPr>
      <w:r w:rsidRPr="002F4204">
        <w:rPr>
          <w:rFonts w:asciiTheme="majorBidi" w:hAnsiTheme="majorBidi" w:cstheme="majorBidi"/>
          <w:lang w:val="fr-FR"/>
        </w:rPr>
        <w:t>1.</w:t>
      </w:r>
      <w:r w:rsidRPr="002F4204">
        <w:rPr>
          <w:rFonts w:asciiTheme="majorBidi" w:hAnsiTheme="majorBidi" w:cstheme="majorBidi"/>
          <w:lang w:val="fr-FR"/>
        </w:rPr>
        <w:tab/>
        <w:t>Le COSTHA a observé que le signe conventionnel représentant une flamme utilisé sur les étiquettes des matières inflammables variait d’un texte réglementaire à l’autre. Ce signe figure sur les étiquettes de la division 2.1, de la classe 3, des divisions 4.1, 4.2 et 4.3 et de la division 5.2. Le COSTHA est d’avis que des variations mineures du modèle utilisé n’ont pas d’incidence sur la sécurité et ne devraient pas être assimilées à un non-respect des dispositions.</w:t>
      </w:r>
    </w:p>
    <w:p w14:paraId="26714521" w14:textId="77777777" w:rsidR="002F4204" w:rsidRPr="002F4204" w:rsidRDefault="002F4204" w:rsidP="002F4204">
      <w:pPr>
        <w:pStyle w:val="HChG"/>
        <w:rPr>
          <w:rFonts w:asciiTheme="majorBidi" w:hAnsiTheme="majorBidi" w:cstheme="majorBidi"/>
          <w:lang w:val="fr-FR"/>
        </w:rPr>
      </w:pPr>
      <w:r w:rsidRPr="002F4204">
        <w:rPr>
          <w:rFonts w:asciiTheme="majorBidi" w:hAnsiTheme="majorBidi" w:cstheme="majorBidi"/>
          <w:bCs/>
          <w:lang w:val="fr-FR"/>
        </w:rPr>
        <w:tab/>
        <w:t>II.</w:t>
      </w:r>
      <w:r w:rsidRPr="002F4204">
        <w:rPr>
          <w:rFonts w:asciiTheme="majorBidi" w:hAnsiTheme="majorBidi" w:cstheme="majorBidi"/>
          <w:lang w:val="fr-FR"/>
        </w:rPr>
        <w:tab/>
      </w:r>
      <w:r w:rsidRPr="002F4204">
        <w:rPr>
          <w:rFonts w:asciiTheme="majorBidi" w:hAnsiTheme="majorBidi" w:cstheme="majorBidi"/>
          <w:bCs/>
          <w:lang w:val="fr-FR"/>
        </w:rPr>
        <w:t>Contexte</w:t>
      </w:r>
    </w:p>
    <w:p w14:paraId="6275C78C" w14:textId="77777777" w:rsidR="002F4204" w:rsidRPr="002F4204" w:rsidRDefault="002F4204" w:rsidP="002F4204">
      <w:pPr>
        <w:pStyle w:val="SingleTxtG"/>
        <w:rPr>
          <w:rFonts w:asciiTheme="majorBidi" w:hAnsiTheme="majorBidi" w:cstheme="majorBidi"/>
          <w:lang w:val="fr-FR"/>
        </w:rPr>
      </w:pPr>
      <w:r w:rsidRPr="002F4204">
        <w:rPr>
          <w:rFonts w:asciiTheme="majorBidi" w:hAnsiTheme="majorBidi" w:cstheme="majorBidi"/>
          <w:lang w:val="fr-FR"/>
        </w:rPr>
        <w:t>2.</w:t>
      </w:r>
      <w:r w:rsidRPr="002F4204">
        <w:rPr>
          <w:rFonts w:asciiTheme="majorBidi" w:hAnsiTheme="majorBidi" w:cstheme="majorBidi"/>
          <w:lang w:val="fr-FR"/>
        </w:rPr>
        <w:tab/>
        <w:t>Lors du transport multimodal de marchandises dangereuses, il arrive que certains envois soient refusés ou retardés en raison de différences dans la réglementation nationale et internationale. À l’échelle nationale ou régionale, le personnel chargé de veiller au respect de la réglementation et les transporteurs signalent une erreur d’étiquetage ou précisent que la flamme n’est pas correctement représentée pour le mode de transport utilisé.</w:t>
      </w:r>
    </w:p>
    <w:p w14:paraId="5B75276A" w14:textId="27E8357B" w:rsidR="002F4204" w:rsidRPr="002F4204" w:rsidRDefault="002F4204" w:rsidP="002F4204">
      <w:pPr>
        <w:pStyle w:val="SingleTxtG"/>
        <w:rPr>
          <w:rFonts w:asciiTheme="majorBidi" w:hAnsiTheme="majorBidi" w:cstheme="majorBidi"/>
          <w:lang w:val="fr-FR"/>
        </w:rPr>
      </w:pPr>
      <w:r w:rsidRPr="002F4204">
        <w:rPr>
          <w:rFonts w:asciiTheme="majorBidi" w:hAnsiTheme="majorBidi" w:cstheme="majorBidi"/>
          <w:lang w:val="fr-FR"/>
        </w:rPr>
        <w:t>3.</w:t>
      </w:r>
      <w:r w:rsidRPr="002F4204">
        <w:rPr>
          <w:rFonts w:asciiTheme="majorBidi" w:hAnsiTheme="majorBidi" w:cstheme="majorBidi"/>
          <w:lang w:val="fr-FR"/>
        </w:rPr>
        <w:tab/>
        <w:t>La réglementation et les documents relatifs au transport des marchandises dangereuses contiennent certaines dispositions concernant la taille et la couleur mais les signes y sont spécifiés de manière vague, quand ils le sont. Le paragraphe 5.2.2.2.1 de la vingt-troisième édition révisée du Règlement type est ainsi libellé</w:t>
      </w:r>
      <w:r w:rsidRPr="002F4204">
        <w:rPr>
          <w:rFonts w:asciiTheme="majorBidi" w:hAnsiTheme="majorBidi" w:cstheme="majorBidi"/>
          <w:lang w:val="fr-FR"/>
        </w:rPr>
        <w:t> :</w:t>
      </w:r>
    </w:p>
    <w:p w14:paraId="3875FA61" w14:textId="08AC40A4" w:rsidR="002F4204" w:rsidRPr="002F4204" w:rsidRDefault="002F4204" w:rsidP="002F4204">
      <w:pPr>
        <w:pStyle w:val="SingleTxtG"/>
        <w:rPr>
          <w:rFonts w:asciiTheme="majorBidi" w:hAnsiTheme="majorBidi" w:cstheme="majorBidi"/>
          <w:i/>
          <w:iCs/>
          <w:lang w:val="fr-FR"/>
        </w:rPr>
      </w:pPr>
      <w:r w:rsidRPr="002F4204">
        <w:rPr>
          <w:rFonts w:asciiTheme="majorBidi" w:hAnsiTheme="majorBidi" w:cstheme="majorBidi"/>
          <w:lang w:val="fr-FR"/>
        </w:rPr>
        <w:lastRenderedPageBreak/>
        <w:t>«</w:t>
      </w:r>
      <w:r w:rsidRPr="002F4204">
        <w:rPr>
          <w:rFonts w:asciiTheme="majorBidi" w:hAnsiTheme="majorBidi" w:cstheme="majorBidi"/>
          <w:i/>
          <w:iCs/>
          <w:lang w:val="fr-FR"/>
        </w:rPr>
        <w:t> Les étiquettes doivent satisfaire aux dispositions de cette section et être conformes, pour la couleur, les signes conventionnels et la forme générale, aux modèles d’étiquettes illustrés au 5.2.2.2.2.</w:t>
      </w:r>
      <w:r w:rsidRPr="002F4204">
        <w:rPr>
          <w:rFonts w:asciiTheme="majorBidi" w:hAnsiTheme="majorBidi" w:cstheme="majorBidi"/>
          <w:lang w:val="fr-FR"/>
        </w:rPr>
        <w:t> ».</w:t>
      </w:r>
    </w:p>
    <w:p w14:paraId="21133228" w14:textId="77777777" w:rsidR="002F4204" w:rsidRPr="002F4204" w:rsidRDefault="002F4204" w:rsidP="002F4204">
      <w:pPr>
        <w:pStyle w:val="SingleTxtG"/>
        <w:rPr>
          <w:rFonts w:asciiTheme="majorBidi" w:hAnsiTheme="majorBidi" w:cstheme="majorBidi"/>
          <w:lang w:val="fr-FR"/>
        </w:rPr>
      </w:pPr>
      <w:r w:rsidRPr="002F4204">
        <w:rPr>
          <w:rFonts w:asciiTheme="majorBidi" w:hAnsiTheme="majorBidi" w:cstheme="majorBidi"/>
          <w:lang w:val="fr-FR"/>
        </w:rPr>
        <w:t>4.</w:t>
      </w:r>
      <w:r w:rsidRPr="002F4204">
        <w:rPr>
          <w:rFonts w:asciiTheme="majorBidi" w:hAnsiTheme="majorBidi" w:cstheme="majorBidi"/>
          <w:lang w:val="fr-FR"/>
        </w:rPr>
        <w:tab/>
        <w:t>Le paragraphe 5.2.2.2.2 (Dispositions relatives aux étiquettes) contient une illustration de la flamme destinée à décrire le signe utilisé pour la division 2.1, la classe 3 et la classe 4 et associée à un libellé relativement homogène dans différents règlements de référence.</w:t>
      </w:r>
    </w:p>
    <w:tbl>
      <w:tblPr>
        <w:tblW w:w="96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9"/>
        <w:gridCol w:w="1275"/>
        <w:gridCol w:w="1701"/>
        <w:gridCol w:w="1134"/>
        <w:gridCol w:w="1535"/>
        <w:gridCol w:w="1501"/>
        <w:gridCol w:w="1502"/>
      </w:tblGrid>
      <w:tr w:rsidR="007209E6" w:rsidRPr="002F4204" w14:paraId="59C30AC8" w14:textId="77777777" w:rsidTr="007209E6">
        <w:trPr>
          <w:cantSplit/>
        </w:trPr>
        <w:tc>
          <w:tcPr>
            <w:tcW w:w="989" w:type="dxa"/>
            <w:shd w:val="clear" w:color="auto" w:fill="auto"/>
            <w:vAlign w:val="center"/>
          </w:tcPr>
          <w:p w14:paraId="7877F6FA" w14:textId="77777777" w:rsidR="002F4204" w:rsidRPr="002F4204" w:rsidRDefault="002F4204" w:rsidP="007209E6">
            <w:pPr>
              <w:spacing w:before="40" w:after="40" w:line="220" w:lineRule="atLeast"/>
              <w:ind w:left="57" w:right="57"/>
              <w:jc w:val="center"/>
              <w:rPr>
                <w:rFonts w:asciiTheme="majorBidi" w:hAnsiTheme="majorBidi" w:cstheme="majorBidi"/>
                <w:b/>
                <w:sz w:val="16"/>
                <w:szCs w:val="16"/>
                <w:lang w:val="fr-FR"/>
              </w:rPr>
            </w:pPr>
            <w:r w:rsidRPr="002F4204">
              <w:rPr>
                <w:rFonts w:asciiTheme="majorBidi" w:hAnsiTheme="majorBidi" w:cstheme="majorBidi"/>
                <w:b/>
                <w:bCs/>
                <w:sz w:val="16"/>
                <w:szCs w:val="16"/>
                <w:lang w:val="fr-FR"/>
              </w:rPr>
              <w:t>No du modèle d’étiquette</w:t>
            </w:r>
          </w:p>
        </w:tc>
        <w:tc>
          <w:tcPr>
            <w:tcW w:w="1275" w:type="dxa"/>
            <w:shd w:val="clear" w:color="auto" w:fill="auto"/>
            <w:vAlign w:val="center"/>
          </w:tcPr>
          <w:p w14:paraId="2D4ADBD8" w14:textId="77777777" w:rsidR="002F4204" w:rsidRPr="002F4204" w:rsidRDefault="002F4204" w:rsidP="007209E6">
            <w:pPr>
              <w:spacing w:before="40" w:after="40" w:line="220" w:lineRule="atLeast"/>
              <w:ind w:left="57" w:right="57"/>
              <w:jc w:val="center"/>
              <w:rPr>
                <w:rFonts w:asciiTheme="majorBidi" w:hAnsiTheme="majorBidi" w:cstheme="majorBidi"/>
                <w:b/>
                <w:sz w:val="16"/>
                <w:szCs w:val="16"/>
                <w:lang w:val="fr-FR"/>
              </w:rPr>
            </w:pPr>
            <w:r w:rsidRPr="002F4204">
              <w:rPr>
                <w:rFonts w:asciiTheme="majorBidi" w:hAnsiTheme="majorBidi" w:cstheme="majorBidi"/>
                <w:b/>
                <w:bCs/>
                <w:sz w:val="16"/>
                <w:szCs w:val="16"/>
                <w:lang w:val="fr-FR"/>
              </w:rPr>
              <w:t>Division ou catégorie</w:t>
            </w:r>
          </w:p>
        </w:tc>
        <w:tc>
          <w:tcPr>
            <w:tcW w:w="1701" w:type="dxa"/>
            <w:shd w:val="clear" w:color="auto" w:fill="auto"/>
            <w:vAlign w:val="center"/>
          </w:tcPr>
          <w:p w14:paraId="2BE0AD3C" w14:textId="77777777" w:rsidR="002F4204" w:rsidRPr="002F4204" w:rsidRDefault="002F4204" w:rsidP="007209E6">
            <w:pPr>
              <w:spacing w:before="40" w:after="40" w:line="220" w:lineRule="atLeast"/>
              <w:ind w:left="57" w:right="57"/>
              <w:jc w:val="center"/>
              <w:rPr>
                <w:rFonts w:asciiTheme="majorBidi" w:hAnsiTheme="majorBidi" w:cstheme="majorBidi"/>
                <w:b/>
                <w:sz w:val="16"/>
                <w:szCs w:val="16"/>
                <w:lang w:val="fr-FR"/>
              </w:rPr>
            </w:pPr>
            <w:r w:rsidRPr="002F4204">
              <w:rPr>
                <w:rFonts w:asciiTheme="majorBidi" w:hAnsiTheme="majorBidi" w:cstheme="majorBidi"/>
                <w:b/>
                <w:bCs/>
                <w:sz w:val="16"/>
                <w:szCs w:val="16"/>
                <w:lang w:val="fr-FR"/>
              </w:rPr>
              <w:t>Signe conventionnel et couleur du signe</w:t>
            </w:r>
          </w:p>
        </w:tc>
        <w:tc>
          <w:tcPr>
            <w:tcW w:w="1134" w:type="dxa"/>
            <w:shd w:val="clear" w:color="auto" w:fill="auto"/>
            <w:vAlign w:val="center"/>
          </w:tcPr>
          <w:p w14:paraId="6562A060" w14:textId="77777777" w:rsidR="002F4204" w:rsidRPr="002F4204" w:rsidRDefault="002F4204" w:rsidP="007209E6">
            <w:pPr>
              <w:spacing w:before="40" w:after="40" w:line="220" w:lineRule="atLeast"/>
              <w:ind w:left="57" w:right="57"/>
              <w:jc w:val="center"/>
              <w:rPr>
                <w:rFonts w:asciiTheme="majorBidi" w:hAnsiTheme="majorBidi" w:cstheme="majorBidi"/>
                <w:b/>
                <w:sz w:val="16"/>
                <w:szCs w:val="16"/>
                <w:lang w:val="fr-FR"/>
              </w:rPr>
            </w:pPr>
            <w:r w:rsidRPr="002F4204">
              <w:rPr>
                <w:rFonts w:asciiTheme="majorBidi" w:hAnsiTheme="majorBidi" w:cstheme="majorBidi"/>
                <w:b/>
                <w:bCs/>
                <w:sz w:val="16"/>
                <w:szCs w:val="16"/>
                <w:lang w:val="fr-FR"/>
              </w:rPr>
              <w:t>Fond</w:t>
            </w:r>
          </w:p>
        </w:tc>
        <w:tc>
          <w:tcPr>
            <w:tcW w:w="1535" w:type="dxa"/>
            <w:shd w:val="clear" w:color="auto" w:fill="auto"/>
            <w:vAlign w:val="center"/>
          </w:tcPr>
          <w:p w14:paraId="13AF6AF4" w14:textId="77777777" w:rsidR="002F4204" w:rsidRPr="002F4204" w:rsidRDefault="002F4204" w:rsidP="007209E6">
            <w:pPr>
              <w:spacing w:before="40" w:after="40" w:line="220" w:lineRule="atLeast"/>
              <w:ind w:left="57" w:right="57"/>
              <w:jc w:val="center"/>
              <w:rPr>
                <w:rFonts w:asciiTheme="majorBidi" w:hAnsiTheme="majorBidi" w:cstheme="majorBidi"/>
                <w:b/>
                <w:sz w:val="16"/>
                <w:szCs w:val="16"/>
                <w:lang w:val="fr-FR"/>
              </w:rPr>
            </w:pPr>
            <w:r w:rsidRPr="002F4204">
              <w:rPr>
                <w:rFonts w:asciiTheme="majorBidi" w:hAnsiTheme="majorBidi" w:cstheme="majorBidi"/>
                <w:b/>
                <w:bCs/>
                <w:sz w:val="16"/>
                <w:szCs w:val="16"/>
                <w:lang w:val="fr-FR"/>
              </w:rPr>
              <w:t>Chiffre figurant dans le coin inférieur (et couleur du chiffre)</w:t>
            </w:r>
          </w:p>
        </w:tc>
        <w:tc>
          <w:tcPr>
            <w:tcW w:w="3003" w:type="dxa"/>
            <w:gridSpan w:val="2"/>
            <w:shd w:val="clear" w:color="auto" w:fill="auto"/>
            <w:vAlign w:val="center"/>
          </w:tcPr>
          <w:p w14:paraId="4BA6D194" w14:textId="77777777" w:rsidR="002F4204" w:rsidRPr="002F4204" w:rsidRDefault="002F4204" w:rsidP="007209E6">
            <w:pPr>
              <w:spacing w:before="40" w:after="40" w:line="220" w:lineRule="atLeast"/>
              <w:ind w:left="57" w:right="57"/>
              <w:jc w:val="center"/>
              <w:rPr>
                <w:rFonts w:asciiTheme="majorBidi" w:hAnsiTheme="majorBidi" w:cstheme="majorBidi"/>
                <w:b/>
                <w:sz w:val="16"/>
                <w:szCs w:val="16"/>
                <w:lang w:val="fr-FR"/>
              </w:rPr>
            </w:pPr>
            <w:r w:rsidRPr="002F4204">
              <w:rPr>
                <w:rFonts w:asciiTheme="majorBidi" w:hAnsiTheme="majorBidi" w:cstheme="majorBidi"/>
                <w:b/>
                <w:bCs/>
                <w:sz w:val="16"/>
                <w:szCs w:val="16"/>
                <w:lang w:val="fr-FR"/>
              </w:rPr>
              <w:t>Modèles d’étiquettes</w:t>
            </w:r>
          </w:p>
        </w:tc>
      </w:tr>
      <w:tr w:rsidR="002F4204" w:rsidRPr="002F4204" w14:paraId="468C7936" w14:textId="77777777" w:rsidTr="007209E6">
        <w:trPr>
          <w:cantSplit/>
          <w:trHeight w:val="353"/>
          <w:tblHeader/>
        </w:trPr>
        <w:tc>
          <w:tcPr>
            <w:tcW w:w="9637" w:type="dxa"/>
            <w:gridSpan w:val="7"/>
            <w:shd w:val="clear" w:color="auto" w:fill="auto"/>
            <w:vAlign w:val="center"/>
          </w:tcPr>
          <w:p w14:paraId="2A8189B4" w14:textId="69085234" w:rsidR="002F4204" w:rsidRPr="002F4204" w:rsidRDefault="002F4204" w:rsidP="007209E6">
            <w:pPr>
              <w:ind w:left="57" w:right="57"/>
              <w:jc w:val="center"/>
              <w:rPr>
                <w:rFonts w:asciiTheme="majorBidi" w:hAnsiTheme="majorBidi" w:cstheme="majorBidi"/>
                <w:lang w:val="fr-FR"/>
              </w:rPr>
            </w:pPr>
            <w:r w:rsidRPr="002F4204">
              <w:rPr>
                <w:rFonts w:asciiTheme="majorBidi" w:hAnsiTheme="majorBidi" w:cstheme="majorBidi"/>
                <w:b/>
                <w:bCs/>
                <w:lang w:val="fr-FR"/>
              </w:rPr>
              <w:t>Classe 2</w:t>
            </w:r>
            <w:r w:rsidRPr="002F4204">
              <w:rPr>
                <w:rFonts w:asciiTheme="majorBidi" w:hAnsiTheme="majorBidi" w:cstheme="majorBidi"/>
                <w:b/>
                <w:bCs/>
                <w:lang w:val="fr-FR"/>
              </w:rPr>
              <w:t> :</w:t>
            </w:r>
            <w:r w:rsidRPr="002F4204">
              <w:rPr>
                <w:rFonts w:asciiTheme="majorBidi" w:hAnsiTheme="majorBidi" w:cstheme="majorBidi"/>
                <w:b/>
                <w:bCs/>
                <w:lang w:val="fr-FR"/>
              </w:rPr>
              <w:t xml:space="preserve"> Gaz</w:t>
            </w:r>
          </w:p>
        </w:tc>
      </w:tr>
      <w:tr w:rsidR="002F4204" w:rsidRPr="002F4204" w14:paraId="157E9D88" w14:textId="77777777" w:rsidTr="007209E6">
        <w:trPr>
          <w:cantSplit/>
          <w:trHeight w:val="1701"/>
        </w:trPr>
        <w:tc>
          <w:tcPr>
            <w:tcW w:w="989" w:type="dxa"/>
            <w:shd w:val="clear" w:color="auto" w:fill="auto"/>
          </w:tcPr>
          <w:p w14:paraId="1612D6A6" w14:textId="77777777" w:rsidR="002F4204" w:rsidRPr="002F4204" w:rsidRDefault="002F4204" w:rsidP="007209E6">
            <w:pPr>
              <w:ind w:left="57" w:right="57"/>
              <w:jc w:val="center"/>
              <w:rPr>
                <w:rFonts w:asciiTheme="majorBidi" w:hAnsiTheme="majorBidi" w:cstheme="majorBidi"/>
                <w:lang w:val="fr-FR"/>
              </w:rPr>
            </w:pPr>
            <w:r w:rsidRPr="002F4204">
              <w:rPr>
                <w:rFonts w:asciiTheme="majorBidi" w:hAnsiTheme="majorBidi" w:cstheme="majorBidi"/>
                <w:lang w:val="fr-FR"/>
              </w:rPr>
              <w:t>2.1</w:t>
            </w:r>
          </w:p>
        </w:tc>
        <w:tc>
          <w:tcPr>
            <w:tcW w:w="1275" w:type="dxa"/>
            <w:shd w:val="clear" w:color="auto" w:fill="auto"/>
          </w:tcPr>
          <w:p w14:paraId="751198CE" w14:textId="4FFE0078" w:rsidR="002F4204" w:rsidRPr="002F4204" w:rsidRDefault="002F4204" w:rsidP="007209E6">
            <w:pPr>
              <w:ind w:left="57" w:right="57"/>
              <w:jc w:val="center"/>
              <w:rPr>
                <w:rFonts w:asciiTheme="majorBidi" w:hAnsiTheme="majorBidi" w:cstheme="majorBidi"/>
                <w:lang w:val="fr-FR"/>
              </w:rPr>
            </w:pPr>
            <w:r w:rsidRPr="002F4204">
              <w:rPr>
                <w:rFonts w:asciiTheme="majorBidi" w:hAnsiTheme="majorBidi" w:cstheme="majorBidi"/>
                <w:lang w:val="fr-FR"/>
              </w:rPr>
              <w:t>Division 2.1</w:t>
            </w:r>
            <w:r w:rsidRPr="002F4204">
              <w:rPr>
                <w:rFonts w:asciiTheme="majorBidi" w:hAnsiTheme="majorBidi" w:cstheme="majorBidi"/>
                <w:lang w:val="fr-FR"/>
              </w:rPr>
              <w:t> :</w:t>
            </w:r>
            <w:r w:rsidRPr="002F4204">
              <w:rPr>
                <w:rFonts w:asciiTheme="majorBidi" w:hAnsiTheme="majorBidi" w:cstheme="majorBidi"/>
                <w:lang w:val="fr-FR"/>
              </w:rPr>
              <w:br/>
            </w:r>
            <w:r w:rsidRPr="002F4204">
              <w:rPr>
                <w:rFonts w:asciiTheme="majorBidi" w:hAnsiTheme="majorBidi" w:cstheme="majorBidi"/>
                <w:lang w:val="fr-FR"/>
              </w:rPr>
              <w:t>Gaz inflammables</w:t>
            </w:r>
          </w:p>
        </w:tc>
        <w:tc>
          <w:tcPr>
            <w:tcW w:w="1701" w:type="dxa"/>
            <w:shd w:val="clear" w:color="auto" w:fill="auto"/>
          </w:tcPr>
          <w:p w14:paraId="3F200940" w14:textId="603CB3E3" w:rsidR="002F4204" w:rsidRPr="002F4204" w:rsidRDefault="002F4204" w:rsidP="007209E6">
            <w:pPr>
              <w:ind w:left="57" w:right="57"/>
              <w:jc w:val="center"/>
              <w:rPr>
                <w:rFonts w:asciiTheme="majorBidi" w:hAnsiTheme="majorBidi" w:cstheme="majorBidi"/>
                <w:lang w:val="fr-FR"/>
              </w:rPr>
            </w:pPr>
            <w:r w:rsidRPr="002F4204">
              <w:rPr>
                <w:rFonts w:asciiTheme="majorBidi" w:hAnsiTheme="majorBidi" w:cstheme="majorBidi"/>
                <w:lang w:val="fr-FR"/>
              </w:rPr>
              <w:t>Flamme</w:t>
            </w:r>
            <w:r w:rsidRPr="002F4204">
              <w:rPr>
                <w:rFonts w:asciiTheme="majorBidi" w:hAnsiTheme="majorBidi" w:cstheme="majorBidi"/>
                <w:lang w:val="fr-FR"/>
              </w:rPr>
              <w:t> :</w:t>
            </w:r>
            <w:r w:rsidRPr="002F4204">
              <w:rPr>
                <w:rFonts w:asciiTheme="majorBidi" w:hAnsiTheme="majorBidi" w:cstheme="majorBidi"/>
                <w:lang w:val="fr-FR"/>
              </w:rPr>
              <w:t xml:space="preserve"> noir ou blanc (sauf selon 5.2.2.2.1.6 d))</w:t>
            </w:r>
          </w:p>
        </w:tc>
        <w:tc>
          <w:tcPr>
            <w:tcW w:w="1134" w:type="dxa"/>
            <w:shd w:val="clear" w:color="auto" w:fill="auto"/>
          </w:tcPr>
          <w:p w14:paraId="4B0FC42D" w14:textId="77777777" w:rsidR="002F4204" w:rsidRPr="002F4204" w:rsidRDefault="002F4204" w:rsidP="007209E6">
            <w:pPr>
              <w:ind w:left="57" w:right="57"/>
              <w:jc w:val="center"/>
              <w:rPr>
                <w:rFonts w:asciiTheme="majorBidi" w:hAnsiTheme="majorBidi" w:cstheme="majorBidi"/>
                <w:lang w:val="fr-FR"/>
              </w:rPr>
            </w:pPr>
            <w:r w:rsidRPr="002F4204">
              <w:rPr>
                <w:rFonts w:asciiTheme="majorBidi" w:hAnsiTheme="majorBidi" w:cstheme="majorBidi"/>
                <w:lang w:val="fr-FR"/>
              </w:rPr>
              <w:t>Rouge</w:t>
            </w:r>
          </w:p>
        </w:tc>
        <w:tc>
          <w:tcPr>
            <w:tcW w:w="1535" w:type="dxa"/>
            <w:shd w:val="clear" w:color="auto" w:fill="auto"/>
          </w:tcPr>
          <w:p w14:paraId="28BDA82C" w14:textId="3FFF1FBC" w:rsidR="002F4204" w:rsidRPr="002F4204" w:rsidRDefault="002F4204" w:rsidP="007209E6">
            <w:pPr>
              <w:ind w:left="57" w:right="57"/>
              <w:jc w:val="center"/>
              <w:rPr>
                <w:rFonts w:asciiTheme="majorBidi" w:hAnsiTheme="majorBidi" w:cstheme="majorBidi"/>
                <w:lang w:val="fr-FR"/>
              </w:rPr>
            </w:pPr>
            <w:r w:rsidRPr="002F4204">
              <w:rPr>
                <w:rFonts w:asciiTheme="majorBidi" w:hAnsiTheme="majorBidi" w:cstheme="majorBidi"/>
                <w:lang w:val="fr-FR"/>
              </w:rPr>
              <w:t>2</w:t>
            </w:r>
            <w:r w:rsidRPr="002F4204">
              <w:rPr>
                <w:rFonts w:asciiTheme="majorBidi" w:hAnsiTheme="majorBidi" w:cstheme="majorBidi"/>
                <w:lang w:val="fr-FR"/>
              </w:rPr>
              <w:br/>
            </w:r>
            <w:r w:rsidRPr="002F4204">
              <w:rPr>
                <w:rFonts w:asciiTheme="majorBidi" w:hAnsiTheme="majorBidi" w:cstheme="majorBidi"/>
                <w:lang w:val="fr-FR"/>
              </w:rPr>
              <w:t>(noir ou blanc)</w:t>
            </w:r>
            <w:r w:rsidRPr="002F4204">
              <w:rPr>
                <w:rFonts w:asciiTheme="majorBidi" w:hAnsiTheme="majorBidi" w:cstheme="majorBidi"/>
                <w:lang w:val="fr-FR"/>
              </w:rPr>
              <w:br/>
            </w:r>
            <w:r w:rsidRPr="002F4204">
              <w:rPr>
                <w:rFonts w:asciiTheme="majorBidi" w:hAnsiTheme="majorBidi" w:cstheme="majorBidi"/>
                <w:lang w:val="fr-FR"/>
              </w:rPr>
              <w:t>(sauf selon 5.2.2.2.1.6 d))</w:t>
            </w:r>
          </w:p>
        </w:tc>
        <w:tc>
          <w:tcPr>
            <w:tcW w:w="1501" w:type="dxa"/>
            <w:shd w:val="clear" w:color="auto" w:fill="auto"/>
            <w:vAlign w:val="center"/>
          </w:tcPr>
          <w:p w14:paraId="0EE961DA" w14:textId="77777777" w:rsidR="002F4204" w:rsidRPr="002F4204" w:rsidRDefault="002F4204" w:rsidP="007209E6">
            <w:pPr>
              <w:ind w:left="57" w:right="57"/>
              <w:jc w:val="center"/>
              <w:rPr>
                <w:rFonts w:asciiTheme="majorBidi" w:hAnsiTheme="majorBidi" w:cstheme="majorBidi"/>
                <w:lang w:val="fr-FR" w:eastAsia="ru-RU"/>
              </w:rPr>
            </w:pPr>
            <w:r w:rsidRPr="002F4204">
              <w:rPr>
                <w:rFonts w:asciiTheme="majorBidi" w:hAnsiTheme="majorBidi" w:cstheme="majorBidi"/>
                <w:noProof/>
                <w:lang w:val="fr-FR" w:eastAsia="en-GB"/>
              </w:rPr>
              <w:drawing>
                <wp:inline distT="0" distB="0" distL="0" distR="0" wp14:anchorId="7A896285" wp14:editId="79614880">
                  <wp:extent cx="921716" cy="921716"/>
                  <wp:effectExtent l="0" t="0" r="0" b="0"/>
                  <wp:docPr id="120" name="Picture 120"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2_no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218" cy="926218"/>
                          </a:xfrm>
                          <a:prstGeom prst="rect">
                            <a:avLst/>
                          </a:prstGeom>
                          <a:noFill/>
                          <a:ln>
                            <a:noFill/>
                          </a:ln>
                        </pic:spPr>
                      </pic:pic>
                    </a:graphicData>
                  </a:graphic>
                </wp:inline>
              </w:drawing>
            </w:r>
          </w:p>
        </w:tc>
        <w:tc>
          <w:tcPr>
            <w:tcW w:w="1502" w:type="dxa"/>
            <w:shd w:val="clear" w:color="auto" w:fill="auto"/>
            <w:vAlign w:val="center"/>
          </w:tcPr>
          <w:p w14:paraId="2A5B8EB6" w14:textId="77777777" w:rsidR="002F4204" w:rsidRPr="002F4204" w:rsidRDefault="002F4204" w:rsidP="007209E6">
            <w:pPr>
              <w:ind w:left="57" w:right="57"/>
              <w:jc w:val="center"/>
              <w:rPr>
                <w:rFonts w:asciiTheme="majorBidi" w:hAnsiTheme="majorBidi" w:cstheme="majorBidi"/>
                <w:lang w:val="fr-FR" w:eastAsia="ru-RU"/>
              </w:rPr>
            </w:pPr>
            <w:r w:rsidRPr="002F4204">
              <w:rPr>
                <w:rFonts w:asciiTheme="majorBidi" w:hAnsiTheme="majorBidi" w:cstheme="majorBidi"/>
                <w:noProof/>
                <w:lang w:val="fr-FR" w:eastAsia="en-GB"/>
              </w:rPr>
              <w:drawing>
                <wp:inline distT="0" distB="0" distL="0" distR="0" wp14:anchorId="1BD0FA69" wp14:editId="3B235CD2">
                  <wp:extent cx="864000" cy="864000"/>
                  <wp:effectExtent l="0" t="0" r="0" b="0"/>
                  <wp:docPr id="121" name="Picture 121"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g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r>
      <w:tr w:rsidR="002F4204" w:rsidRPr="002F4204" w14:paraId="0FBAFD90" w14:textId="77777777" w:rsidTr="007209E6">
        <w:trPr>
          <w:cantSplit/>
          <w:trHeight w:val="1701"/>
        </w:trPr>
        <w:tc>
          <w:tcPr>
            <w:tcW w:w="989" w:type="dxa"/>
            <w:shd w:val="clear" w:color="auto" w:fill="auto"/>
          </w:tcPr>
          <w:p w14:paraId="356E33D6" w14:textId="77777777" w:rsidR="002F4204" w:rsidRPr="002F4204" w:rsidRDefault="002F4204" w:rsidP="007209E6">
            <w:pPr>
              <w:ind w:left="57" w:right="57"/>
              <w:jc w:val="center"/>
              <w:rPr>
                <w:rFonts w:asciiTheme="majorBidi" w:hAnsiTheme="majorBidi" w:cstheme="majorBidi"/>
                <w:lang w:val="fr-FR"/>
              </w:rPr>
            </w:pPr>
            <w:r w:rsidRPr="002F4204">
              <w:rPr>
                <w:rFonts w:asciiTheme="majorBidi" w:hAnsiTheme="majorBidi" w:cstheme="majorBidi"/>
                <w:lang w:val="fr-FR"/>
              </w:rPr>
              <w:t>3</w:t>
            </w:r>
          </w:p>
        </w:tc>
        <w:tc>
          <w:tcPr>
            <w:tcW w:w="1275" w:type="dxa"/>
            <w:shd w:val="clear" w:color="auto" w:fill="auto"/>
          </w:tcPr>
          <w:p w14:paraId="5FC772E1" w14:textId="77777777" w:rsidR="002F4204" w:rsidRPr="002F4204" w:rsidRDefault="002F4204" w:rsidP="007209E6">
            <w:pPr>
              <w:ind w:left="57" w:right="57"/>
              <w:jc w:val="center"/>
              <w:rPr>
                <w:rFonts w:asciiTheme="majorBidi" w:hAnsiTheme="majorBidi" w:cstheme="majorBidi"/>
                <w:lang w:val="fr-FR" w:eastAsia="ru-RU"/>
              </w:rPr>
            </w:pPr>
            <w:r w:rsidRPr="002F4204">
              <w:rPr>
                <w:rFonts w:asciiTheme="majorBidi" w:hAnsiTheme="majorBidi" w:cstheme="majorBidi"/>
                <w:lang w:val="fr-FR" w:eastAsia="ru-RU"/>
              </w:rPr>
              <w:t>-</w:t>
            </w:r>
          </w:p>
        </w:tc>
        <w:tc>
          <w:tcPr>
            <w:tcW w:w="1701" w:type="dxa"/>
            <w:shd w:val="clear" w:color="auto" w:fill="auto"/>
          </w:tcPr>
          <w:p w14:paraId="018F0F4A" w14:textId="5FB152AD" w:rsidR="002F4204" w:rsidRPr="002F4204" w:rsidRDefault="002F4204" w:rsidP="007209E6">
            <w:pPr>
              <w:ind w:left="57" w:right="57"/>
              <w:jc w:val="center"/>
              <w:rPr>
                <w:rFonts w:asciiTheme="majorBidi" w:hAnsiTheme="majorBidi" w:cstheme="majorBidi"/>
                <w:lang w:val="fr-FR"/>
              </w:rPr>
            </w:pPr>
            <w:r w:rsidRPr="002F4204">
              <w:rPr>
                <w:rFonts w:asciiTheme="majorBidi" w:hAnsiTheme="majorBidi" w:cstheme="majorBidi"/>
                <w:lang w:val="fr-FR"/>
              </w:rPr>
              <w:t>Flamme</w:t>
            </w:r>
            <w:r w:rsidRPr="002F4204">
              <w:rPr>
                <w:rFonts w:asciiTheme="majorBidi" w:hAnsiTheme="majorBidi" w:cstheme="majorBidi"/>
                <w:lang w:val="fr-FR"/>
              </w:rPr>
              <w:t> :</w:t>
            </w:r>
            <w:r w:rsidRPr="002F4204">
              <w:rPr>
                <w:rFonts w:asciiTheme="majorBidi" w:hAnsiTheme="majorBidi" w:cstheme="majorBidi"/>
                <w:lang w:val="fr-FR"/>
              </w:rPr>
              <w:t xml:space="preserve"> noir ou blanc</w:t>
            </w:r>
          </w:p>
        </w:tc>
        <w:tc>
          <w:tcPr>
            <w:tcW w:w="1134" w:type="dxa"/>
            <w:shd w:val="clear" w:color="auto" w:fill="auto"/>
          </w:tcPr>
          <w:p w14:paraId="684A2C6C" w14:textId="77777777" w:rsidR="002F4204" w:rsidRPr="002F4204" w:rsidRDefault="002F4204" w:rsidP="007209E6">
            <w:pPr>
              <w:ind w:left="57" w:right="57"/>
              <w:jc w:val="center"/>
              <w:rPr>
                <w:rFonts w:asciiTheme="majorBidi" w:hAnsiTheme="majorBidi" w:cstheme="majorBidi"/>
                <w:lang w:val="fr-FR"/>
              </w:rPr>
            </w:pPr>
            <w:r w:rsidRPr="002F4204">
              <w:rPr>
                <w:rFonts w:asciiTheme="majorBidi" w:hAnsiTheme="majorBidi" w:cstheme="majorBidi"/>
                <w:lang w:val="fr-FR"/>
              </w:rPr>
              <w:t>Rouge</w:t>
            </w:r>
          </w:p>
        </w:tc>
        <w:tc>
          <w:tcPr>
            <w:tcW w:w="1535" w:type="dxa"/>
            <w:shd w:val="clear" w:color="auto" w:fill="auto"/>
          </w:tcPr>
          <w:p w14:paraId="40E63648" w14:textId="48914696" w:rsidR="002F4204" w:rsidRPr="002F4204" w:rsidRDefault="002F4204" w:rsidP="007209E6">
            <w:pPr>
              <w:ind w:left="57" w:right="57"/>
              <w:jc w:val="center"/>
              <w:rPr>
                <w:rFonts w:asciiTheme="majorBidi" w:hAnsiTheme="majorBidi" w:cstheme="majorBidi"/>
                <w:lang w:val="fr-FR"/>
              </w:rPr>
            </w:pPr>
            <w:r w:rsidRPr="002F4204">
              <w:rPr>
                <w:rFonts w:asciiTheme="majorBidi" w:hAnsiTheme="majorBidi" w:cstheme="majorBidi"/>
                <w:lang w:val="fr-FR"/>
              </w:rPr>
              <w:t>3</w:t>
            </w:r>
            <w:r w:rsidRPr="002F4204">
              <w:rPr>
                <w:rFonts w:asciiTheme="majorBidi" w:hAnsiTheme="majorBidi" w:cstheme="majorBidi"/>
                <w:lang w:val="fr-FR"/>
              </w:rPr>
              <w:br/>
            </w:r>
            <w:r w:rsidRPr="002F4204">
              <w:rPr>
                <w:rFonts w:asciiTheme="majorBidi" w:hAnsiTheme="majorBidi" w:cstheme="majorBidi"/>
                <w:lang w:val="fr-FR"/>
              </w:rPr>
              <w:t>(noir ou blanc)</w:t>
            </w:r>
          </w:p>
        </w:tc>
        <w:tc>
          <w:tcPr>
            <w:tcW w:w="1501" w:type="dxa"/>
            <w:shd w:val="clear" w:color="auto" w:fill="auto"/>
            <w:vAlign w:val="center"/>
          </w:tcPr>
          <w:p w14:paraId="5ABD4CC9" w14:textId="77777777" w:rsidR="002F4204" w:rsidRPr="002F4204" w:rsidRDefault="002F4204" w:rsidP="007209E6">
            <w:pPr>
              <w:ind w:left="57" w:right="57"/>
              <w:jc w:val="center"/>
              <w:rPr>
                <w:rFonts w:asciiTheme="majorBidi" w:hAnsiTheme="majorBidi" w:cstheme="majorBidi"/>
                <w:lang w:val="fr-FR" w:eastAsia="ru-RU"/>
              </w:rPr>
            </w:pPr>
            <w:r w:rsidRPr="002F4204">
              <w:rPr>
                <w:rFonts w:asciiTheme="majorBidi" w:hAnsiTheme="majorBidi" w:cstheme="majorBidi"/>
                <w:noProof/>
                <w:lang w:val="fr-FR" w:eastAsia="en-GB"/>
              </w:rPr>
              <w:drawing>
                <wp:inline distT="0" distB="0" distL="0" distR="0" wp14:anchorId="56ACB37D" wp14:editId="3A6E9C06">
                  <wp:extent cx="855878" cy="855878"/>
                  <wp:effectExtent l="0" t="0" r="1905" b="1905"/>
                  <wp:docPr id="125" name="Picture 125"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ge3_no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1502" w:type="dxa"/>
            <w:shd w:val="clear" w:color="auto" w:fill="auto"/>
            <w:vAlign w:val="center"/>
          </w:tcPr>
          <w:p w14:paraId="2B379E27" w14:textId="77777777" w:rsidR="002F4204" w:rsidRPr="002F4204" w:rsidRDefault="002F4204" w:rsidP="007209E6">
            <w:pPr>
              <w:ind w:left="57" w:right="57"/>
              <w:jc w:val="center"/>
              <w:rPr>
                <w:rFonts w:asciiTheme="majorBidi" w:hAnsiTheme="majorBidi" w:cstheme="majorBidi"/>
                <w:lang w:val="fr-FR" w:eastAsia="ru-RU"/>
              </w:rPr>
            </w:pPr>
            <w:r w:rsidRPr="002F4204">
              <w:rPr>
                <w:rFonts w:asciiTheme="majorBidi" w:hAnsiTheme="majorBidi" w:cstheme="majorBidi"/>
                <w:noProof/>
                <w:lang w:val="fr-FR" w:eastAsia="en-GB"/>
              </w:rPr>
              <w:drawing>
                <wp:inline distT="0" distB="0" distL="0" distR="0" wp14:anchorId="4064754F" wp14:editId="68F53D73">
                  <wp:extent cx="855878" cy="855878"/>
                  <wp:effectExtent l="0" t="0" r="1905" b="1905"/>
                  <wp:docPr id="126" name="Picture 126"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r>
    </w:tbl>
    <w:p w14:paraId="139E240E" w14:textId="55D34B12" w:rsidR="002F4204" w:rsidRPr="002F4204" w:rsidRDefault="002F4204" w:rsidP="002F4204">
      <w:pPr>
        <w:pStyle w:val="SingleTxtG"/>
        <w:spacing w:before="120"/>
        <w:ind w:left="0" w:right="0"/>
        <w:jc w:val="left"/>
        <w:rPr>
          <w:rFonts w:asciiTheme="majorBidi" w:hAnsiTheme="majorBidi" w:cstheme="majorBidi"/>
          <w:b/>
          <w:bCs/>
          <w:lang w:val="fr-FR"/>
        </w:rPr>
      </w:pPr>
      <w:r w:rsidRPr="002F4204">
        <w:rPr>
          <w:rFonts w:asciiTheme="majorBidi" w:hAnsiTheme="majorBidi" w:cstheme="majorBidi"/>
          <w:b/>
          <w:bCs/>
          <w:lang w:val="fr-FR"/>
        </w:rPr>
        <w:t>Figure 1</w:t>
      </w:r>
      <w:r w:rsidRPr="002F4204">
        <w:rPr>
          <w:rFonts w:asciiTheme="majorBidi" w:hAnsiTheme="majorBidi" w:cstheme="majorBidi"/>
          <w:b/>
          <w:bCs/>
          <w:lang w:val="fr-FR"/>
        </w:rPr>
        <w:t> :</w:t>
      </w:r>
      <w:r w:rsidRPr="002F4204">
        <w:rPr>
          <w:rFonts w:asciiTheme="majorBidi" w:hAnsiTheme="majorBidi" w:cstheme="majorBidi"/>
          <w:b/>
          <w:bCs/>
          <w:lang w:val="fr-FR"/>
        </w:rPr>
        <w:t xml:space="preserve"> Modèles d’étiquettes figurant au paragraphe 5.2.2.2.2 de la vingt-troisième édition révisée du</w:t>
      </w:r>
      <w:r w:rsidRPr="002F4204">
        <w:rPr>
          <w:rFonts w:asciiTheme="majorBidi" w:hAnsiTheme="majorBidi" w:cstheme="majorBidi"/>
          <w:b/>
          <w:bCs/>
          <w:lang w:val="fr-FR"/>
        </w:rPr>
        <w:t> </w:t>
      </w:r>
      <w:r w:rsidRPr="002F4204">
        <w:rPr>
          <w:rFonts w:asciiTheme="majorBidi" w:hAnsiTheme="majorBidi" w:cstheme="majorBidi"/>
          <w:b/>
          <w:bCs/>
          <w:lang w:val="fr-FR"/>
        </w:rPr>
        <w:t>Règlement type</w:t>
      </w:r>
    </w:p>
    <w:p w14:paraId="34D9DD0B" w14:textId="564E37F1" w:rsidR="002F4204" w:rsidRPr="002F4204" w:rsidRDefault="002F4204" w:rsidP="002F4204">
      <w:pPr>
        <w:pStyle w:val="SingleTxtG"/>
        <w:rPr>
          <w:rFonts w:asciiTheme="majorBidi" w:hAnsiTheme="majorBidi" w:cstheme="majorBidi"/>
          <w:lang w:val="fr-FR"/>
        </w:rPr>
      </w:pPr>
      <w:r w:rsidRPr="002F4204">
        <w:rPr>
          <w:rFonts w:asciiTheme="majorBidi" w:hAnsiTheme="majorBidi" w:cstheme="majorBidi"/>
          <w:lang w:val="fr-FR"/>
        </w:rPr>
        <w:t>5.</w:t>
      </w:r>
      <w:r w:rsidRPr="002F4204">
        <w:rPr>
          <w:rFonts w:asciiTheme="majorBidi" w:hAnsiTheme="majorBidi" w:cstheme="majorBidi"/>
          <w:lang w:val="fr-FR"/>
        </w:rPr>
        <w:tab/>
        <w:t>La figure 2 ci-après montre les différentes versions de l’étiquette de la classe 3 existant dans la réglementation nationale et internationale. Les modèles de flamme correspondants sont représentés en gros plan à la figure 3. Ces versions proviennent de la vingt-troisième édition révisée du Règlement type, de l’édition 2023 de l’ADR, de l’édition 2023-2024 des Instructions techniques de l’OACI (Doc 9284), des amendements 42-22 au Code IMDG, du titre 49 du Recueil des règlements fédéraux des États-Unis d’Amérique et du Règlement canadien sur le transport des marchandises dangereuses.</w:t>
      </w:r>
    </w:p>
    <w:p w14:paraId="2501AC11" w14:textId="77777777" w:rsidR="002F4204" w:rsidRPr="002F4204" w:rsidRDefault="002F4204" w:rsidP="002F4204">
      <w:pPr>
        <w:pStyle w:val="SingleTxtG"/>
        <w:ind w:left="0" w:right="0"/>
        <w:rPr>
          <w:rFonts w:asciiTheme="majorBidi" w:hAnsiTheme="majorBidi" w:cstheme="majorBidi"/>
          <w:lang w:val="fr-FR"/>
        </w:rPr>
      </w:pPr>
      <w:r w:rsidRPr="002F4204">
        <w:rPr>
          <w:rFonts w:asciiTheme="majorBidi" w:hAnsiTheme="majorBidi" w:cstheme="majorBidi"/>
          <w:noProof/>
          <w:lang w:val="fr-FR"/>
        </w:rPr>
        <w:drawing>
          <wp:inline distT="0" distB="0" distL="0" distR="0" wp14:anchorId="2343583E" wp14:editId="56826368">
            <wp:extent cx="6120000" cy="1397842"/>
            <wp:effectExtent l="0" t="0" r="0" b="0"/>
            <wp:docPr id="1637488356" name="Picture 1" descr="A red diamond shap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488356" name="Picture 1" descr="A red diamond shaped sign with white text&#10;&#10;Description automatically generated"/>
                    <pic:cNvPicPr/>
                  </pic:nvPicPr>
                  <pic:blipFill>
                    <a:blip r:embed="rId12"/>
                    <a:stretch>
                      <a:fillRect/>
                    </a:stretch>
                  </pic:blipFill>
                  <pic:spPr>
                    <a:xfrm>
                      <a:off x="0" y="0"/>
                      <a:ext cx="6120000" cy="1397842"/>
                    </a:xfrm>
                    <a:prstGeom prst="rect">
                      <a:avLst/>
                    </a:prstGeom>
                  </pic:spPr>
                </pic:pic>
              </a:graphicData>
            </a:graphic>
          </wp:inline>
        </w:drawing>
      </w:r>
    </w:p>
    <w:p w14:paraId="4C32BD13" w14:textId="389B9BDA" w:rsidR="002F4204" w:rsidRPr="002F4204" w:rsidRDefault="002F4204" w:rsidP="002F4204">
      <w:pPr>
        <w:pStyle w:val="SingleTxtG"/>
        <w:spacing w:before="120"/>
        <w:ind w:left="0" w:right="0"/>
        <w:jc w:val="left"/>
        <w:rPr>
          <w:rFonts w:asciiTheme="majorBidi" w:hAnsiTheme="majorBidi" w:cstheme="majorBidi"/>
          <w:b/>
          <w:bCs/>
          <w:lang w:val="fr-FR"/>
        </w:rPr>
      </w:pPr>
      <w:r w:rsidRPr="002F4204">
        <w:rPr>
          <w:rFonts w:asciiTheme="majorBidi" w:hAnsiTheme="majorBidi" w:cstheme="majorBidi"/>
          <w:b/>
          <w:bCs/>
          <w:lang w:val="fr-FR"/>
        </w:rPr>
        <w:t>Figure 2</w:t>
      </w:r>
      <w:r w:rsidRPr="002F4204">
        <w:rPr>
          <w:rFonts w:asciiTheme="majorBidi" w:hAnsiTheme="majorBidi" w:cstheme="majorBidi"/>
          <w:b/>
          <w:bCs/>
          <w:lang w:val="fr-FR"/>
        </w:rPr>
        <w:t> :</w:t>
      </w:r>
      <w:r w:rsidRPr="002F4204">
        <w:rPr>
          <w:rFonts w:asciiTheme="majorBidi" w:hAnsiTheme="majorBidi" w:cstheme="majorBidi"/>
          <w:b/>
          <w:bCs/>
          <w:lang w:val="fr-FR"/>
        </w:rPr>
        <w:t xml:space="preserve"> Modèles d’étiquettes de la classe 3</w:t>
      </w:r>
    </w:p>
    <w:p w14:paraId="518C64E2" w14:textId="77777777" w:rsidR="002F4204" w:rsidRPr="002F4204" w:rsidRDefault="002F4204" w:rsidP="007209E6">
      <w:pPr>
        <w:pStyle w:val="SingleTxtG"/>
        <w:keepNext/>
        <w:ind w:left="0" w:right="0"/>
        <w:rPr>
          <w:rFonts w:asciiTheme="majorBidi" w:hAnsiTheme="majorBidi" w:cstheme="majorBidi"/>
          <w:lang w:val="fr-FR"/>
        </w:rPr>
      </w:pPr>
      <w:r w:rsidRPr="002F4204">
        <w:rPr>
          <w:rFonts w:asciiTheme="majorBidi" w:hAnsiTheme="majorBidi" w:cstheme="majorBidi"/>
          <w:noProof/>
          <w:lang w:val="fr-FR"/>
        </w:rPr>
        <w:lastRenderedPageBreak/>
        <w:drawing>
          <wp:inline distT="0" distB="0" distL="0" distR="0" wp14:anchorId="4ACED389" wp14:editId="2455BC3B">
            <wp:extent cx="6120000" cy="1490606"/>
            <wp:effectExtent l="0" t="0" r="0" b="0"/>
            <wp:docPr id="1270483263" name="Picture 1" descr="A red and white fir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483263" name="Picture 1" descr="A red and white fire sign&#10;&#10;Description automatically generated"/>
                    <pic:cNvPicPr/>
                  </pic:nvPicPr>
                  <pic:blipFill>
                    <a:blip r:embed="rId13"/>
                    <a:stretch>
                      <a:fillRect/>
                    </a:stretch>
                  </pic:blipFill>
                  <pic:spPr>
                    <a:xfrm>
                      <a:off x="0" y="0"/>
                      <a:ext cx="6120000" cy="1490606"/>
                    </a:xfrm>
                    <a:prstGeom prst="rect">
                      <a:avLst/>
                    </a:prstGeom>
                  </pic:spPr>
                </pic:pic>
              </a:graphicData>
            </a:graphic>
          </wp:inline>
        </w:drawing>
      </w:r>
    </w:p>
    <w:p w14:paraId="120709EC" w14:textId="33282381" w:rsidR="002F4204" w:rsidRPr="002F4204" w:rsidRDefault="002F4204" w:rsidP="002F4204">
      <w:pPr>
        <w:pStyle w:val="SingleTxtG"/>
        <w:spacing w:before="120"/>
        <w:ind w:left="0" w:right="0"/>
        <w:jc w:val="left"/>
        <w:rPr>
          <w:rFonts w:asciiTheme="majorBidi" w:hAnsiTheme="majorBidi" w:cstheme="majorBidi"/>
          <w:b/>
          <w:bCs/>
          <w:lang w:val="fr-FR"/>
        </w:rPr>
      </w:pPr>
      <w:r w:rsidRPr="002F4204">
        <w:rPr>
          <w:rFonts w:asciiTheme="majorBidi" w:hAnsiTheme="majorBidi" w:cstheme="majorBidi"/>
          <w:b/>
          <w:bCs/>
          <w:lang w:val="fr-FR"/>
        </w:rPr>
        <w:t>Figure 3</w:t>
      </w:r>
      <w:r w:rsidRPr="002F4204">
        <w:rPr>
          <w:rFonts w:asciiTheme="majorBidi" w:hAnsiTheme="majorBidi" w:cstheme="majorBidi"/>
          <w:b/>
          <w:bCs/>
          <w:lang w:val="fr-FR"/>
        </w:rPr>
        <w:t> :</w:t>
      </w:r>
      <w:r w:rsidRPr="002F4204">
        <w:rPr>
          <w:rFonts w:asciiTheme="majorBidi" w:hAnsiTheme="majorBidi" w:cstheme="majorBidi"/>
          <w:b/>
          <w:bCs/>
          <w:lang w:val="fr-FR"/>
        </w:rPr>
        <w:t xml:space="preserve"> Représentation de la flamme en gros plan</w:t>
      </w:r>
    </w:p>
    <w:p w14:paraId="331451B7" w14:textId="77777777" w:rsidR="002F4204" w:rsidRPr="002F4204" w:rsidRDefault="002F4204" w:rsidP="002F4204">
      <w:pPr>
        <w:pStyle w:val="SingleTxtG"/>
        <w:rPr>
          <w:rFonts w:asciiTheme="majorBidi" w:hAnsiTheme="majorBidi" w:cstheme="majorBidi"/>
          <w:lang w:val="fr-FR"/>
        </w:rPr>
      </w:pPr>
      <w:r w:rsidRPr="002F4204">
        <w:rPr>
          <w:rFonts w:asciiTheme="majorBidi" w:hAnsiTheme="majorBidi" w:cstheme="majorBidi"/>
          <w:lang w:val="fr-FR"/>
        </w:rPr>
        <w:t>6.</w:t>
      </w:r>
      <w:r w:rsidRPr="002F4204">
        <w:rPr>
          <w:rFonts w:asciiTheme="majorBidi" w:hAnsiTheme="majorBidi" w:cstheme="majorBidi"/>
          <w:lang w:val="fr-FR"/>
        </w:rPr>
        <w:tab/>
        <w:t>Comme le montre la figure 3, les modèles de flamme varient à plusieurs égards. Les différences observées portent notamment sur la taille de la flamme, la proportion de la plus petite flamme représentée à l’intérieur, la hauteur et la largeur du modèle dans son ensemble et l’épaisseur du trait de soulignement. L’emplacement du signe sur l’étiquette (proximité du bord extérieur de la partie supérieure) varie aussi.</w:t>
      </w:r>
    </w:p>
    <w:p w14:paraId="2D8FAF0D" w14:textId="77777777" w:rsidR="002F4204" w:rsidRPr="002F4204" w:rsidRDefault="002F4204" w:rsidP="002F4204">
      <w:pPr>
        <w:pStyle w:val="HChG"/>
        <w:rPr>
          <w:rFonts w:asciiTheme="majorBidi" w:hAnsiTheme="majorBidi" w:cstheme="majorBidi"/>
          <w:lang w:val="fr-FR"/>
        </w:rPr>
      </w:pPr>
      <w:r w:rsidRPr="002F4204">
        <w:rPr>
          <w:rFonts w:asciiTheme="majorBidi" w:hAnsiTheme="majorBidi" w:cstheme="majorBidi"/>
          <w:bCs/>
          <w:lang w:val="fr-FR"/>
        </w:rPr>
        <w:tab/>
        <w:t>III.</w:t>
      </w:r>
      <w:r w:rsidRPr="002F4204">
        <w:rPr>
          <w:rFonts w:asciiTheme="majorBidi" w:hAnsiTheme="majorBidi" w:cstheme="majorBidi"/>
          <w:lang w:val="fr-FR"/>
        </w:rPr>
        <w:tab/>
      </w:r>
      <w:r w:rsidRPr="002F4204">
        <w:rPr>
          <w:rFonts w:asciiTheme="majorBidi" w:hAnsiTheme="majorBidi" w:cstheme="majorBidi"/>
          <w:bCs/>
          <w:lang w:val="fr-FR"/>
        </w:rPr>
        <w:t>Examen</w:t>
      </w:r>
    </w:p>
    <w:p w14:paraId="7C3B49D4" w14:textId="77777777" w:rsidR="002F4204" w:rsidRPr="002F4204" w:rsidRDefault="002F4204" w:rsidP="002F4204">
      <w:pPr>
        <w:pStyle w:val="SingleTxtG"/>
        <w:rPr>
          <w:rFonts w:asciiTheme="majorBidi" w:hAnsiTheme="majorBidi" w:cstheme="majorBidi"/>
          <w:lang w:val="fr-FR"/>
        </w:rPr>
      </w:pPr>
      <w:r w:rsidRPr="002F4204">
        <w:rPr>
          <w:rFonts w:asciiTheme="majorBidi" w:hAnsiTheme="majorBidi" w:cstheme="majorBidi"/>
          <w:lang w:val="fr-FR"/>
        </w:rPr>
        <w:t>7.</w:t>
      </w:r>
      <w:r w:rsidRPr="002F4204">
        <w:rPr>
          <w:rFonts w:asciiTheme="majorBidi" w:hAnsiTheme="majorBidi" w:cstheme="majorBidi"/>
          <w:lang w:val="fr-FR"/>
        </w:rPr>
        <w:tab/>
        <w:t>Les modèles de signes conventionnels devraient faire l’objet d’une tolérance. Les expéditeurs devraient être autorisés à utiliser les étiquettes telles que fournies par les fabricants, indépendamment du règlement applicable ou du mode de transport. Le signe conventionnel ne devrait pas faire obstacle au transport du moment que le modèle général et sa visée sont respectés et que la sécurité n’est pas compromise.</w:t>
      </w:r>
    </w:p>
    <w:p w14:paraId="098C4E7E" w14:textId="1412D7FE" w:rsidR="002F4204" w:rsidRPr="002F4204" w:rsidRDefault="002F4204" w:rsidP="002F4204">
      <w:pPr>
        <w:pStyle w:val="SingleTxtG"/>
        <w:rPr>
          <w:rFonts w:asciiTheme="majorBidi" w:hAnsiTheme="majorBidi" w:cstheme="majorBidi"/>
          <w:lang w:val="fr-FR"/>
        </w:rPr>
      </w:pPr>
      <w:r w:rsidRPr="002F4204">
        <w:rPr>
          <w:rFonts w:asciiTheme="majorBidi" w:hAnsiTheme="majorBidi" w:cstheme="majorBidi"/>
          <w:lang w:val="fr-FR"/>
        </w:rPr>
        <w:t>8.</w:t>
      </w:r>
      <w:r w:rsidRPr="002F4204">
        <w:rPr>
          <w:rFonts w:asciiTheme="majorBidi" w:hAnsiTheme="majorBidi" w:cstheme="majorBidi"/>
          <w:lang w:val="fr-FR"/>
        </w:rPr>
        <w:tab/>
        <w:t>S’il n’est pas permis de s’éloigner du modèle, quel concept doit-on retenir pour les envois multimodaux</w:t>
      </w:r>
      <w:r w:rsidR="007209E6">
        <w:rPr>
          <w:rFonts w:asciiTheme="majorBidi" w:hAnsiTheme="majorBidi" w:cstheme="majorBidi"/>
          <w:lang w:val="fr-FR"/>
        </w:rPr>
        <w:t> </w:t>
      </w:r>
      <w:r w:rsidRPr="002F4204">
        <w:rPr>
          <w:rFonts w:asciiTheme="majorBidi" w:hAnsiTheme="majorBidi" w:cstheme="majorBidi"/>
          <w:lang w:val="fr-FR"/>
        </w:rPr>
        <w:t>?</w:t>
      </w:r>
    </w:p>
    <w:p w14:paraId="66ABF0A4" w14:textId="77777777" w:rsidR="002F4204" w:rsidRPr="002F4204" w:rsidRDefault="002F4204" w:rsidP="002F4204">
      <w:pPr>
        <w:pStyle w:val="HChG"/>
        <w:rPr>
          <w:rFonts w:asciiTheme="majorBidi" w:hAnsiTheme="majorBidi" w:cstheme="majorBidi"/>
          <w:lang w:val="fr-FR"/>
        </w:rPr>
      </w:pPr>
      <w:r w:rsidRPr="002F4204">
        <w:rPr>
          <w:rFonts w:asciiTheme="majorBidi" w:hAnsiTheme="majorBidi" w:cstheme="majorBidi"/>
          <w:bCs/>
          <w:lang w:val="fr-FR"/>
        </w:rPr>
        <w:tab/>
        <w:t>IV.</w:t>
      </w:r>
      <w:r w:rsidRPr="002F4204">
        <w:rPr>
          <w:rFonts w:asciiTheme="majorBidi" w:hAnsiTheme="majorBidi" w:cstheme="majorBidi"/>
          <w:lang w:val="fr-FR"/>
        </w:rPr>
        <w:tab/>
      </w:r>
      <w:r w:rsidRPr="002F4204">
        <w:rPr>
          <w:rFonts w:asciiTheme="majorBidi" w:hAnsiTheme="majorBidi" w:cstheme="majorBidi"/>
          <w:bCs/>
          <w:lang w:val="fr-FR"/>
        </w:rPr>
        <w:t>Proposition</w:t>
      </w:r>
    </w:p>
    <w:p w14:paraId="6D3BBE9C" w14:textId="266B978A" w:rsidR="002F4204" w:rsidRPr="002F4204" w:rsidRDefault="002F4204" w:rsidP="002F4204">
      <w:pPr>
        <w:pStyle w:val="SingleTxtG"/>
        <w:rPr>
          <w:rFonts w:asciiTheme="majorBidi" w:hAnsiTheme="majorBidi" w:cstheme="majorBidi"/>
          <w:lang w:val="fr-FR"/>
        </w:rPr>
      </w:pPr>
      <w:r w:rsidRPr="002F4204">
        <w:rPr>
          <w:rFonts w:asciiTheme="majorBidi" w:hAnsiTheme="majorBidi" w:cstheme="majorBidi"/>
          <w:lang w:val="fr-FR"/>
        </w:rPr>
        <w:t>9.</w:t>
      </w:r>
      <w:r w:rsidRPr="002F4204">
        <w:rPr>
          <w:rFonts w:asciiTheme="majorBidi" w:hAnsiTheme="majorBidi" w:cstheme="majorBidi"/>
          <w:lang w:val="fr-FR"/>
        </w:rPr>
        <w:tab/>
        <w:t>Afin qu’il soit permis de s’éloigner du modèle, tant que sa visée et sa signification sont conservés, le COSTHA propose de modifier comme suit le 5.2.2.2.1</w:t>
      </w:r>
      <w:r w:rsidRPr="002F4204">
        <w:rPr>
          <w:rFonts w:asciiTheme="majorBidi" w:hAnsiTheme="majorBidi" w:cstheme="majorBidi"/>
          <w:lang w:val="fr-FR"/>
        </w:rPr>
        <w:t> :</w:t>
      </w:r>
    </w:p>
    <w:p w14:paraId="280C4A41" w14:textId="33FA1ACC" w:rsidR="002F4204" w:rsidRPr="002F4204" w:rsidRDefault="002F4204" w:rsidP="002F4204">
      <w:pPr>
        <w:pStyle w:val="SingleTxtG"/>
        <w:rPr>
          <w:rStyle w:val="eop"/>
          <w:rFonts w:asciiTheme="majorBidi" w:hAnsiTheme="majorBidi" w:cstheme="majorBidi"/>
          <w:lang w:val="fr-FR"/>
        </w:rPr>
      </w:pPr>
      <w:r w:rsidRPr="002F4204">
        <w:rPr>
          <w:rFonts w:asciiTheme="majorBidi" w:hAnsiTheme="majorBidi" w:cstheme="majorBidi"/>
          <w:lang w:val="fr-FR"/>
        </w:rPr>
        <w:t>« 5.2.2.2.1</w:t>
      </w:r>
      <w:r w:rsidRPr="002F4204">
        <w:rPr>
          <w:rFonts w:asciiTheme="majorBidi" w:hAnsiTheme="majorBidi" w:cstheme="majorBidi"/>
          <w:lang w:val="fr-FR"/>
        </w:rPr>
        <w:tab/>
        <w:t>Les étiquettes doivent satisfaire aux dispositions de cette section et être conformes, pour la couleur</w:t>
      </w:r>
      <w:r w:rsidRPr="002F4204">
        <w:rPr>
          <w:rFonts w:asciiTheme="majorBidi" w:hAnsiTheme="majorBidi" w:cstheme="majorBidi"/>
          <w:strike/>
          <w:lang w:val="fr-FR"/>
        </w:rPr>
        <w:t>, les signes conventionnels</w:t>
      </w:r>
      <w:r w:rsidRPr="002F4204">
        <w:rPr>
          <w:rFonts w:asciiTheme="majorBidi" w:hAnsiTheme="majorBidi" w:cstheme="majorBidi"/>
          <w:lang w:val="fr-FR"/>
        </w:rPr>
        <w:t xml:space="preserve"> et la forme générale</w:t>
      </w:r>
      <w:r w:rsidRPr="002F4204">
        <w:rPr>
          <w:rFonts w:asciiTheme="majorBidi" w:hAnsiTheme="majorBidi" w:cstheme="majorBidi"/>
          <w:b/>
          <w:bCs/>
          <w:u w:val="single"/>
          <w:lang w:val="fr-FR"/>
        </w:rPr>
        <w:t xml:space="preserve"> du signe conventionnel et de l’étiquette</w:t>
      </w:r>
      <w:r w:rsidRPr="002F4204">
        <w:rPr>
          <w:rFonts w:asciiTheme="majorBidi" w:hAnsiTheme="majorBidi" w:cstheme="majorBidi"/>
          <w:lang w:val="fr-FR"/>
        </w:rPr>
        <w:t>, aux modèles d’étiquettes illustrés au 5.2.2.2.2. ».</w:t>
      </w:r>
    </w:p>
    <w:p w14:paraId="449A3B15" w14:textId="2237E649" w:rsidR="00446FE5" w:rsidRPr="002F4204" w:rsidRDefault="002F4204" w:rsidP="002F4204">
      <w:pPr>
        <w:pStyle w:val="SingleTxtG"/>
        <w:spacing w:before="240" w:after="0"/>
        <w:jc w:val="center"/>
        <w:rPr>
          <w:rFonts w:asciiTheme="majorBidi" w:hAnsiTheme="majorBidi" w:cstheme="majorBidi"/>
          <w:u w:val="single"/>
        </w:rPr>
      </w:pPr>
      <w:r w:rsidRPr="002F4204">
        <w:rPr>
          <w:rFonts w:asciiTheme="majorBidi" w:hAnsiTheme="majorBidi" w:cstheme="majorBidi"/>
          <w:u w:val="single"/>
        </w:rPr>
        <w:tab/>
      </w:r>
      <w:r w:rsidRPr="002F4204">
        <w:rPr>
          <w:rFonts w:asciiTheme="majorBidi" w:hAnsiTheme="majorBidi" w:cstheme="majorBidi"/>
          <w:u w:val="single"/>
        </w:rPr>
        <w:tab/>
      </w:r>
      <w:r w:rsidRPr="002F4204">
        <w:rPr>
          <w:rFonts w:asciiTheme="majorBidi" w:hAnsiTheme="majorBidi" w:cstheme="majorBidi"/>
          <w:u w:val="single"/>
        </w:rPr>
        <w:tab/>
      </w:r>
    </w:p>
    <w:sectPr w:rsidR="00446FE5" w:rsidRPr="002F4204" w:rsidSect="002F420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0C4A" w14:textId="77777777" w:rsidR="006F7924" w:rsidRDefault="006F7924" w:rsidP="00F95C08">
      <w:pPr>
        <w:spacing w:line="240" w:lineRule="auto"/>
      </w:pPr>
    </w:p>
  </w:endnote>
  <w:endnote w:type="continuationSeparator" w:id="0">
    <w:p w14:paraId="16CEC567" w14:textId="77777777" w:rsidR="006F7924" w:rsidRPr="00AC3823" w:rsidRDefault="006F7924" w:rsidP="00AC3823">
      <w:pPr>
        <w:pStyle w:val="Pieddepage"/>
      </w:pPr>
    </w:p>
  </w:endnote>
  <w:endnote w:type="continuationNotice" w:id="1">
    <w:p w14:paraId="2E31535D" w14:textId="77777777" w:rsidR="006F7924" w:rsidRDefault="006F79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16A8" w14:textId="363E6B40" w:rsidR="002F4204" w:rsidRPr="002F4204" w:rsidRDefault="002F4204" w:rsidP="002F4204">
    <w:pPr>
      <w:pStyle w:val="Pieddepage"/>
      <w:tabs>
        <w:tab w:val="right" w:pos="9638"/>
      </w:tabs>
    </w:pPr>
    <w:r w:rsidRPr="002F4204">
      <w:rPr>
        <w:b/>
        <w:sz w:val="18"/>
      </w:rPr>
      <w:fldChar w:fldCharType="begin"/>
    </w:r>
    <w:r w:rsidRPr="002F4204">
      <w:rPr>
        <w:b/>
        <w:sz w:val="18"/>
      </w:rPr>
      <w:instrText xml:space="preserve"> PAGE  \* MERGEFORMAT </w:instrText>
    </w:r>
    <w:r w:rsidRPr="002F4204">
      <w:rPr>
        <w:b/>
        <w:sz w:val="18"/>
      </w:rPr>
      <w:fldChar w:fldCharType="separate"/>
    </w:r>
    <w:r w:rsidRPr="002F4204">
      <w:rPr>
        <w:b/>
        <w:noProof/>
        <w:sz w:val="18"/>
      </w:rPr>
      <w:t>2</w:t>
    </w:r>
    <w:r w:rsidRPr="002F4204">
      <w:rPr>
        <w:b/>
        <w:sz w:val="18"/>
      </w:rPr>
      <w:fldChar w:fldCharType="end"/>
    </w:r>
    <w:r>
      <w:rPr>
        <w:b/>
        <w:sz w:val="18"/>
      </w:rPr>
      <w:tab/>
    </w:r>
    <w:r>
      <w:t>GE.24-06578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B6F3" w14:textId="0A9FDF3D" w:rsidR="002F4204" w:rsidRPr="002F4204" w:rsidRDefault="002F4204" w:rsidP="002F4204">
    <w:pPr>
      <w:pStyle w:val="Pieddepage"/>
      <w:tabs>
        <w:tab w:val="right" w:pos="9638"/>
      </w:tabs>
      <w:rPr>
        <w:b/>
        <w:sz w:val="18"/>
      </w:rPr>
    </w:pPr>
    <w:r>
      <w:t>GE.24-06578</w:t>
    </w:r>
    <w:r>
      <w:tab/>
    </w:r>
    <w:r w:rsidRPr="002F4204">
      <w:rPr>
        <w:b/>
        <w:sz w:val="18"/>
      </w:rPr>
      <w:fldChar w:fldCharType="begin"/>
    </w:r>
    <w:r w:rsidRPr="002F4204">
      <w:rPr>
        <w:b/>
        <w:sz w:val="18"/>
      </w:rPr>
      <w:instrText xml:space="preserve"> PAGE  \* MERGEFORMAT </w:instrText>
    </w:r>
    <w:r w:rsidRPr="002F4204">
      <w:rPr>
        <w:b/>
        <w:sz w:val="18"/>
      </w:rPr>
      <w:fldChar w:fldCharType="separate"/>
    </w:r>
    <w:r w:rsidRPr="002F4204">
      <w:rPr>
        <w:b/>
        <w:noProof/>
        <w:sz w:val="18"/>
      </w:rPr>
      <w:t>3</w:t>
    </w:r>
    <w:r w:rsidRPr="002F42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2A5C" w14:textId="76523206" w:rsidR="0068456F" w:rsidRPr="002F4204" w:rsidRDefault="002F4204" w:rsidP="002F4204">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0C1447D" wp14:editId="4D7986B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24-06578  (F)</w:t>
    </w:r>
    <w:r>
      <w:rPr>
        <w:noProof/>
        <w:sz w:val="20"/>
      </w:rPr>
      <w:drawing>
        <wp:anchor distT="0" distB="0" distL="114300" distR="114300" simplePos="0" relativeHeight="251660288" behindDoc="0" locked="0" layoutInCell="1" allowOverlap="1" wp14:anchorId="209DC721" wp14:editId="4B4CC947">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020524    020524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C298" w14:textId="77777777" w:rsidR="006F7924" w:rsidRPr="00AC3823" w:rsidRDefault="006F7924" w:rsidP="00AC3823">
      <w:pPr>
        <w:pStyle w:val="Pieddepage"/>
        <w:tabs>
          <w:tab w:val="right" w:pos="2155"/>
        </w:tabs>
        <w:spacing w:after="80" w:line="240" w:lineRule="atLeast"/>
        <w:ind w:left="680"/>
        <w:rPr>
          <w:u w:val="single"/>
        </w:rPr>
      </w:pPr>
      <w:r>
        <w:rPr>
          <w:u w:val="single"/>
        </w:rPr>
        <w:tab/>
      </w:r>
    </w:p>
  </w:footnote>
  <w:footnote w:type="continuationSeparator" w:id="0">
    <w:p w14:paraId="54643C50" w14:textId="77777777" w:rsidR="006F7924" w:rsidRPr="00AC3823" w:rsidRDefault="006F7924" w:rsidP="00AC3823">
      <w:pPr>
        <w:pStyle w:val="Pieddepage"/>
        <w:tabs>
          <w:tab w:val="right" w:pos="2155"/>
        </w:tabs>
        <w:spacing w:after="80" w:line="240" w:lineRule="atLeast"/>
        <w:ind w:left="680"/>
        <w:rPr>
          <w:u w:val="single"/>
        </w:rPr>
      </w:pPr>
      <w:r>
        <w:rPr>
          <w:u w:val="single"/>
        </w:rPr>
        <w:tab/>
      </w:r>
    </w:p>
  </w:footnote>
  <w:footnote w:type="continuationNotice" w:id="1">
    <w:p w14:paraId="2C4E2EB1" w14:textId="77777777" w:rsidR="006F7924" w:rsidRPr="00AC3823" w:rsidRDefault="006F7924">
      <w:pPr>
        <w:spacing w:line="240" w:lineRule="auto"/>
        <w:rPr>
          <w:sz w:val="2"/>
          <w:szCs w:val="2"/>
        </w:rPr>
      </w:pPr>
    </w:p>
  </w:footnote>
  <w:footnote w:id="2">
    <w:p w14:paraId="460BB7E3" w14:textId="77777777" w:rsidR="002F4204" w:rsidRPr="00F910F7" w:rsidRDefault="002F4204" w:rsidP="002F4204">
      <w:pPr>
        <w:pStyle w:val="Notedebasdepage"/>
      </w:pPr>
      <w:r>
        <w:rPr>
          <w:lang w:val="fr-FR"/>
        </w:rPr>
        <w:tab/>
      </w:r>
      <w:r w:rsidRPr="00E65C8D">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7495" w14:textId="5471553A" w:rsidR="002F4204" w:rsidRPr="002F4204" w:rsidRDefault="002F4204">
    <w:pPr>
      <w:pStyle w:val="En-tte"/>
    </w:pPr>
    <w:fldSimple w:instr=" TITLE  \* MERGEFORMAT ">
      <w:r>
        <w:t>ST/SG/AC.10/C.3/2024/34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26D1" w14:textId="5B83FA7D" w:rsidR="002F4204" w:rsidRPr="002F4204" w:rsidRDefault="002F4204" w:rsidP="002F4204">
    <w:pPr>
      <w:pStyle w:val="En-tte"/>
      <w:jc w:val="right"/>
    </w:pPr>
    <w:fldSimple w:instr=" TITLE  \* MERGEFORMAT ">
      <w:r>
        <w:t>ST/SG/AC.10/C.3/2024/34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24"/>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2F4204"/>
    <w:rsid w:val="00441C3B"/>
    <w:rsid w:val="00446FE5"/>
    <w:rsid w:val="00452396"/>
    <w:rsid w:val="004E468C"/>
    <w:rsid w:val="005505B7"/>
    <w:rsid w:val="00573BE5"/>
    <w:rsid w:val="00584DC4"/>
    <w:rsid w:val="00586ED3"/>
    <w:rsid w:val="00596AA9"/>
    <w:rsid w:val="0068456F"/>
    <w:rsid w:val="006F7924"/>
    <w:rsid w:val="0071601D"/>
    <w:rsid w:val="007209E6"/>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D1E37"/>
  <w15:docId w15:val="{CE5E219C-DC01-4F0C-8E0B-1BEEF1CC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paragraph" w:customStyle="1" w:styleId="Body">
    <w:name w:val="Body"/>
    <w:rsid w:val="002F4204"/>
    <w:pPr>
      <w:pBdr>
        <w:top w:val="nil"/>
        <w:left w:val="nil"/>
        <w:bottom w:val="nil"/>
        <w:right w:val="nil"/>
        <w:between w:val="nil"/>
        <w:bar w:val="nil"/>
      </w:pBdr>
      <w:suppressAutoHyphens/>
      <w:spacing w:after="0" w:line="240" w:lineRule="atLeast"/>
    </w:pPr>
    <w:rPr>
      <w:rFonts w:ascii="Times New Roman" w:hAnsi="Times New Roman" w:cs="Times New Roman"/>
      <w:color w:val="000000"/>
      <w:sz w:val="20"/>
      <w:szCs w:val="20"/>
      <w:u w:color="000000"/>
      <w:bdr w:val="nil"/>
      <w:lang w:val="en-US" w:eastAsia="en-US"/>
      <w14:textOutline w14:w="0" w14:cap="flat" w14:cmpd="sng" w14:algn="ctr">
        <w14:noFill/>
        <w14:prstDash w14:val="solid"/>
        <w14:bevel/>
      </w14:textOutline>
    </w:rPr>
  </w:style>
  <w:style w:type="paragraph" w:styleId="Paragraphedeliste">
    <w:name w:val="List Paragraph"/>
    <w:qFormat/>
    <w:rsid w:val="002F4204"/>
    <w:pPr>
      <w:pBdr>
        <w:top w:val="nil"/>
        <w:left w:val="nil"/>
        <w:bottom w:val="nil"/>
        <w:right w:val="nil"/>
        <w:between w:val="nil"/>
        <w:bar w:val="nil"/>
      </w:pBdr>
      <w:spacing w:after="0" w:line="240" w:lineRule="auto"/>
      <w:ind w:left="720"/>
      <w:jc w:val="both"/>
    </w:pPr>
    <w:rPr>
      <w:rFonts w:ascii="Times New Roman" w:hAnsi="Times New Roman" w:cs="Times New Roman"/>
      <w:color w:val="000000"/>
      <w:sz w:val="24"/>
      <w:szCs w:val="24"/>
      <w:u w:color="000000"/>
      <w:bdr w:val="nil"/>
      <w:lang w:val="en-US" w:eastAsia="en-US"/>
    </w:rPr>
  </w:style>
  <w:style w:type="character" w:customStyle="1" w:styleId="H1GChar">
    <w:name w:val="_ H_1_G Char"/>
    <w:link w:val="H1G"/>
    <w:locked/>
    <w:rsid w:val="002F4204"/>
    <w:rPr>
      <w:rFonts w:ascii="Times New Roman" w:eastAsiaTheme="minorHAnsi" w:hAnsi="Times New Roman" w:cs="Times New Roman"/>
      <w:b/>
      <w:sz w:val="24"/>
      <w:szCs w:val="20"/>
      <w:lang w:eastAsia="en-US"/>
    </w:rPr>
  </w:style>
  <w:style w:type="character" w:customStyle="1" w:styleId="eop">
    <w:name w:val="eop"/>
    <w:basedOn w:val="Policepardfaut"/>
    <w:rsid w:val="002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13C82-2873-486F-B0DE-A9B0E48A08AE}"/>
</file>

<file path=customXml/itemProps2.xml><?xml version="1.0" encoding="utf-8"?>
<ds:datastoreItem xmlns:ds="http://schemas.openxmlformats.org/officeDocument/2006/customXml" ds:itemID="{8F92BF03-98CD-4410-8344-D908A45570E3}"/>
</file>

<file path=docProps/app.xml><?xml version="1.0" encoding="utf-8"?>
<Properties xmlns="http://schemas.openxmlformats.org/officeDocument/2006/extended-properties" xmlns:vt="http://schemas.openxmlformats.org/officeDocument/2006/docPropsVTypes">
  <Template>ST.dotm</Template>
  <TotalTime>0</TotalTime>
  <Pages>3</Pages>
  <Words>586</Words>
  <Characters>4491</Characters>
  <Application>Microsoft Office Word</Application>
  <DocSecurity>0</DocSecurity>
  <Lines>1497</Lines>
  <Paragraphs>423</Paragraphs>
  <ScaleCrop>false</ScaleCrop>
  <HeadingPairs>
    <vt:vector size="2" baseType="variant">
      <vt:variant>
        <vt:lpstr>Titre</vt:lpstr>
      </vt:variant>
      <vt:variant>
        <vt:i4>1</vt:i4>
      </vt:variant>
    </vt:vector>
  </HeadingPairs>
  <TitlesOfParts>
    <vt:vector size="1" baseType="lpstr">
      <vt:lpstr>ST/SG/AC.10/C.3/2024/34</vt:lpstr>
    </vt:vector>
  </TitlesOfParts>
  <Company>DCM</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ST/SG/AC.10/C.3/2024/34</dc:title>
  <dc:subject/>
  <dc:creator>Nicolas MORIN</dc:creator>
  <cp:keywords/>
  <cp:lastModifiedBy>Nicolas Morin</cp:lastModifiedBy>
  <cp:revision>2</cp:revision>
  <cp:lastPrinted>2014-05-14T10:59:00Z</cp:lastPrinted>
  <dcterms:created xsi:type="dcterms:W3CDTF">2024-05-02T08:59:00Z</dcterms:created>
  <dcterms:modified xsi:type="dcterms:W3CDTF">2024-05-02T08:59:00Z</dcterms:modified>
</cp:coreProperties>
</file>